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Révélation de Jésus-Christ - Numéro six</w:t>
      </w:r>
    </w:p>
    <w:p>
      <w:pPr>
        <w:pStyle w:val="ArticleSubtitle"/>
        <w:jc w:val="left"/>
      </w:pPr>
      <w:r>
        <w:rPr>
          <w:rFonts w:ascii="Segoe UI" w:hAnsi="Segoe UI" w:eastAsia="Segoe UI" w:cs="Segoe UI"/>
        </w:rPr>
        <w:t>قیامتِ</w:t>
      </w:r>
      <w:r>
        <w:rPr>
          <w:rFonts w:ascii="Arial" w:hAnsi="Arial" w:eastAsia="Arial" w:cs="Arial"/>
        </w:rPr>
        <w:t xml:space="preserve"> </w:t>
      </w:r>
      <w:r>
        <w:rPr>
          <w:rFonts w:ascii="Segoe UI" w:hAnsi="Segoe UI" w:eastAsia="Segoe UI" w:cs="Segoe UI"/>
        </w:rPr>
        <w:t>مُردگانِ</w:t>
      </w:r>
      <w:r>
        <w:rPr>
          <w:rFonts w:ascii="Arial" w:hAnsi="Arial" w:eastAsia="Arial" w:cs="Arial"/>
        </w:rPr>
        <w:t xml:space="preserve"> </w:t>
      </w:r>
      <w:r>
        <w:rPr>
          <w:rFonts w:ascii="Segoe UI" w:hAnsi="Segoe UI" w:eastAsia="Segoe UI" w:cs="Segoe UI"/>
        </w:rPr>
        <w:t>خفتہ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Tumekuwa tukijenga juu ya unabii wa mwisho wa Isaya unaoanza katika sura ya arobaini kwa utambulisho wa wakati wa kukawia uliyoanzishwa kwa kukatishwa tamaa kwa Julai 18, 2020. Tumekuwa tukiweka katika upatanisho kifo cha mashahidi wawili wa Ufunuo na wale waliokufa katika bonde la Ezekieli la mifupa mikavu iliyokufa katika sura ya thelathini na saba. Tunatafuta, kwa njia ya marudio, kuweka imara mfuatano mahsusi sana wa matukio yanayohusiana na ufufuo wa wale waliouawa katika njia kuu na mnyama aliyepanda kutoka katika shimo lisilo na mwisho.</w:t>
      </w:r>
    </w:p>
    <w:p>
      <w:pPr>
        <w:pStyle w:val="ArticleBody"/>
        <w:jc w:val="left"/>
      </w:pPr>
      <w:r>
        <w:rPr>
          <w:rFonts w:ascii="Times New Roman" w:hAnsi="Times New Roman" w:eastAsia="Times New Roman" w:cs="Times New Roman"/>
        </w:rPr>
        <w:t>As ons hierdie profetiese gedeeltes in ooreenstemming bring, ontsluit ons dele van Openbaring wat tot dusver nog nooit herken is nie, want hierdie boodskap is die ontsluiting van die Openbaring van Jesus Christus wat net voor die sluiting van die menslike genadetyd plaasvind. Ons verrig hierdie werk, want “die tyd is naby.” Deur waarhede in Openbaring te ontsluit wat nou besig is om vervul te word, volbring ons juis die werk wat in die Openbaring as Johannes se werk omskryf is. Aan hom is gesê om die dinge op te skryf wat hy gesien het, wat dinge was wat toe bestaan het, en deur daardie dinge op te teken sou Johannes terselfdertyd die dinge skryf wat sal wees.</w:t>
      </w:r>
    </w:p>
    <w:p>
      <w:pPr>
        <w:pStyle w:val="ArticleScripture"/>
        <w:jc w:val="left"/>
      </w:pPr>
      <w:r>
        <w:rPr>
          <w:rFonts w:ascii="Times New Roman" w:hAnsi="Times New Roman" w:eastAsia="Times New Roman" w:cs="Times New Roman"/>
        </w:rPr>
        <w:t>Écris donc les choses que tu as vues, et celles qui sont, et celles qui doivent arriver après elles. Apocalypse 1:19.</w:t>
      </w:r>
    </w:p>
    <w:p>
      <w:pPr>
        <w:pStyle w:val="ArticleBody"/>
        <w:jc w:val="left"/>
      </w:pPr>
      <w:r>
        <w:rPr>
          <w:rFonts w:ascii="Leelawadee UI" w:hAnsi="Leelawadee UI" w:eastAsia="Leelawadee UI" w:cs="Leelawadee UI"/>
        </w:rPr>
        <w:t>ឡូជីខលមួយដែលអាចក្លាយជាឧបសគ្គដល់សមាជិកសាសនាចក្រ</w:t>
      </w:r>
      <w:r>
        <w:rPr>
          <w:rFonts w:ascii="Times New Roman" w:hAnsi="Times New Roman" w:eastAsia="Times New Roman" w:cs="Times New Roman"/>
        </w:rPr>
        <w:t xml:space="preserve"> Seventh-day Adventists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ប្រហែលជាការយល់ដឹងតាមប្រពៃណីរបស់ពួកគេចំពោះសៀវភៅវិវរណៈ។</w:t>
      </w:r>
      <w:r>
        <w:rPr>
          <w:rFonts w:ascii="Times New Roman" w:hAnsi="Times New Roman" w:eastAsia="Times New Roman" w:cs="Times New Roman"/>
        </w:rPr>
        <w:t xml:space="preserve"> </w:t>
      </w:r>
      <w:r>
        <w:rPr>
          <w:rFonts w:ascii="Leelawadee UI" w:hAnsi="Leelawadee UI" w:eastAsia="Leelawadee UI" w:cs="Leelawadee UI"/>
        </w:rPr>
        <w:t>នៅពេលមនុស្សម្នាក់ទទួលយកសេចក្តីពិតដែលបានបង្កើតឡើងរួចហើយ</w:t>
      </w:r>
      <w:r>
        <w:rPr>
          <w:rFonts w:ascii="Times New Roman" w:hAnsi="Times New Roman" w:eastAsia="Times New Roman" w:cs="Times New Roman"/>
        </w:rPr>
        <w:t xml:space="preserve"> </w:t>
      </w:r>
      <w:r>
        <w:rPr>
          <w:rFonts w:ascii="Leelawadee UI" w:hAnsi="Leelawadee UI" w:eastAsia="Leelawadee UI" w:cs="Leelawadee UI"/>
        </w:rPr>
        <w:t>ប៉ុន្តែមិនឃើញថា</w:t>
      </w:r>
      <w:r>
        <w:rPr>
          <w:rFonts w:ascii="Times New Roman" w:hAnsi="Times New Roman" w:eastAsia="Times New Roman" w:cs="Times New Roman"/>
        </w:rPr>
        <w:t xml:space="preserve"> </w:t>
      </w:r>
      <w:r>
        <w:rPr>
          <w:rFonts w:ascii="Leelawadee UI" w:hAnsi="Leelawadee UI" w:eastAsia="Leelawadee UI" w:cs="Leelawadee UI"/>
        </w:rPr>
        <w:t>សេចក្តីពិតដែលបានបង្កើតឡើងនោះ</w:t>
      </w:r>
      <w:r>
        <w:rPr>
          <w:rFonts w:ascii="Times New Roman" w:hAnsi="Times New Roman" w:eastAsia="Times New Roman" w:cs="Times New Roman"/>
        </w:rPr>
        <w:t xml:space="preserve"> </w:t>
      </w:r>
      <w:r>
        <w:rPr>
          <w:rFonts w:ascii="Leelawadee UI" w:hAnsi="Leelawadee UI" w:eastAsia="Leelawadee UI" w:cs="Leelawadee UI"/>
        </w:rPr>
        <w:t>ត្រូវបានរៀបចំឡើងឲ្យអភិវឌ្ឍទៅតាមកាលៈទេសៈទេ</w:t>
      </w:r>
      <w:r>
        <w:rPr>
          <w:rFonts w:ascii="Times New Roman" w:hAnsi="Times New Roman" w:eastAsia="Times New Roman" w:cs="Times New Roman"/>
        </w:rPr>
        <w:t xml:space="preserve"> </w:t>
      </w:r>
      <w:r>
        <w:rPr>
          <w:rFonts w:ascii="Leelawadee UI" w:hAnsi="Leelawadee UI" w:eastAsia="Leelawadee UI" w:cs="Leelawadee UI"/>
        </w:rPr>
        <w:t>នោះការយល់ដឹងដំបូងដែលត្រឹមត្រូវរបស់គាត់ចំពោះសេចក្តីពិត</w:t>
      </w:r>
      <w:r>
        <w:rPr>
          <w:rFonts w:ascii="Times New Roman" w:hAnsi="Times New Roman" w:eastAsia="Times New Roman" w:cs="Times New Roman"/>
        </w:rPr>
        <w:t xml:space="preserve"> </w:t>
      </w:r>
      <w:r>
        <w:rPr>
          <w:rFonts w:ascii="Leelawadee UI" w:hAnsi="Leelawadee UI" w:eastAsia="Leelawadee UI" w:cs="Leelawadee UI"/>
        </w:rPr>
        <w:t>អាចក្លាយទៅជាប្រពៃណី</w:t>
      </w:r>
      <w:r>
        <w:rPr>
          <w:rFonts w:ascii="Times New Roman" w:hAnsi="Times New Roman" w:eastAsia="Times New Roman" w:cs="Times New Roman"/>
        </w:rPr>
        <w:t xml:space="preserve"> </w:t>
      </w:r>
      <w:r>
        <w:rPr>
          <w:rFonts w:ascii="Leelawadee UI" w:hAnsi="Leelawadee UI" w:eastAsia="Leelawadee UI" w:cs="Leelawadee UI"/>
        </w:rPr>
        <w:t>ឬទម្លាប់មួយ។</w:t>
      </w:r>
      <w:r>
        <w:rPr>
          <w:rFonts w:ascii="Times New Roman" w:hAnsi="Times New Roman" w:eastAsia="Times New Roman" w:cs="Times New Roman"/>
        </w:rPr>
        <w:t xml:space="preserve"> </w:t>
      </w:r>
      <w:r>
        <w:rPr>
          <w:rFonts w:ascii="Leelawadee UI" w:hAnsi="Leelawadee UI" w:eastAsia="Leelawadee UI" w:cs="Leelawadee UI"/>
        </w:rPr>
        <w:t>សេចក្តីពិតដែលបានប្រែក្លាយទៅជាប្រពៃណីនោះ</w:t>
      </w:r>
      <w:r>
        <w:rPr>
          <w:rFonts w:ascii="Times New Roman" w:hAnsi="Times New Roman" w:eastAsia="Times New Roman" w:cs="Times New Roman"/>
        </w:rPr>
        <w:t xml:space="preserve"> </w:t>
      </w:r>
      <w:r>
        <w:rPr>
          <w:rFonts w:ascii="Leelawadee UI" w:hAnsi="Leelawadee UI" w:eastAsia="Leelawadee UI" w:cs="Leelawadee UI"/>
        </w:rPr>
        <w:t>អាចបណ្តាលឲ្យកើតមានភាពខ្វាក់ភ្នែក</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ដែលត្រូវបានតំណាងនៅក្នុងសារទៅកាន់</w:t>
      </w:r>
      <w:r>
        <w:rPr>
          <w:rFonts w:ascii="Times New Roman" w:hAnsi="Times New Roman" w:eastAsia="Times New Roman" w:cs="Times New Roman"/>
        </w:rPr>
        <w:t xml:space="preserve"> Laodicea</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សេចក្តីពិតដើមនៅតែជាសេចក្តីពិតដដែល</w:t>
      </w:r>
      <w:r>
        <w:rPr>
          <w:rFonts w:ascii="Times New Roman" w:hAnsi="Times New Roman" w:eastAsia="Times New Roman" w:cs="Times New Roman"/>
        </w:rPr>
        <w:t xml:space="preserve"> </w:t>
      </w:r>
      <w:r>
        <w:rPr>
          <w:rFonts w:ascii="Leelawadee UI" w:hAnsi="Leelawadee UI" w:eastAsia="Leelawadee UI" w:cs="Leelawadee UI"/>
        </w:rPr>
        <w:t>ប៉ុន្តែអសមត្ថភាពក្នុងការមើលឃើញថា</w:t>
      </w:r>
      <w:r>
        <w:rPr>
          <w:rFonts w:ascii="Times New Roman" w:hAnsi="Times New Roman" w:eastAsia="Times New Roman" w:cs="Times New Roman"/>
        </w:rPr>
        <w:t xml:space="preserve"> </w:t>
      </w:r>
      <w:r>
        <w:rPr>
          <w:rFonts w:ascii="Leelawadee UI" w:hAnsi="Leelawadee UI" w:eastAsia="Leelawadee UI" w:cs="Leelawadee UI"/>
        </w:rPr>
        <w:t>សេចក្តីពិតនោះអភិវឌ្ឍទៅតាមពេលវេលា</w:t>
      </w:r>
      <w:r>
        <w:rPr>
          <w:rFonts w:ascii="Times New Roman" w:hAnsi="Times New Roman" w:eastAsia="Times New Roman" w:cs="Times New Roman"/>
        </w:rPr>
        <w:t xml:space="preserve"> </w:t>
      </w:r>
      <w:r>
        <w:rPr>
          <w:rFonts w:ascii="Leelawadee UI" w:hAnsi="Leelawadee UI" w:eastAsia="Leelawadee UI" w:cs="Leelawadee UI"/>
        </w:rPr>
        <w:t>ជាអ្វីដែលបង្កើតភាពខ្វាក់ភ្នែក។</w:t>
      </w:r>
      <w:r>
        <w:rPr>
          <w:rFonts w:ascii="Times New Roman" w:hAnsi="Times New Roman" w:eastAsia="Times New Roman" w:cs="Times New Roman"/>
        </w:rPr>
        <w:t xml:space="preserve"> </w:t>
      </w:r>
      <w:r>
        <w:rPr>
          <w:rFonts w:ascii="Leelawadee UI" w:hAnsi="Leelawadee UI" w:eastAsia="Leelawadee UI" w:cs="Leelawadee UI"/>
        </w:rPr>
        <w:t>សេចក្តីពិតមិនមែនជាមូលហេតុនៃភាពខ្វាក់ភ្នែករបស់ពួកគេទេ</w:t>
      </w:r>
      <w:r>
        <w:rPr>
          <w:rFonts w:ascii="Times New Roman" w:hAnsi="Times New Roman" w:eastAsia="Times New Roman" w:cs="Times New Roman"/>
        </w:rPr>
        <w:t xml:space="preserve"> </w:t>
      </w:r>
      <w:r>
        <w:rPr>
          <w:rFonts w:ascii="Leelawadee UI" w:hAnsi="Leelawadee UI" w:eastAsia="Leelawadee UI" w:cs="Leelawadee UI"/>
        </w:rPr>
        <w:t>ភាពខ្វាក់ភ្នែកគ្រាន់តែជារោគសញ្ញានៃមូលហេតុប៉ុណ្ណោះ។</w:t>
      </w:r>
      <w:r>
        <w:rPr>
          <w:rFonts w:ascii="Times New Roman" w:hAnsi="Times New Roman" w:eastAsia="Times New Roman" w:cs="Times New Roman"/>
        </w:rPr>
        <w:t xml:space="preserve"> </w:t>
      </w:r>
      <w:r>
        <w:rPr>
          <w:rFonts w:ascii="Leelawadee UI" w:hAnsi="Leelawadee UI" w:eastAsia="Leelawadee UI" w:cs="Leelawadee UI"/>
        </w:rPr>
        <w:t>មូលហេតុនោះគឺ</w:t>
      </w:r>
      <w:r>
        <w:rPr>
          <w:rFonts w:ascii="Times New Roman" w:hAnsi="Times New Roman" w:eastAsia="Times New Roman" w:cs="Times New Roman"/>
        </w:rPr>
        <w:t xml:space="preserve"> </w:t>
      </w:r>
      <w:r>
        <w:rPr>
          <w:rFonts w:ascii="Leelawadee UI" w:hAnsi="Leelawadee UI" w:eastAsia="Leelawadee UI" w:cs="Leelawadee UI"/>
        </w:rPr>
        <w:t>ត្រចៀកដែលមិនព្រមស្តាប់</w:t>
      </w:r>
      <w:r>
        <w:rPr>
          <w:rFonts w:ascii="Times New Roman" w:hAnsi="Times New Roman" w:eastAsia="Times New Roman" w:cs="Times New Roman"/>
        </w:rPr>
        <w:t xml:space="preserve"> </w:t>
      </w:r>
      <w:r>
        <w:rPr>
          <w:rFonts w:ascii="Leelawadee UI" w:hAnsi="Leelawadee UI" w:eastAsia="Leelawadee UI" w:cs="Leelawadee UI"/>
        </w:rPr>
        <w:t>ភ្នែកដែលមិនព្រមមើលឃើញ</w:t>
      </w:r>
      <w:r>
        <w:rPr>
          <w:rFonts w:ascii="Times New Roman" w:hAnsi="Times New Roman" w:eastAsia="Times New Roman" w:cs="Times New Roman"/>
        </w:rPr>
        <w:t xml:space="preserve"> </w:t>
      </w:r>
      <w:r>
        <w:rPr>
          <w:rFonts w:ascii="Leelawadee UI" w:hAnsi="Leelawadee UI" w:eastAsia="Leelawadee UI" w:cs="Leelawadee UI"/>
        </w:rPr>
        <w:t>និងចិត្តដែលមិនព្រមប្រែចិត្ត</w:t>
      </w:r>
      <w:r>
        <w:rPr>
          <w:rFonts w:ascii="Times New Roman" w:hAnsi="Times New Roman" w:eastAsia="Times New Roman" w:cs="Times New Roman"/>
        </w:rPr>
        <w:t xml:space="preserve"> </w:t>
      </w:r>
      <w:r>
        <w:rPr>
          <w:rFonts w:ascii="Leelawadee UI" w:hAnsi="Leelawadee UI" w:eastAsia="Leelawadee UI" w:cs="Leelawadee UI"/>
        </w:rPr>
        <w:t>នៅក្នុងអស់អ្នកដែលពេញចិត្តនឹងខ្លួនឯង</w:t>
      </w:r>
      <w:r>
        <w:rPr>
          <w:rFonts w:ascii="Times New Roman" w:hAnsi="Times New Roman" w:eastAsia="Times New Roman" w:cs="Times New Roman"/>
        </w:rPr>
        <w:t xml:space="preserve"> </w:t>
      </w:r>
      <w:r>
        <w:rPr>
          <w:rFonts w:ascii="Leelawadee UI" w:hAnsi="Leelawadee UI" w:eastAsia="Leelawadee UI" w:cs="Leelawadee UI"/>
        </w:rPr>
        <w:t>ដោយការលួងលោមនៃប្រពៃណី</w:t>
      </w:r>
      <w:r>
        <w:rPr>
          <w:rFonts w:ascii="Times New Roman" w:hAnsi="Times New Roman" w:eastAsia="Times New Roman" w:cs="Times New Roman"/>
        </w:rPr>
        <w:t xml:space="preserve"> </w:t>
      </w:r>
      <w:r>
        <w:rPr>
          <w:rFonts w:ascii="Leelawadee UI" w:hAnsi="Leelawadee UI" w:eastAsia="Leelawadee UI" w:cs="Leelawadee UI"/>
        </w:rPr>
        <w:t>និងទម្លាប់។</w:t>
      </w:r>
    </w:p>
    <w:p>
      <w:pPr>
        <w:pStyle w:val="ArticleScripture"/>
        <w:jc w:val="left"/>
      </w:pPr>
      <w:r>
        <w:rPr>
          <w:rFonts w:ascii="Times New Roman" w:hAnsi="Times New Roman" w:eastAsia="Times New Roman" w:cs="Times New Roman"/>
        </w:rPr>
        <w:t>«Christ dans son enseignement a présenté d’anciennes vérités dont il était lui-même l’auteur, vérités qu’il avait proclamées par les patriarches et les prophètes; mais il répandit alors sur elles une lumière nouvelle. Combien différente en paraissait la signification! Un flot de lumière et de spiritualité fut apporté par son explication. Et il promit que le Saint-Esprit éclairerait les disciples, afin que la parole de Dieu se déploie sans cesse devant eux. Ils seraient capables d’en présenter les vérités dans une beauté nouvelle.</w:t>
      </w:r>
    </w:p>
    <w:p>
      <w:pPr>
        <w:pStyle w:val="ArticleScripture"/>
        <w:jc w:val="left"/>
      </w:pPr>
      <w:r>
        <w:rPr>
          <w:rFonts w:ascii="Times New Roman" w:hAnsi="Times New Roman" w:eastAsia="Times New Roman" w:cs="Times New Roman"/>
        </w:rPr>
        <w:t>“Боз аз замоне ки аввалин ваъдаи наҷот дар Адан эълон гардид, ҳаёт, хислат ва кори шафоатгаронаи Масеҳ мавриди омӯзиши зеҳнҳои инсонӣ будааст. Аммо ҳар зеҳне ки Рӯҳулқудс ба василаи он амал кардааст, ин мавзӯъҳоро дар нуре тоза ва нав пешкаш намудааст. Ҳақиқатҳои наҷот қобили такомул ва густариши доимӣ мебошанд. Гарчи куҳананд, ҳамеша наванд ва пайваста ба ҷӯяндаи ҳақиқат ҷалоли бештар ва қудрате азимтарро ошкор месозанд.</w:t>
      </w:r>
    </w:p>
    <w:p>
      <w:pPr>
        <w:pStyle w:val="ArticleScripture"/>
        <w:jc w:val="left"/>
      </w:pPr>
      <w:r>
        <w:rPr>
          <w:rFonts w:ascii="Times New Roman" w:hAnsi="Times New Roman" w:eastAsia="Times New Roman" w:cs="Times New Roman"/>
        </w:rPr>
        <w:t>“Di setiap zaman ada perkembangan baru dari kebenaran, suatu pekabaran dari Allah kepada umat pada generasi itu. Kebenaran-kebenaran yang lama semuanya tetap hakiki; kebenaran yang baru tidak berdiri sendiri terpisah dari yang lama, melainkan merupakan penyingkapan daripadanya. Hanya apabila kebenaran-kebenaran yang lama dipahami, barulah kita dapat mengerti yang baru. Ketika Kristus hendak membuka kepada murid-murid-Nya kebenaran tentang kebangkitan-Nya, Ia memulai ‘dari Musa dan segala nabi’ lalu ‘menjelaskan kepada mereka dalam seluruh Kitab Suci hal-hal tentang diri-Nya.’ Lukas 24:27. Namun, terang yang bercahaya dalam penyingkapan baru kebenaran itulah yang memuliakan yang lama. Barangsiapa menolak atau mengabaikan yang baru, sesungguhnya tidak benar-benar memiliki yang lama. Baginya, yang lama kehilangan kuasa hidupnya dan menjadi hanya suatu bentuk yang tak bernyawa.”</w:t>
      </w:r>
    </w:p>
    <w:p>
      <w:pPr>
        <w:pStyle w:val="ArticleScripture"/>
        <w:jc w:val="left"/>
      </w:pPr>
      <w:r>
        <w:rPr>
          <w:rFonts w:ascii="Times New Roman" w:hAnsi="Times New Roman" w:eastAsia="Times New Roman" w:cs="Times New Roman"/>
        </w:rPr>
        <w:t>“Υπάρχουν εκείνοι που ομολογούν ότι πιστεύουν και διδάσκουν τις αλήθειες της Παλαιάς Διαθήκης, ενώ απορρίπτουν την Καινή. Αρνούμενοι όμως να δεχθούν τις διδασκαλίες του Χριστού, δείχνουν ότι δεν πιστεύουν εκείνο το οποίο έχουν λαλήσει οι πατριάρχες και οι προφήτες. «Εάν επιστεύετε εις τον Μωυσήν», είπε ο Χριστός, «ήθελετε πιστεύσει εις Εμέ· διότι εκείνος έγραψε περί Εμού.» Ιωάν. 5:46. Επομένως, δεν υπάρχει πραγματική δύναμη ούτε καν στη διδασκαλία τους της Παλαιάς Διαθήκης.”</w:t>
      </w:r>
    </w:p>
    <w:p>
      <w:pPr>
        <w:pStyle w:val="ArticleScripture"/>
        <w:jc w:val="left"/>
      </w:pPr>
      <w:r>
        <w:rPr>
          <w:rFonts w:ascii="Times New Roman" w:hAnsi="Times New Roman" w:eastAsia="Times New Roman" w:cs="Times New Roman"/>
        </w:rPr>
        <w:t>“</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उपदेश</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5:39</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अविभाज्य</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देहधारी</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व्याख्यायित</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सुगंधित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w:t>
      </w:r>
      <w:r>
        <w:rPr>
          <w:rFonts w:ascii="Nirmala UI" w:hAnsi="Nirmala UI" w:eastAsia="Nirmala UI" w:cs="Nirmala UI"/>
        </w:rPr>
        <w:t>कथाएँ</w:t>
      </w:r>
      <w:r>
        <w:rPr>
          <w:rFonts w:ascii="Times New Roman" w:hAnsi="Times New Roman" w:eastAsia="Times New Roman" w:cs="Times New Roman"/>
        </w:rPr>
        <w:t>, 127</w:t>
      </w:r>
      <w:r>
        <w:rPr>
          <w:rFonts w:ascii="Nirmala UI" w:hAnsi="Nirmala UI" w:eastAsia="Nirmala UI" w:cs="Nirmala UI"/>
        </w:rPr>
        <w:t>।</w:t>
      </w:r>
    </w:p>
    <w:p>
      <w:pPr>
        <w:pStyle w:val="ArticleBody"/>
        <w:jc w:val="left"/>
      </w:pPr>
      <w:r>
        <w:rPr>
          <w:rFonts w:ascii="Times New Roman" w:hAnsi="Times New Roman" w:eastAsia="Times New Roman" w:cs="Times New Roman"/>
        </w:rPr>
        <w:t>Wale wanaodai kuamini la kale, lakini wakalikataa lililo jipya, inawahusu kwa nguvu iliyo kubwa zaidi Waadventista Wasabato wanaodai kuamini Biblia kwa ukamilifu wake wote, lakini wakiyakataa maandiko ya Roho ya Unabii. Katika Ufunuo, Yohana ni ishara ya watu wa Mungu katika siku za mwisho wanaoteswa kwa sababu ya kukubali Biblia pamoja na Roho ya Unabii.</w:t>
      </w:r>
    </w:p>
    <w:p>
      <w:pPr>
        <w:pStyle w:val="ArticleScripture"/>
        <w:jc w:val="left"/>
      </w:pPr>
      <w:r>
        <w:rPr>
          <w:rFonts w:ascii="Times New Roman" w:hAnsi="Times New Roman" w:eastAsia="Times New Roman" w:cs="Times New Roman"/>
        </w:rPr>
        <w:t>Nimi Yohana, ambaye nami ni ndugu yenu, na mshiriki pamoja nanyi katika dhiki, na katika ufalme na saburi ya Yesu Kristo, nalikuwapo katika kisiwa kinachoitwa Patmo, kwa ajili ya neno la Mungu, na kwa ajili ya ushuhuda wa Yesu Kristo. Ufunuo 1:9.</w:t>
      </w:r>
    </w:p>
    <w:p>
      <w:pPr>
        <w:pStyle w:val="ArticleBody"/>
        <w:jc w:val="left"/>
      </w:pPr>
      <w:r>
        <w:rPr>
          <w:rFonts w:ascii="Times New Roman" w:hAnsi="Times New Roman" w:eastAsia="Times New Roman" w:cs="Times New Roman"/>
        </w:rPr>
        <w:t>Si quelqu’un accepte le témoignage de Jésus, qui est l’Esprit de prophétie, c’est-à-dire les écrits d’Ellen White, alors le passage précédent tiré de ses écrits identifie la question que j’aborde. Elle a écrit que les « vérités de la rédemption sont susceptibles d’un développement et d’un élargissement constants. Bien qu’anciennes, elles sont toujours nouvelles, révélant sans cesse au chercheur de vérité une gloire plus grande et une puissance plus forte », et que dans « chaque époque il y a un nouveau développement de la vérité, un message de Dieu pour le peuple de cette génération ».</w:t>
      </w:r>
    </w:p>
    <w:p>
      <w:pPr>
        <w:pStyle w:val="ArticleBody"/>
        <w:jc w:val="left"/>
      </w:pPr>
      <w:r>
        <w:rPr>
          <w:rFonts w:ascii="Times New Roman" w:hAnsi="Times New Roman" w:eastAsia="Times New Roman" w:cs="Times New Roman"/>
        </w:rPr>
        <w:t>Bien que la compréhension habituelle du livre de l’Apocalypse qu’un Adventiste du Septième Jour typique pourrait avoir soit vraie, l’ensemble du livre de l’Apocalypse constitue un témoignage des derniers jours. Nous appliquons actuellement une vérité qui est maintenant en train d’être descellée, et cette vérité ne sera pas reconnue par ceux qui ne sont pas disposés à accepter que tous les passages du livre de l’Apocalypse font partie de la Révélation de Jésus-Christ qui est descellée dans les derniers jours.</w:t>
      </w:r>
    </w:p>
    <w:p>
      <w:pPr>
        <w:pStyle w:val="ArticleBody"/>
        <w:jc w:val="left"/>
      </w:pPr>
      <w:r>
        <w:rPr>
          <w:rFonts w:ascii="Times New Roman" w:hAnsi="Times New Roman" w:eastAsia="Times New Roman" w:cs="Times New Roman"/>
        </w:rPr>
        <w:t>La comprensión que el adventismo ha sostenido acerca de Apocalipsis once, como cumplimiento de la Revolución Francesa, es correcta, y la hermana White sostiene esa visión correcta. Sin embargo, esa verdad era simplemente una historia, la cual está registrada para ilustrar los últimos días. Todo el libro de Apocalipsis está regido por este fenómeno profético.</w:t>
      </w:r>
    </w:p>
    <w:p>
      <w:pPr>
        <w:pStyle w:val="ArticleBody"/>
        <w:jc w:val="left"/>
      </w:pPr>
      <w:r>
        <w:rPr>
          <w:rFonts w:ascii="Times New Roman" w:hAnsi="Times New Roman" w:eastAsia="Times New Roman" w:cs="Times New Roman"/>
        </w:rPr>
        <w:t>אנחנו בונים על ההיסטוריה הנסתרת של שבעת הרעמים כמדריך המביא יחד את יחזקאל ל״ז, ישעיהו מ׳ והתגלות י״א עם משל עשר הבתולות שבמתי כ״ה. קו נבואי נוסף התומך ביישום הרצף הנבואי של האירועים שאנו דנים בו מצוי בקו של המשיח, אשר כולל גם עד משני. ישוע היה בן שלושים שנה כאשר נטבל והיה לישוע המשיח, שכן “Christ” ביוונית של הברית החדשה, או “Messiah” בעברית של הברית הישנה, פירושו המשוח.</w:t>
      </w:r>
    </w:p>
    <w:p>
      <w:pPr>
        <w:pStyle w:val="ArticleScripture"/>
        <w:jc w:val="left"/>
      </w:pPr>
      <w:r>
        <w:rPr>
          <w:rFonts w:ascii="Times New Roman" w:hAnsi="Times New Roman" w:eastAsia="Times New Roman" w:cs="Times New Roman"/>
        </w:rPr>
        <w:t>Neno hilo, nasema, ninyi mnalijua, lililotangazwa katika Uyahudi wote, likianza kutoka Galilaya, baada ya ubatizo aliouhubiri Yohana; jinsi Mungu alivyomtia mafuta Yesu wa Nazareti kwa Roho Mtakatifu na kwa uweza; ambaye alizunguka akitenda mema, na kuwaponya wote waliokuwa wameonewa na Ibilisi; kwa maana Mungu alikuwa pamoja naye. Matendo 10:37, 38.</w:t>
      </w:r>
    </w:p>
    <w:p>
      <w:pPr>
        <w:pStyle w:val="ArticleBody"/>
        <w:jc w:val="left"/>
      </w:pPr>
      <w:r>
        <w:rPr>
          <w:rFonts w:ascii="Times New Roman" w:hAnsi="Times New Roman" w:eastAsia="Times New Roman" w:cs="Times New Roman"/>
        </w:rPr>
        <w:t>Sa loob ng tatlumpung taon, si Jesus ay naghanda upang pahiran, at nang Siya’y mapahiran sa Kaniyang bautismo, Siya, bilang Cristo, ay iniharap ang Kaniyang mensahe sa loob ng tatlo at kalahating makahulang araw. Pagkatapos nito ay Siya’y pinatay, inilagay sa libingan, muling nabuhay, at saka umakyat sa langit. Ang pasimula ng Kaniyang ministeryo na tatlo at kalahating taon ay ang Kaniyang bautismo, na kumakatawan sa Kaniyang kamatayan at pagkabuhay na mag-uli; at sa katapusan ng Kaniyang isang libo’t dalawang daan at animnapung araw ng ministeryo ay ipinako Siya sa krus at saka muling nabuhay—sapagkat Siya ang pasimula at ang wakas. Ang pangyayari ng Kaniyang kamatayan at pagkabuhay na mag-uli ay nagluwal ng isang makapangyarihang hukbo na sa loob pa ng panibagong tatlo at kalahating taon ay nagdala ng ebanghelyo sa mga Judio, at pagkaraan nito ay sa sanlibutan.</w:t>
      </w:r>
    </w:p>
    <w:p>
      <w:pPr>
        <w:pStyle w:val="ArticleBody"/>
        <w:jc w:val="left"/>
      </w:pPr>
      <w:r>
        <w:rPr>
          <w:rFonts w:ascii="Times New Roman" w:hAnsi="Times New Roman" w:eastAsia="Times New Roman" w:cs="Times New Roman"/>
        </w:rPr>
        <w:t>Leið kaþólska kirkjan, sem er andkristur spádóms Biblíunnar, var einnig þrjátíu ár í undirbúningi áður en hún var smurð mætti. Árið 508 var „hið daglega“ numið burt. Systir White lætur okkur beinlínis vita að Millerítarnir höfðu réttan skilning á „hinu daglega“ í Daníelsbók, þrátt fyrir þá staðreynd að laódíkeíska Sjöunda-dags aðventistakirkjan sneri aftur á fjórða áratug 20. aldar til hinnar fráhverfu mótmælendatrúar og satanísku skoðunar hennar á „hinu daglega“.</w:t>
      </w:r>
    </w:p>
    <w:p>
      <w:pPr>
        <w:pStyle w:val="ArticleScripture"/>
        <w:jc w:val="left"/>
      </w:pPr>
      <w:r>
        <w:rPr>
          <w:rFonts w:ascii="Times New Roman" w:hAnsi="Times New Roman" w:eastAsia="Times New Roman" w:cs="Times New Roman"/>
        </w:rPr>
        <w:t>« Ensuite, je vis, au sujet du « continuel » (Daniel 8:12), que le mot « sacrifice » avait été ajouté par la sagesse humaine, qu’il n’appartient pas au texte, et que le Seigneur en donna la juste compréhension à ceux qui proclamèrent le cri de l’heure du jugement. » Early Writings, 74.</w:t>
      </w:r>
    </w:p>
    <w:p>
      <w:pPr>
        <w:pStyle w:val="ArticleBody"/>
        <w:jc w:val="left"/>
      </w:pPr>
      <w:r>
        <w:rPr>
          <w:rFonts w:ascii="Times New Roman" w:hAnsi="Times New Roman" w:eastAsia="Times New Roman" w:cs="Times New Roman"/>
        </w:rPr>
        <w:t>“Päivittäinen” edustaa pakanuutta, ja pakanallinen Rooma oli se valta, joka pidätti ja esti paavikuntaa nousemasta maan valtaistuimelle. Niin kuin Danielin kirjassa ennustettiin, ja sittemmin historia vahvisti, ja sen jälkeen enkelit ilmoittivat sen William Millerille, ja sen jälkeen Ellen White vahvisti sen, vuonna 508 poistettiin se pakanallinen pidäke, joka esti paavikunnan nousun. Kuten Kristuksen kohdalla, antikristus valmistautui kolmenkymmenen vuoden ajan saamaan vallan vuonna 538. Kristus ja antikristus valmistautuivat kumpikin kolmenkymmenen vuoden ajan saamaan vallan. Kun paavikunta kerran sai vallan vuonna 538, se julisti kuoleman sanomaansa kolmen ja puolen profeetallisen vuoden ajan, aivan kuten Kristus oli julistanut elämän sanomaansa kolmen ja puolen vuoden ajan. Ilmestyskirjan yhdennentoista luvun kaksi todistajaa, jotka Ranskan vallankumouksen historiassa edustivat Vanhaa ja Uutta testamenttia, saivat niin ikään vallan profetoida kolmen ja puolen profeetallisen päivän ajan.</w:t>
      </w:r>
    </w:p>
    <w:p>
      <w:pPr>
        <w:pStyle w:val="ArticleScripture"/>
        <w:jc w:val="left"/>
      </w:pPr>
      <w:r>
        <w:rPr>
          <w:rFonts w:ascii="Microsoft YaHei" w:hAnsi="Microsoft YaHei" w:eastAsia="Microsoft YaHei" w:cs="Microsoft YaHei"/>
        </w:rPr>
        <w:t>我必賜能力給我的兩個見證人</w:t>
      </w:r>
      <w:r>
        <w:rPr>
          <w:rFonts w:ascii="Times New Roman" w:hAnsi="Times New Roman" w:eastAsia="Times New Roman" w:cs="Times New Roman"/>
        </w:rPr>
        <w:t>,</w:t>
      </w:r>
      <w:r>
        <w:rPr>
          <w:rFonts w:ascii="Microsoft YaHei" w:hAnsi="Microsoft YaHei" w:eastAsia="Microsoft YaHei" w:cs="Microsoft YaHei"/>
        </w:rPr>
        <w:t>他們要身穿麻衣</w:t>
      </w:r>
      <w:r>
        <w:rPr>
          <w:rFonts w:ascii="Times New Roman" w:hAnsi="Times New Roman" w:eastAsia="Times New Roman" w:cs="Times New Roman"/>
        </w:rPr>
        <w:t>,</w:t>
      </w:r>
      <w:r>
        <w:rPr>
          <w:rFonts w:ascii="Microsoft YaHei" w:hAnsi="Microsoft YaHei" w:eastAsia="Microsoft YaHei" w:cs="Microsoft YaHei"/>
        </w:rPr>
        <w:t>說預言一千二百六十天</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11:3.</w:t>
      </w:r>
    </w:p>
    <w:p>
      <w:pPr>
        <w:pStyle w:val="ArticleBody"/>
        <w:jc w:val="left"/>
      </w:pPr>
      <w:r>
        <w:rPr>
          <w:rFonts w:ascii="Ebrima" w:hAnsi="Ebrima" w:eastAsia="Ebrima" w:cs="Ebrima"/>
        </w:rPr>
        <w:t>እ</w:t>
      </w:r>
      <w:r>
        <w:rPr>
          <w:rFonts w:ascii="Times New Roman" w:hAnsi="Times New Roman" w:eastAsia="Times New Roman" w:cs="Times New Roman"/>
        </w:rPr>
        <w:t>.</w:t>
      </w:r>
      <w:r>
        <w:rPr>
          <w:rFonts w:ascii="Ebrima" w:hAnsi="Ebrima" w:eastAsia="Ebrima" w:cs="Ebrima"/>
        </w:rPr>
        <w:t>ኤ</w:t>
      </w:r>
      <w:r>
        <w:rPr>
          <w:rFonts w:ascii="Times New Roman" w:hAnsi="Times New Roman" w:eastAsia="Times New Roman" w:cs="Times New Roman"/>
        </w:rPr>
        <w:t>.</w:t>
      </w:r>
      <w:r>
        <w:rPr>
          <w:rFonts w:ascii="Ebrima" w:hAnsi="Ebrima" w:eastAsia="Ebrima" w:cs="Ebrima"/>
        </w:rPr>
        <w:t>አ</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1798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በመስቀል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የሚወክሉት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በጎዳና</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ተገደሉ፣</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የሚቃወም</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የሞት</w:t>
      </w:r>
      <w:r>
        <w:rPr>
          <w:rFonts w:ascii="Times New Roman" w:hAnsi="Times New Roman" w:eastAsia="Times New Roman" w:cs="Times New Roman"/>
        </w:rPr>
        <w:t xml:space="preserve"> </w:t>
      </w:r>
      <w:r>
        <w:rPr>
          <w:rFonts w:ascii="Ebrima" w:hAnsi="Ebrima" w:eastAsia="Ebrima" w:cs="Ebrima"/>
        </w:rPr>
        <w:t>ቁስሉን</w:t>
      </w:r>
      <w:r>
        <w:rPr>
          <w:rFonts w:ascii="Times New Roman" w:hAnsi="Times New Roman" w:eastAsia="Times New Roman" w:cs="Times New Roman"/>
        </w:rPr>
        <w:t xml:space="preserve"> </w:t>
      </w:r>
      <w:r>
        <w:rPr>
          <w:rFonts w:ascii="Ebrima" w:hAnsi="Ebrima" w:eastAsia="Ebrima" w:cs="Ebrima"/>
        </w:rPr>
        <w:t>ተቀበለ።</w:t>
      </w:r>
    </w:p>
    <w:p>
      <w:pPr>
        <w:pStyle w:val="ArticleBody"/>
        <w:jc w:val="left"/>
      </w:pPr>
      <w:r>
        <w:rPr>
          <w:rFonts w:ascii="Nirmala UI" w:hAnsi="Nirmala UI" w:eastAsia="Nirmala UI" w:cs="Nirmala UI"/>
        </w:rPr>
        <w:t>क्रिस्टको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प्रतिख्रीष्टसम्बन्धी</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विषयहरूमध्ये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घाउ</w:t>
      </w:r>
      <w:r>
        <w:rPr>
          <w:rFonts w:ascii="Times New Roman" w:hAnsi="Times New Roman" w:eastAsia="Times New Roman" w:cs="Times New Roman"/>
        </w:rPr>
        <w:t xml:space="preserve"> </w:t>
      </w:r>
      <w:r>
        <w:rPr>
          <w:rFonts w:ascii="Nirmala UI" w:hAnsi="Nirmala UI" w:eastAsia="Nirmala UI" w:cs="Nirmala UI"/>
        </w:rPr>
        <w:t>निको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क्रिस्टको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प्रतिख्रीष्टको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साक्ष्यहरूमा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बन्छ।</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राष्ट्रसंघ</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राजाहरू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निर्देशनमा</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राजाहरूमध्ये</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प्रतिख्रीष्टलाई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संघको</w:t>
      </w:r>
      <w:r>
        <w:rPr>
          <w:rFonts w:ascii="Times New Roman" w:hAnsi="Times New Roman" w:eastAsia="Times New Roman" w:cs="Times New Roman"/>
        </w:rPr>
        <w:t xml:space="preserve"> </w:t>
      </w:r>
      <w:r>
        <w:rPr>
          <w:rFonts w:ascii="Nirmala UI" w:hAnsi="Nirmala UI" w:eastAsia="Nirmala UI" w:cs="Nirmala UI"/>
        </w:rPr>
        <w:t>शिरका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सिंहासनमा</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Scripture"/>
        <w:jc w:val="left"/>
      </w:pPr>
      <w:r>
        <w:rPr>
          <w:rFonts w:ascii="Times New Roman" w:hAnsi="Times New Roman" w:eastAsia="Times New Roman" w:cs="Times New Roman"/>
        </w:rPr>
        <w:t>« Comme nous approchons de la dernière crise, il est d’une importance capitale que l’harmonie et l’unité existent parmi les instruments du Seigneur. Le monde est rempli de tempête, de guerre et de discorde. Pourtant, sous un seul chef — la puissance papale — les peuples s’uniront pour s’opposer à Dieu dans la personne de Ses témoins. Cette union est cimentée par le grand apostat. Tandis qu’il cherche à unir ses agents pour faire la guerre à la vérité, il s’efforcera de diviser et de disperser ses défenseurs. La jalousie, les mauvais soupçons, la médisance, sont suscités par lui afin de produire la discorde et la dissension. » Testimonies, volume 7, 182.</w:t>
      </w:r>
    </w:p>
    <w:p>
      <w:pPr>
        <w:pStyle w:val="ArticleBody"/>
        <w:jc w:val="left"/>
      </w:pPr>
      <w:r>
        <w:rPr>
          <w:rFonts w:ascii="Times New Roman" w:hAnsi="Times New Roman" w:eastAsia="Times New Roman" w:cs="Times New Roman"/>
        </w:rPr>
        <w:t>Kiedy antychryst zostanie wskrzeszony, wstąpi na tron ziemi i poprowadzi troistą unię w jej marszu ku Armagedonowi, tak jak Izebel poprowadziła Achaba na górę Karmel. Psalmista Asaf wskazuje dziesięć narodów, reprezentujących Organizację Narodów Zjednoczonych, jako zły spisek nieprzyjaciół Boga, którzy podnoszą swoją „głowę”, którą jest „władza papieska”.</w:t>
      </w:r>
    </w:p>
    <w:p>
      <w:pPr>
        <w:pStyle w:val="ArticleScripture"/>
        <w:jc w:val="left"/>
      </w:pPr>
      <w:r>
        <w:rPr>
          <w:rFonts w:ascii="Times New Roman" w:hAnsi="Times New Roman" w:eastAsia="Times New Roman" w:cs="Times New Roman"/>
        </w:rPr>
        <w:t>Ki Asaf. Ungalindi, Ee Xikwembu; ungathuli, ungakghanyi, Ee Xikwembu. Ngoba, bheka, izitha zakho zenza umsindo; nalabo abakuzondayo baphakamisile ikhanda. Bacebe ngobuqili ngokumelene nabantu bakho, bahlanganyele amacebo ngokumelene nabafihlekile bakho. Bathi: Wozani, sibaqede bangabe besaba yisizwe, ukuze igama laka-Israyeli lingabe lisakhunjulwa. Ngoba bacebe ngazwi linye; benze isivumelwano ngokumelene nawe: amatende akwa-Edomu, nama-Ishmayeli; akwaMowabi, namaHagari; iGebali, no-Amoni, no-Amaleki; amaFilisti kanye nezakhamuzi zaseTire; ne-Asiriya ibambene nabo; basizile abantwana bakaLoti. Sela. AmaHubo 83:1–8.</w:t>
      </w:r>
    </w:p>
    <w:p>
      <w:pPr>
        <w:pStyle w:val="ArticleBody"/>
        <w:jc w:val="left"/>
      </w:pPr>
      <w:r>
        <w:rPr>
          <w:rFonts w:ascii="Times New Roman" w:hAnsi="Times New Roman" w:eastAsia="Times New Roman" w:cs="Times New Roman"/>
        </w:rPr>
        <w:t>Daarna wappert het vaandel van de drie engelen midden aan de hemel.</w:t>
      </w:r>
    </w:p>
    <w:p>
      <w:pPr>
        <w:pStyle w:val="ArticleScripture"/>
        <w:jc w:val="left"/>
      </w:pPr>
      <w:r>
        <w:rPr>
          <w:rFonts w:ascii="Times New Roman" w:hAnsi="Times New Roman" w:eastAsia="Times New Roman" w:cs="Times New Roman"/>
        </w:rPr>
        <w:t>Мен көктің ортасында ұшып бара жатқан тағы бір періштені көрдім; онда жерде тұратындарға, әрбір ұлтқа, руға, тілге және халыққа уағыздау үшін мәңгілік Ізгі хабар бар еді. Ол қатты дауыспен былай деді: «Құдайдан қорқыңдар және Оған ұлылық беріңдер; өйткені Оның сотының уақыты келді. Көк пен жерді, теңізді және сулардың қайнарларын Жаратқанға табыныңдар». Оның соңынан тағы бір періште еріп, былай деді: «Бабыл құлады, құлады, сол ұлы қала, өйткені ол барлық халықтарға өзінің азғындық ашуының шарабын ішкізді». Ал үшінші періште олардың соңынан еріп, қатты дауыспен былай деді: «Егер кімде-кім аңға және оның мүсініне табынып, маңдайына немесе қолына оның таңбасын қабылдаса, сол да Құдай қаһарының шарабын ішетін болады; ол Оның ашу тостағанына қоспасыз құйылған. Сондай-ақ ол қасиетті періштелердің алдында және Тоқтының алдында от пен күкіртпен азапталады. Олардың азабының түтіні мәңгілікке, мәңгілікке көтеріледі; аңға және оның мүсініне табынатындардың әрі оның есімінің таңбасын қабылдайтындардың күні-түні тынымы жоқ. Міне, әулиелердің төзімі осында: Құдайдың өсиеттерін және Исаның сенімін сақтайтындар осылар». Аян 14:6–12.</w:t>
      </w:r>
    </w:p>
    <w:p>
      <w:pPr>
        <w:pStyle w:val="ArticleBody"/>
        <w:jc w:val="left"/>
      </w:pPr>
      <w:r>
        <w:rPr>
          <w:rFonts w:ascii="Ebrima" w:hAnsi="Ebrima" w:eastAsia="Ebrima" w:cs="Ebrima"/>
        </w:rPr>
        <w:t>ባንዲራው</w:t>
      </w:r>
      <w:r>
        <w:rPr>
          <w:rFonts w:ascii="Times New Roman" w:hAnsi="Times New Roman" w:eastAsia="Times New Roman" w:cs="Times New Roman"/>
        </w:rPr>
        <w:t xml:space="preserve"> </w:t>
      </w:r>
      <w:r>
        <w:rPr>
          <w:rFonts w:ascii="Ebrima" w:hAnsi="Ebrima" w:eastAsia="Ebrima" w:cs="Ebrima"/>
        </w:rPr>
        <w:t>የሦስቱ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የሚበር</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የሚቃወም</w:t>
      </w:r>
      <w:r>
        <w:rPr>
          <w:rFonts w:ascii="Times New Roman" w:hAnsi="Times New Roman" w:eastAsia="Times New Roman" w:cs="Times New Roman"/>
        </w:rPr>
        <w:t xml:space="preserve"> </w:t>
      </w:r>
      <w:r>
        <w:rPr>
          <w:rFonts w:ascii="Ebrima" w:hAnsi="Ebrima" w:eastAsia="Ebrima" w:cs="Ebrima"/>
        </w:rPr>
        <w:t>በተባበሩት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ይደረጋል።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ባንዲራው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እውነት</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ያውጃል፥</w:t>
      </w:r>
      <w:r>
        <w:rPr>
          <w:rFonts w:ascii="Times New Roman" w:hAnsi="Times New Roman" w:eastAsia="Times New Roman" w:cs="Times New Roman"/>
        </w:rPr>
        <w:t xml:space="preserve"> </w:t>
      </w:r>
      <w:r>
        <w:rPr>
          <w:rFonts w:ascii="Ebrima" w:hAnsi="Ebrima" w:eastAsia="Ebrima" w:cs="Ebrima"/>
        </w:rPr>
        <w:t>ክርስቶስንም</w:t>
      </w:r>
      <w:r>
        <w:rPr>
          <w:rFonts w:ascii="Times New Roman" w:hAnsi="Times New Roman" w:eastAsia="Times New Roman" w:cs="Times New Roman"/>
        </w:rPr>
        <w:t xml:space="preserve"> </w:t>
      </w:r>
      <w:r>
        <w:rPr>
          <w:rFonts w:ascii="Ebrima" w:hAnsi="Ebrima" w:eastAsia="Ebrima" w:cs="Ebrima"/>
        </w:rPr>
        <w:t>የሚቃወም</w:t>
      </w:r>
      <w:r>
        <w:rPr>
          <w:rFonts w:ascii="Times New Roman" w:hAnsi="Times New Roman" w:eastAsia="Times New Roman" w:cs="Times New Roman"/>
        </w:rPr>
        <w:t xml:space="preserve"> </w:t>
      </w:r>
      <w:r>
        <w:rPr>
          <w:rFonts w:ascii="Ebrima" w:hAnsi="Ebrima" w:eastAsia="Ebrima" w:cs="Ebrima"/>
        </w:rPr>
        <w:t>የልማድና</w:t>
      </w:r>
      <w:r>
        <w:rPr>
          <w:rFonts w:ascii="Times New Roman" w:hAnsi="Times New Roman" w:eastAsia="Times New Roman" w:cs="Times New Roman"/>
        </w:rPr>
        <w:t xml:space="preserve"> </w:t>
      </w:r>
      <w:r>
        <w:rPr>
          <w:rFonts w:ascii="Ebrima" w:hAnsi="Ebrima" w:eastAsia="Ebrima" w:cs="Ebrima"/>
        </w:rPr>
        <w:t>የባህል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ያውጃል።</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የጵጵስናውን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እንዳይቀበሉ</w:t>
      </w:r>
      <w:r>
        <w:rPr>
          <w:rFonts w:ascii="Times New Roman" w:hAnsi="Times New Roman" w:eastAsia="Times New Roman" w:cs="Times New Roman"/>
        </w:rPr>
        <w:t xml:space="preserve"> </w:t>
      </w:r>
      <w:r>
        <w:rPr>
          <w:rFonts w:ascii="Ebrima" w:hAnsi="Ebrima" w:eastAsia="Ebrima" w:cs="Ebrima"/>
        </w:rPr>
        <w:t>የሰውን</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እያስጠነቀቁ</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ሐሰተኛው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ሆና</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እንድትቀበል</w:t>
      </w:r>
      <w:r>
        <w:rPr>
          <w:rFonts w:ascii="Times New Roman" w:hAnsi="Times New Roman" w:eastAsia="Times New Roman" w:cs="Times New Roman"/>
        </w:rPr>
        <w:t xml:space="preserve"> </w:t>
      </w:r>
      <w:r>
        <w:rPr>
          <w:rFonts w:ascii="Ebrima" w:hAnsi="Ebrima" w:eastAsia="Ebrima" w:cs="Ebrima"/>
        </w:rPr>
        <w:t>ታስገድዳለች።</w:t>
      </w:r>
    </w:p>
    <w:p>
      <w:pPr>
        <w:pStyle w:val="ArticleBody"/>
        <w:jc w:val="left"/>
      </w:pPr>
      <w:r>
        <w:rPr>
          <w:rFonts w:ascii="Times New Roman" w:hAnsi="Times New Roman" w:eastAsia="Times New Roman" w:cs="Times New Roman"/>
        </w:rPr>
        <w:t>Nous nous arrêterons ici et reprendrons cela dans notre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Révélation de Jésus-Christ - Numéro six</dc:title>
  <dc:subject>قیامتِ مُردگانِ خفتہ</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