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Révélation de Jésus-Christ — Numéro neuf</w:t>
      </w:r>
    </w:p>
    <w:p>
      <w:pPr>
        <w:pStyle w:val="ArticleSubtitle"/>
        <w:jc w:val="left"/>
      </w:pPr>
      <w:r>
        <w:rPr>
          <w:rFonts w:ascii="Arial" w:hAnsi="Arial" w:eastAsia="Arial" w:cs="Arial"/>
        </w:rPr>
        <w:t>Isaïe : le récit prophétique final — la révélation du Christ et le rôle prophétique des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Le livre d’Ésaïe, et plus particulièrement le dernier récit prophétique d’Ésaïe que l’on trouve aux chapitres quarante à soixante-six, constitue une présentation qui met l’accent sur quelques vérités prophétiques importantes, directement liées à la Révélation de Jésus-Christ, laquelle est maintenant en train d’être descellée à mesure que nous approchons de la clôture du temps de grâce de l’humanité. L’une de ces vérités est la révélation de l’Alpha et de l’Oméga. Aucun autre livre de la Bible n’approche le témoignage d’Ésaïe concernant cet aspect du caractère de Dieu qui illustre la fin d’une chose avec le commencement d’une chose.</w:t>
      </w:r>
    </w:p>
    <w:p>
      <w:pPr>
        <w:pStyle w:val="ArticleScripture"/>
        <w:jc w:val="left"/>
      </w:pPr>
      <w:r>
        <w:rPr>
          <w:rFonts w:ascii="Times New Roman" w:hAnsi="Times New Roman" w:eastAsia="Times New Roman" w:cs="Times New Roman"/>
        </w:rPr>
        <w:t>Kisne yah kiya aur ise anjaam diya, jo aarambh se hi peedhiyon ko bulata aaya hai? Main Yahovah, jo pratham hoon, aur antim ke saath bhi; main wahi hoon. Isaiah 41:4.</w:t>
      </w:r>
    </w:p>
    <w:p>
      <w:pPr>
        <w:pStyle w:val="ArticleBody"/>
        <w:jc w:val="left"/>
      </w:pPr>
      <w:r>
        <w:rPr>
          <w:rFonts w:ascii="Times New Roman" w:hAnsi="Times New Roman" w:eastAsia="Times New Roman" w:cs="Times New Roman"/>
        </w:rPr>
        <w:t>C’est dans Ésaïe que Dieu précise ce qui prouve que Dieu est Dieu.</w:t>
      </w:r>
    </w:p>
    <w:p>
      <w:pPr>
        <w:pStyle w:val="ArticleScripture"/>
        <w:jc w:val="left"/>
      </w:pPr>
      <w:r>
        <w:rPr>
          <w:rFonts w:ascii="Times New Roman" w:hAnsi="Times New Roman" w:eastAsia="Times New Roman" w:cs="Times New Roman"/>
        </w:rPr>
        <w:t>Ainsi parle l’Éternel, le roi d’Israël, et son rédempteur, l’Éternel des armées : Je suis le premier, et je suis le dernier ; et hors de moi il n’y a point de Dieu. Et qui, comme moi, appellera, le déclarera, et l’ordonnera pour moi, depuis que j’ai établi le peuple ancien ? Et les choses qui viennent et qui arriveront, qu’ils les leur annoncent. Ne craignez point, et ne soyez point effrayés : ne te l’ai-je pas fait entendre dès ce temps-là, et ne l’ai-je pas déclaré ? Vous êtes même mes témoins. Y a-t-il un Dieu hors de moi ? Oui, il n’y a point de rocher ; je n’en connais aucun. Ésaïe 44:6–8.</w:t>
      </w:r>
    </w:p>
    <w:p>
      <w:pPr>
        <w:pStyle w:val="ArticleBody"/>
        <w:jc w:val="left"/>
      </w:pPr>
      <w:r>
        <w:rPr>
          <w:rFonts w:ascii="Times New Roman" w:hAnsi="Times New Roman" w:eastAsia="Times New Roman" w:cs="Times New Roman"/>
        </w:rPr>
        <w:t>Le récit prophétique final d’Ésaïe met en relief l’accomplissement parfait et définitif de la venue du Consolateur que Jésus a promise.</w:t>
      </w:r>
    </w:p>
    <w:p>
      <w:pPr>
        <w:pStyle w:val="ArticleScripture"/>
        <w:jc w:val="left"/>
      </w:pPr>
      <w:r>
        <w:rPr>
          <w:rFonts w:ascii="Times New Roman" w:hAnsi="Times New Roman" w:eastAsia="Times New Roman" w:cs="Times New Roman"/>
        </w:rPr>
        <w:t>Écoutez-moi, vous qui poursuivez la justice, vous qui cherchez l’Éternel : regardez au rocher d’où vous avez été taillés, et à la cavité de la fosse d’où vous avez été tirés. Regardez à Abraham, votre père, et à Sara qui vous a enfantés ; car je l’ai appelé lorsqu’il était seul, je l’ai béni et je l’ai multiplié. Car l’Éternel consolera Sion : il consolera tous ses lieux dévastés ; il rendra son désert semblable à Éden, et sa solitude au jardin de l’Éternel ; on y trouvera la joie et l’allégresse, les actions de grâces et le chant de louange. Ésaïe 51:1–3.</w:t>
      </w:r>
    </w:p>
    <w:p>
      <w:pPr>
        <w:pStyle w:val="ArticleBody"/>
        <w:jc w:val="left"/>
      </w:pPr>
      <w:r>
        <w:rPr>
          <w:rFonts w:ascii="Times New Roman" w:hAnsi="Times New Roman" w:eastAsia="Times New Roman" w:cs="Times New Roman"/>
        </w:rPr>
        <w:t>Penolong itu tiba pada bulan Juli 2023. Kebenaran lain yang ditekankan dalam narasi Yesaya adalah sejarah tersembunyi bertahap tiga dari ketujuh guruh, yang merupakan struktur “emeth,” kata Ibrani yang dibentuk oleh huruf pertama, huruf ketiga belas, dan huruf terakhir dari alfabet Ibrani.</w:t>
      </w:r>
    </w:p>
    <w:p>
      <w:pPr>
        <w:pStyle w:val="ArticleScripture"/>
        <w:jc w:val="left"/>
      </w:pPr>
      <w:r>
        <w:rPr>
          <w:rFonts w:ascii="Times New Roman" w:hAnsi="Times New Roman" w:eastAsia="Times New Roman" w:cs="Times New Roman"/>
        </w:rPr>
        <w:t>Чоң шаардын ичинен бир үн, ибадатканадан бир үн, Өз душмандарына тиешесин кайтарган Теңирдин үнү. Ышая 66:6.</w:t>
      </w:r>
    </w:p>
    <w:p>
      <w:pPr>
        <w:pStyle w:val="ArticleBody"/>
        <w:jc w:val="left"/>
      </w:pPr>
      <w:r>
        <w:rPr>
          <w:rFonts w:ascii="Times New Roman" w:hAnsi="Times New Roman" w:eastAsia="Times New Roman" w:cs="Times New Roman"/>
        </w:rPr>
        <w:t>Une autre vérité importante présentée dans Ésaïe est le rôle de l’islam en tant qu’instrument du jugement exécutif de Dieu, d’abord sur les États-Unis, puis sur le monde, à cause de l’imposition de l’observance du dimanche.</w:t>
      </w:r>
    </w:p>
    <w:p>
      <w:pPr>
        <w:pStyle w:val="ArticleScripture"/>
        <w:jc w:val="left"/>
      </w:pPr>
      <w:r>
        <w:rPr>
          <w:rFonts w:ascii="Times New Roman" w:hAnsi="Times New Roman" w:eastAsia="Times New Roman" w:cs="Times New Roman"/>
        </w:rPr>
        <w:t>Ku qiyaas, markay soo bixiso, waad la dooddi doontaa; isagu dabayshiisa qallafsan wuu joojiyaa maalinta dabaysha bari. Ishacyaah 27:8.</w:t>
      </w:r>
    </w:p>
    <w:p>
      <w:pPr>
        <w:pStyle w:val="ArticleBody"/>
        <w:jc w:val="left"/>
      </w:pPr>
      <w:r>
        <w:rPr>
          <w:rFonts w:ascii="Times New Roman" w:hAnsi="Times New Roman" w:eastAsia="Times New Roman" w:cs="Times New Roman"/>
        </w:rPr>
        <w:t>Semua kebenaran ini dapat digolongkan sebagai komponen-komponen dari pekabaran Seruan Tengah Malam, yang dalam perumpamaan tentang sepuluh gadis itu merupakan representasi dari pekabaran Wahyu Yesus Kristus yang Bapa berikan kepada Yesus, yang memberikannya kepada Gabriel, yang memberikannya kepada Yohanes, yang menuliskannya dan mengirimkannya kepada jemaat-jemaat. Kita telah menggunakan narasi terakhir Yesaya untuk menopang garis peristiwa-peristiwa nubuatan yang dimulai dalam pasal sebelas kitab Wahyu, dan sekarang kita telah sampai pada pasal dua belas, di mana perempuan yang berselubungkan matahari digambarkan dengan simbolisme yang demikian kokoh ditegakkan oleh Yesaya, yaitu bahwa Kristus menggambarkan akhir dari suatu perkara melalui permulaannya.</w:t>
      </w:r>
    </w:p>
    <w:p>
      <w:pPr>
        <w:pStyle w:val="ArticleScripture"/>
        <w:jc w:val="left"/>
      </w:pPr>
      <w:r>
        <w:rPr>
          <w:rFonts w:ascii="Times New Roman" w:hAnsi="Times New Roman" w:eastAsia="Times New Roman" w:cs="Times New Roman"/>
        </w:rPr>
        <w:t>Ane ilionekana ishara kuu mbinguni; mwanamke aliyevikwa jua, na mwezi ulikuwa chini ya miguu yake, na juu ya kichwa chake taji ya nyota kumi na mbili; naye alikuwa na mimba, akalia kwa uchungu wa kuzaa, akiteseka ili ajifungue. Kisha ikaonekana ishara nyingine mbinguni; na tazama, joka kubwa jekundu, lenye vichwa saba na pembe kumi, na juu ya vichwa vyake taji saba. Na mkia wake ukaburura sehemu ya tatu ya nyota za mbinguni, ukazitupa duniani; na yule joka akasimama mbele ya yule mwanamke aliyekuwa tayari kujifungua, ili ammeze mtoto wake mara tu atakapozaliwa. Naye akazaa mtoto mwanamume, atakayewachunga mataifa yote kwa fimbo ya chuma; na mtoto wake akanyakuliwa kwenda kwa Mungu na kwenye kiti chake cha enzi. Ufunuo 12:1–5.</w:t>
      </w:r>
    </w:p>
    <w:p>
      <w:pPr>
        <w:pStyle w:val="ArticleBody"/>
        <w:jc w:val="left"/>
      </w:pPr>
      <w:r>
        <w:rPr>
          <w:rFonts w:ascii="Times New Roman" w:hAnsi="Times New Roman" w:eastAsia="Times New Roman" w:cs="Times New Roman"/>
        </w:rPr>
        <w:t>Lwɨta lwa Ufunuo kumi na mbili ni ishara ya watu wateule wa Mungu katika historia yote. Kabila kumi na mbili za Israeli ya kale halisi zinawakilisha mwanzo wa watu wa agano wa Mungu wateule. Kabila kumi na mbili zinakuwa mfano wa mwisho wa Israeli ya kale halisi, wakati Kristo alipochagua wanafunzi kumi na wawili. Wale wanafunzi kumi na wawili katika mwisho wa Israeli ya kale halisi, walikuwa pia wale mitume kumi na wawili katika mwanzo wa Israeli ya kisasa ya kiroho. Mashahidi wawili wa mwanzo na shahidi mmoja wa mwisho huungana ili kuthibitisha mashahidi watatu wanaowatambulisha wale laki moja na arobaini na nne elfu kuwa ndio mwisho wa Israeli ya kisasa ya kiroho.</w:t>
      </w:r>
    </w:p>
    <w:p>
      <w:pPr>
        <w:pStyle w:val="ArticleBody"/>
        <w:jc w:val="left"/>
      </w:pPr>
      <w:r>
        <w:rPr>
          <w:rFonts w:ascii="Times New Roman" w:hAnsi="Times New Roman" w:eastAsia="Times New Roman" w:cs="Times New Roman"/>
        </w:rPr>
        <w:t>Les cent quarante-quatre mille sont aussi l’étendard qui a été rejeté par leurs frères. Ils sont l’étendard qui était une vallée d’ossements desséchés, gisants dans la rue de la grande ville de Sodome et d’Égypte, eux qui furent mis à mort par la bête qui montait de l’abîme. Ils sont l’étendard, qui est les pierres de la couronne que la femme porte sur sa tête.</w:t>
      </w:r>
    </w:p>
    <w:p>
      <w:pPr>
        <w:pStyle w:val="ArticleScripture"/>
        <w:jc w:val="left"/>
      </w:pPr>
      <w:r>
        <w:rPr>
          <w:rFonts w:ascii="Times New Roman" w:hAnsi="Times New Roman" w:eastAsia="Times New Roman" w:cs="Times New Roman"/>
        </w:rPr>
        <w:t>Et l’Éternel, leur Dieu, les sauvera en ce jour-là, comme le troupeau de son peuple; car ils seront comme les pierres d’une couronne, élevées comme un étendard sur son pays. Zacharie 9:16.</w:t>
      </w:r>
    </w:p>
    <w:p>
      <w:pPr>
        <w:pStyle w:val="ArticleBody"/>
        <w:jc w:val="left"/>
      </w:pPr>
      <w:r>
        <w:rPr>
          <w:rFonts w:ascii="Times New Roman" w:hAnsi="Times New Roman" w:eastAsia="Times New Roman" w:cs="Times New Roman"/>
        </w:rPr>
        <w:t>Le drapeau, que sont les cent quarante-quatre mille, ce sont des pierres, comme Christ.</w:t>
      </w:r>
    </w:p>
    <w:p>
      <w:pPr>
        <w:pStyle w:val="ArticleScripture"/>
        <w:jc w:val="left"/>
      </w:pPr>
      <w:r>
        <w:rPr>
          <w:rFonts w:ascii="Times New Roman" w:hAnsi="Times New Roman" w:eastAsia="Times New Roman" w:cs="Times New Roman"/>
        </w:rPr>
        <w:t>Na wote wakanywa kinywaji kilekile cha rohoni; kwa maana walikunywa kutoka katika Mwamba ule wa rohoni uliowafuata; na Mwamba huo ulikuwa Kristo. 1 Wakorintho 10:4.</w:t>
      </w:r>
    </w:p>
    <w:p>
      <w:pPr>
        <w:pStyle w:val="ArticleBody"/>
        <w:jc w:val="left"/>
      </w:pPr>
      <w:r>
        <w:rPr>
          <w:rFonts w:ascii="Times New Roman" w:hAnsi="Times New Roman" w:eastAsia="Times New Roman" w:cs="Times New Roman"/>
        </w:rPr>
        <w:t>Le Christ est le type des cent quarante-quatre mille, et Pierre s’accorde avec Paul pour dire que le Christ est la « pierre vivante » qui a été rejetée; et Pierre a aussi déclaré que le peuple de Dieu est également constitué de « pierres vivantes ».</w:t>
      </w:r>
    </w:p>
    <w:p>
      <w:pPr>
        <w:pStyle w:val="ArticleScripture"/>
        <w:jc w:val="left"/>
      </w:pPr>
      <w:r>
        <w:rPr>
          <w:rFonts w:ascii="Nirmala UI" w:hAnsi="Nirmala UI" w:eastAsia="Nirmala UI" w:cs="Nirmala UI"/>
        </w:rPr>
        <w:t>केकरा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अबैत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पत्थरक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मनुष्यमे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अस्वीकृत</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चुनल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पत्थरसँ</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घरक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याजकवर्ग</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ग्राह्य</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1 Peter 2:4, 5.</w:t>
      </w:r>
    </w:p>
    <w:p>
      <w:pPr>
        <w:pStyle w:val="ArticleBody"/>
        <w:jc w:val="left"/>
      </w:pPr>
      <w:r>
        <w:rPr>
          <w:rFonts w:ascii="Times New Roman" w:hAnsi="Times New Roman" w:eastAsia="Times New Roman" w:cs="Times New Roman"/>
        </w:rPr>
        <w:t>Ang sandaa’t apatnapu’t apat na libo ay hindi lamang ang mga batong nasa korona ng babae, sila ang mismong korona.</w:t>
      </w:r>
    </w:p>
    <w:p>
      <w:pPr>
        <w:pStyle w:val="ArticleScripture"/>
        <w:jc w:val="left"/>
      </w:pPr>
      <w:r>
        <w:rPr>
          <w:rFonts w:ascii="Times New Roman" w:hAnsi="Times New Roman" w:eastAsia="Times New Roman" w:cs="Times New Roman"/>
        </w:rPr>
        <w:t>A causa de Sion no callaré, y por amor de Jerusalén no descansaré, hasta que salga su justicia como resplandor, y su salvación como antorcha encendida. Entonces verán las naciones tu justicia, y todos los reyes tu gloria; y te será puesto un nombre nuevo, que la boca de Jehová nombrará. Y serás corona de gloria en la mano de Jehová, y diadema real en la mano del Dios tuyo. Isaías 62:1–3.</w:t>
      </w:r>
    </w:p>
    <w:p>
      <w:pPr>
        <w:pStyle w:val="ArticleBody"/>
        <w:jc w:val="left"/>
      </w:pPr>
      <w:r>
        <w:rPr>
          <w:rFonts w:ascii="Times New Roman" w:hAnsi="Times New Roman" w:eastAsia="Times New Roman" w:cs="Times New Roman"/>
        </w:rPr>
        <w:t>Le Christ est le type des cent quarante-quatre mille. Il est le Rocher, et eux sont des « pierres ». Ils sont une « couronne de gloire dans la main de l’Éternel », et le Christ est la couronne de gloire.</w:t>
      </w:r>
    </w:p>
    <w:p>
      <w:pPr>
        <w:pStyle w:val="ArticleScripture"/>
        <w:jc w:val="left"/>
      </w:pPr>
      <w:r>
        <w:rPr>
          <w:rFonts w:ascii="Times New Roman" w:hAnsi="Times New Roman" w:eastAsia="Times New Roman" w:cs="Times New Roman"/>
        </w:rPr>
        <w:t>En ce jour-là, l’Éternel des armées sera une couronne de gloire et un diadème de beauté pour le reste de son peuple; il sera un esprit de justice pour celui qui siège au jugement, et une force pour ceux qui repoussent le combat jusqu’à la porte. Ésaïe 28:5, 6.</w:t>
      </w:r>
    </w:p>
    <w:p>
      <w:pPr>
        <w:pStyle w:val="ArticleBody"/>
        <w:jc w:val="left"/>
      </w:pPr>
      <w:r>
        <w:rPr>
          <w:rFonts w:ascii="Times New Roman" w:hAnsi="Times New Roman" w:eastAsia="Times New Roman" w:cs="Times New Roman"/>
        </w:rPr>
        <w:t>Sa pagtalakay sa bilang na labindalawa sa konteksto ng pasimula at katapusan, ang babae ay kumakatawan sa piniling bayang tipan mula sa sinaunang Israel sa Bundok Sinai, hanggang sa kasaysayan ng isang daan at apatnapu’t apat na libo. Sila ay naitipo ni Cristo, at ang Kaniyang kapanganakan ay naglarawan sa muling pagkabuhay ng tuyong mga buto na patay mula sa lansangan kung saan sila ay pinaslang noong Hulyo 18, 2020. Ang dalawang-yugtong proseso na napakaikling tinukoy ng Ezekiel treinta y siete, na nagbibigay-buhay sa dalawang propetang iyon, ay “unang binanggit” sa paglalang kay Adan.</w:t>
      </w:r>
    </w:p>
    <w:p>
      <w:pPr>
        <w:pStyle w:val="ArticleBody"/>
        <w:jc w:val="left"/>
      </w:pPr>
      <w:r>
        <w:rPr>
          <w:rFonts w:ascii="Times New Roman" w:hAnsi="Times New Roman" w:eastAsia="Times New Roman" w:cs="Times New Roman"/>
        </w:rPr>
        <w:t>Adam a été créé en deux étapes. Il fut d’abord façonné, puis Christ souffla en lui le souffle de vie, de même que le souffle venu des quatre vents, dans Ézéchiel, rendit la vie aux ossements desséchés. Adam fut créé comme un homme pleinement adulte, mais sa création n’en fut pas moins sa naissance. Les cent quarante-quatre mille naissent après trois jours et demi symboliques passés à gésir morts dans la rue qui traverse la vallée de la mort. Les cent quarante-quatre mille naissent de la femme qui enfanta le « fils mâle » appelé à « paître toutes les nations avec une verge de fer ». En tant que symbole de l’Église à travers l’histoire, la femme d’Apocalypse douze représente le même symbolisme que la « montagne » de Daniel deux.</w:t>
      </w:r>
    </w:p>
    <w:p>
      <w:pPr>
        <w:pStyle w:val="ArticleScripture"/>
        <w:jc w:val="left"/>
      </w:pPr>
      <w:r>
        <w:rPr>
          <w:rFonts w:ascii="Times New Roman" w:hAnsi="Times New Roman" w:eastAsia="Times New Roman" w:cs="Times New Roman"/>
        </w:rPr>
        <w:t>«Таълимоти Илоҳӣ китоби муҳрдор аст, аммо ҳамзамон китоби кушодашуда низ ҳаст. Он рӯйдодҳои аҷиберо сабт мекунад, ки бояд дар рӯзҳои охири таърихи ин ҷаҳон ба вуқуъ оянд. Таълимоти ин китоб мушаххас аст, на рамзомезу нофаҳмо. Дар он ҳамон хатти нубуввате пай гирифта мешавад, ки дар Дониёл низ омадааст. Баъзе пешгӯиҳоро Худо такрор кардааст ва ба ин васила нишон додааст, ки бояд ба онҳо аҳаммият дода шавад. Худованд чизҳоеро, ки аҳаммияти бузург надоранд, такрор намекунад». Manuscript Releases, volume 9, 8.</w:t>
      </w:r>
    </w:p>
    <w:p>
      <w:pPr>
        <w:pStyle w:val="ArticleBody"/>
        <w:jc w:val="left"/>
      </w:pPr>
      <w:r>
        <w:rPr>
          <w:rFonts w:ascii="Times New Roman" w:hAnsi="Times New Roman" w:eastAsia="Times New Roman" w:cs="Times New Roman"/>
        </w:rPr>
        <w:t>Die gleiche prophetische Linie, die sich im Buch Daniel findet, wird in der Offenbarung aufgegriffen. Daniels Stein, der ohne Hände aus dem Berg herausgehauen ist, sind die „lebendigen Steine“ des Petrus, die „als geistliches Haus, als heilige Priesterschaft aufgebaut werden“, und Daniels Stein stellt auch die Hundertvierundvierzigtausend dar. Der Berg ist Gottes Gemeinde durch die Geschichte hindurch.</w:t>
      </w:r>
    </w:p>
    <w:p>
      <w:pPr>
        <w:pStyle w:val="ArticleScripture"/>
        <w:jc w:val="left"/>
      </w:pPr>
      <w:r>
        <w:rPr>
          <w:rFonts w:ascii="Times New Roman" w:hAnsi="Times New Roman" w:eastAsia="Times New Roman" w:cs="Times New Roman"/>
        </w:rPr>
        <w:t>Dans les jours de ces rois, le Dieu des cieux suscitera un royaume qui ne sera jamais détruit; et ce royaume ne passera point sous la domination d’un autre peuple, mais il brisera et anéantira tous ces royaumes-là, et lui-même subsistera éternellement. Puisque tu as vu que la pierre s’est détachée de la montagne sans le secours d’aucune main, et qu’elle a brisé le fer, l’airain, l’argile, l’argent et l’or, le grand Dieu a fait connaître au roi ce qui arrivera dans la suite des temps: le songe est véritable, et son interprétation est certaine. Daniel 2:44, 45.</w:t>
      </w:r>
    </w:p>
    <w:p>
      <w:pPr>
        <w:pStyle w:val="ArticleBody"/>
        <w:jc w:val="left"/>
      </w:pPr>
      <w:r>
        <w:rPr>
          <w:rFonts w:ascii="Times New Roman" w:hAnsi="Times New Roman" w:eastAsia="Times New Roman" w:cs="Times New Roman"/>
        </w:rPr>
        <w:t>Ka saƙon Kukan Tsakar Dare na mutum ɗari da arba’in da huɗu kuma ana wakilta shi a matsayin ruwan sama na ƙarshe, kuma a lokacin ruwan sama na ƙarshe ne Allah yake “kafa” mulkin da dutsen Daniyel yake wakilta.</w:t>
      </w:r>
    </w:p>
    <w:p>
      <w:pPr>
        <w:pStyle w:val="ArticleScripture"/>
        <w:jc w:val="left"/>
      </w:pPr>
      <w:r>
        <w:rPr>
          <w:rFonts w:ascii="Times New Roman" w:hAnsi="Times New Roman" w:eastAsia="Times New Roman" w:cs="Times New Roman"/>
        </w:rPr>
        <w:t>“mvula wa le ndzhaku wu ta ta eka lava tengeke—hiloko hinkwavo va ta wu amukela, tanihi eku sunguleni.</w:t>
      </w:r>
    </w:p>
    <w:p>
      <w:pPr>
        <w:pStyle w:val="ArticleScripture"/>
        <w:jc w:val="left"/>
      </w:pPr>
      <w:r>
        <w:rPr>
          <w:rFonts w:ascii="Times New Roman" w:hAnsi="Times New Roman" w:eastAsia="Times New Roman" w:cs="Times New Roman"/>
        </w:rPr>
        <w:t>«Когда четыре ангела отпустят, Христос установит Свое Царство. Поздний дождь не примут никто, кроме тех, кто делает всё, что в их силах. Христос помог бы нам. Все могли бы быть победителями по благодати Божией, через кровь Иисуса. Всё небо заинтересовано в этом деле. Ангелы заинтересованы». Spalding and Magan, 3.</w:t>
      </w:r>
    </w:p>
    <w:p>
      <w:pPr>
        <w:pStyle w:val="ArticleBody"/>
        <w:jc w:val="left"/>
      </w:pPr>
      <w:r>
        <w:rPr>
          <w:rFonts w:ascii="Times New Roman" w:hAnsi="Times New Roman" w:eastAsia="Times New Roman" w:cs="Times New Roman"/>
        </w:rPr>
        <w:t>Les quatre vents de l’islam sont déchaînés au moment de la loi du dimanche, puis le Christ établit Son royaume. Cela a lieu aux jours des royaumes spirituels de Daniel, chapitre deux. Les quatre derniers royaumes spirituels du songe de Nebucadnetsar étaient typifiés par les quatre premiers royaumes littéraux. La Babylone littérale, les Mèdes et les Perses, la Grèce et Rome représentent la Babylone spirituelle, les Mèdes et les Perses, la Grèce et Rome.</w:t>
      </w:r>
    </w:p>
    <w:p>
      <w:pPr>
        <w:pStyle w:val="ArticleBody"/>
        <w:jc w:val="left"/>
      </w:pPr>
      <w:r>
        <w:rPr>
          <w:rFonts w:ascii="Times New Roman" w:hAnsi="Times New Roman" w:eastAsia="Times New Roman" w:cs="Times New Roman"/>
        </w:rPr>
        <w:t>Babuloni wa kiroho ndiye kichwa cha dhahabu, aliyepata jeraha la mauti mwaka 1798, kama ilivyofananishwa na Nebukadneza kuondolewa kwa muda madarakani kwa “nyakati saba.” Wakati muungano wa sehemu tatu wa joka, mnyama, na nabii wa uongo unapounda ufalme wa nane, ulio wa zile saba, utakuwa umeundwa na falme zote za kiroho, zinazowakilishwa katika sanamu ya Nebukadneza ya sura ya pili. Upapa uliokufa na upapa uliofufuliwa ndio kichwa cha dhahabu cha kiroho katika mwanzo na mwisho wa falme nne za kiroho za ile sanamu. Marekani, kama ya pili kati ya falme hizo nne, inawakilishwa kama Umedi na Uajemi wa kiroho. Umoja wa Mataifa, kama ya tatu kati ya falme hizo nne, unawakilishwa kama Ugiriki wa kiroho na kwa pamoja, vyote hivyo vinaunda muungano wa sehemu tatu wa joka, mnyama, na nabii wa uongo ili kuusimamisha ufalme wa nane, ulio wa zile saba. Upapa ndiye mpinga-Kristo na hutafuta kumwiga Kristo kwa njia ya bandia. Katika jambo hili; kati ya falme nne za mwisho za kiroho, upapa ndiye wa kwanza na wa mwisho.</w:t>
      </w:r>
    </w:p>
    <w:p>
      <w:pPr>
        <w:pStyle w:val="ArticleBody"/>
        <w:jc w:val="left"/>
      </w:pPr>
      <w:r>
        <w:rPr>
          <w:rFonts w:ascii="Nirmala UI" w:hAnsi="Nirmala UI" w:eastAsia="Nirmala UI" w:cs="Nirmala UI"/>
        </w:rPr>
        <w:t>ताहाड</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दाजाबनाय</w:t>
      </w:r>
      <w:r>
        <w:rPr>
          <w:rFonts w:ascii="Times New Roman" w:hAnsi="Times New Roman" w:eastAsia="Times New Roman" w:cs="Times New Roman"/>
        </w:rPr>
        <w:t xml:space="preserve"> </w:t>
      </w:r>
      <w:r>
        <w:rPr>
          <w:rFonts w:ascii="Nirmala UI" w:hAnsi="Nirmala UI" w:eastAsia="Nirmala UI" w:cs="Nirmala UI"/>
        </w:rPr>
        <w:t>दान्स्रि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फृथिवीखौ</w:t>
      </w:r>
      <w:r>
        <w:rPr>
          <w:rFonts w:ascii="Times New Roman" w:hAnsi="Times New Roman" w:eastAsia="Times New Roman" w:cs="Times New Roman"/>
        </w:rPr>
        <w:t xml:space="preserve"> </w:t>
      </w:r>
      <w:r>
        <w:rPr>
          <w:rFonts w:ascii="Nirmala UI" w:hAnsi="Nirmala UI" w:eastAsia="Nirmala UI" w:cs="Nirmala UI"/>
        </w:rPr>
        <w:t>आबुङै</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राजजों</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राजाफोरनि</w:t>
      </w:r>
      <w:r>
        <w:rPr>
          <w:rFonts w:ascii="Times New Roman" w:hAnsi="Times New Roman" w:eastAsia="Times New Roman" w:cs="Times New Roman"/>
        </w:rPr>
        <w:t xml:space="preserve"> </w:t>
      </w:r>
      <w:r>
        <w:rPr>
          <w:rFonts w:ascii="Nirmala UI" w:hAnsi="Nirmala UI" w:eastAsia="Nirmala UI" w:cs="Nirmala UI"/>
        </w:rPr>
        <w:t>सान्दिनाव</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निसान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किआबो</w:t>
      </w:r>
      <w:r>
        <w:rPr>
          <w:rFonts w:ascii="Times New Roman" w:hAnsi="Times New Roman" w:eastAsia="Times New Roman" w:cs="Times New Roman"/>
        </w:rPr>
        <w:t xml:space="preserve"> </w:t>
      </w:r>
      <w:r>
        <w:rPr>
          <w:rFonts w:ascii="Nirmala UI" w:hAnsi="Nirmala UI" w:eastAsia="Nirmala UI" w:cs="Nirmala UI"/>
        </w:rPr>
        <w:t>मुर्तिनि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राजजोंफोर</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सान्दिनि</w:t>
      </w:r>
      <w:r>
        <w:rPr>
          <w:rFonts w:ascii="Times New Roman" w:hAnsi="Times New Roman" w:eastAsia="Times New Roman" w:cs="Times New Roman"/>
        </w:rPr>
        <w:t xml:space="preserve">” </w:t>
      </w:r>
      <w:r>
        <w:rPr>
          <w:rFonts w:ascii="Nirmala UI" w:hAnsi="Nirmala UI" w:eastAsia="Nirmala UI" w:cs="Nirmala UI"/>
        </w:rPr>
        <w:t>मावथिरे</w:t>
      </w:r>
      <w:r>
        <w:rPr>
          <w:rFonts w:ascii="Times New Roman" w:hAnsi="Times New Roman" w:eastAsia="Times New Roman" w:cs="Times New Roman"/>
        </w:rPr>
        <w:t xml:space="preserve"> </w:t>
      </w:r>
      <w:r>
        <w:rPr>
          <w:rFonts w:ascii="Nirmala UI" w:hAnsi="Nirmala UI" w:eastAsia="Nirmala UI" w:cs="Nirmala UI"/>
        </w:rPr>
        <w:t>सक्रिय</w:t>
      </w:r>
      <w:r>
        <w:rPr>
          <w:rFonts w:ascii="Times New Roman" w:hAnsi="Times New Roman" w:eastAsia="Times New Roman" w:cs="Times New Roman"/>
        </w:rPr>
        <w:t xml:space="preserve"> </w:t>
      </w:r>
      <w:r>
        <w:rPr>
          <w:rFonts w:ascii="Nirmala UI" w:hAnsi="Nirmala UI" w:eastAsia="Nirmala UI" w:cs="Nirmala UI"/>
        </w:rPr>
        <w:t>रूपेनि</w:t>
      </w:r>
      <w:r>
        <w:rPr>
          <w:rFonts w:ascii="Times New Roman" w:hAnsi="Times New Roman" w:eastAsia="Times New Roman" w:cs="Times New Roman"/>
        </w:rPr>
        <w:t xml:space="preserve"> </w:t>
      </w:r>
      <w:r>
        <w:rPr>
          <w:rFonts w:ascii="Nirmala UI" w:hAnsi="Nirmala UI" w:eastAsia="Nirmala UI" w:cs="Nirmala UI"/>
        </w:rPr>
        <w:t>उन्दैथि</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निसानखौ</w:t>
      </w:r>
      <w:r>
        <w:rPr>
          <w:rFonts w:ascii="Times New Roman" w:hAnsi="Times New Roman" w:eastAsia="Times New Roman" w:cs="Times New Roman"/>
        </w:rPr>
        <w:t xml:space="preserve"> </w:t>
      </w:r>
      <w:r>
        <w:rPr>
          <w:rFonts w:ascii="Nirmala UI" w:hAnsi="Nirmala UI" w:eastAsia="Nirmala UI" w:cs="Nirmala UI"/>
        </w:rPr>
        <w:t>दानांफैनाय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ख्रीस्टनि</w:t>
      </w:r>
      <w:r>
        <w:rPr>
          <w:rFonts w:ascii="Times New Roman" w:hAnsi="Times New Roman" w:eastAsia="Times New Roman" w:cs="Times New Roman"/>
        </w:rPr>
        <w:t xml:space="preserve"> </w:t>
      </w:r>
      <w:r>
        <w:rPr>
          <w:rFonts w:ascii="Nirmala UI" w:hAnsi="Nirmala UI" w:eastAsia="Nirmala UI" w:cs="Nirmala UI"/>
        </w:rPr>
        <w:t>राजजोंखौ</w:t>
      </w:r>
      <w:r>
        <w:rPr>
          <w:rFonts w:ascii="Times New Roman" w:hAnsi="Times New Roman" w:eastAsia="Times New Roman" w:cs="Times New Roman"/>
        </w:rPr>
        <w:t xml:space="preserve"> </w:t>
      </w:r>
      <w:r>
        <w:rPr>
          <w:rFonts w:ascii="Nirmala UI" w:hAnsi="Nirmala UI" w:eastAsia="Nirmala UI" w:cs="Nirmala UI"/>
        </w:rPr>
        <w:t>थांखानायनि</w:t>
      </w:r>
      <w:r>
        <w:rPr>
          <w:rFonts w:ascii="Times New Roman" w:hAnsi="Times New Roman" w:eastAsia="Times New Roman" w:cs="Times New Roman"/>
        </w:rPr>
        <w:t xml:space="preserve"> </w:t>
      </w:r>
      <w:r>
        <w:rPr>
          <w:rFonts w:ascii="Nirmala UI" w:hAnsi="Nirmala UI" w:eastAsia="Nirmala UI" w:cs="Nirmala UI"/>
        </w:rPr>
        <w:t>सोमोन्दै</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खामानिफोरखौ</w:t>
      </w:r>
      <w:r>
        <w:rPr>
          <w:rFonts w:ascii="Times New Roman" w:hAnsi="Times New Roman" w:eastAsia="Times New Roman" w:cs="Times New Roman"/>
        </w:rPr>
        <w:t xml:space="preserve"> </w:t>
      </w:r>
      <w:r>
        <w:rPr>
          <w:rFonts w:ascii="Nirmala UI" w:hAnsi="Nirmala UI" w:eastAsia="Nirmala UI" w:cs="Nirmala UI"/>
        </w:rPr>
        <w:t>दानायखौ</w:t>
      </w:r>
      <w:r>
        <w:rPr>
          <w:rFonts w:ascii="Times New Roman" w:hAnsi="Times New Roman" w:eastAsia="Times New Roman" w:cs="Times New Roman"/>
        </w:rPr>
        <w:t xml:space="preserve"> </w:t>
      </w:r>
      <w:r>
        <w:rPr>
          <w:rFonts w:ascii="Nirmala UI" w:hAnsi="Nirmala UI" w:eastAsia="Nirmala UI" w:cs="Nirmala UI"/>
        </w:rPr>
        <w:t>गेदेरनाय</w:t>
      </w:r>
      <w:r>
        <w:rPr>
          <w:rFonts w:ascii="Times New Roman" w:hAnsi="Times New Roman" w:eastAsia="Times New Roman" w:cs="Times New Roman"/>
        </w:rPr>
        <w:t xml:space="preserve"> </w:t>
      </w:r>
      <w:r>
        <w:rPr>
          <w:rFonts w:ascii="Nirmala UI" w:hAnsi="Nirmala UI" w:eastAsia="Nirmala UI" w:cs="Nirmala UI"/>
        </w:rPr>
        <w:t>समैआव</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रविबारनि</w:t>
      </w:r>
      <w:r>
        <w:rPr>
          <w:rFonts w:ascii="Times New Roman" w:hAnsi="Times New Roman" w:eastAsia="Times New Roman" w:cs="Times New Roman"/>
        </w:rPr>
        <w:t xml:space="preserve"> </w:t>
      </w:r>
      <w:r>
        <w:rPr>
          <w:rFonts w:ascii="Nirmala UI" w:hAnsi="Nirmala UI" w:eastAsia="Nirmala UI" w:cs="Nirmala UI"/>
        </w:rPr>
        <w:t>ओनसोलाव</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बिसिनानै</w:t>
      </w:r>
      <w:r>
        <w:rPr>
          <w:rFonts w:ascii="Times New Roman" w:hAnsi="Times New Roman" w:eastAsia="Times New Roman" w:cs="Times New Roman"/>
        </w:rPr>
        <w:t xml:space="preserve"> </w:t>
      </w:r>
      <w:r>
        <w:rPr>
          <w:rFonts w:ascii="Nirmala UI" w:hAnsi="Nirmala UI" w:eastAsia="Nirmala UI" w:cs="Nirmala UI"/>
        </w:rPr>
        <w:t>सिबिनाय</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फालांनाय</w:t>
      </w:r>
      <w:r>
        <w:rPr>
          <w:rFonts w:ascii="Times New Roman" w:hAnsi="Times New Roman" w:eastAsia="Times New Roman" w:cs="Times New Roman"/>
        </w:rPr>
        <w:t xml:space="preserve"> </w:t>
      </w:r>
      <w:r>
        <w:rPr>
          <w:rFonts w:ascii="Nirmala UI" w:hAnsi="Nirmala UI" w:eastAsia="Nirmala UI" w:cs="Nirmala UI"/>
        </w:rPr>
        <w:t>जायो।</w:t>
      </w:r>
    </w:p>
    <w:p>
      <w:pPr>
        <w:pStyle w:val="ArticleBody"/>
        <w:jc w:val="left"/>
      </w:pPr>
      <w:r>
        <w:rPr>
          <w:rFonts w:ascii="Times New Roman" w:hAnsi="Times New Roman" w:eastAsia="Times New Roman" w:cs="Times New Roman"/>
        </w:rPr>
        <w:t>Leiden leznaikad ufan derg melo vrifad narths loken spiritalik regensh dor eirth, darstellad bi “das iron, das brass, das clay, das silver, und das gold.” Das one hundred and forty-four thousand representad Christ, der in Revelation twelve ist “das man child,” des birt typifad das birt der one hundred and forty-four thousand. Das “man child” sal “rule all nations with a rod of iron.” Mit der rod sal er brekan die nations.</w:t>
      </w:r>
    </w:p>
    <w:p>
      <w:pPr>
        <w:pStyle w:val="ArticleScripture"/>
        <w:jc w:val="left"/>
      </w:pPr>
      <w:r>
        <w:rPr>
          <w:rFonts w:ascii="Times New Roman" w:hAnsi="Times New Roman" w:eastAsia="Times New Roman" w:cs="Times New Roman"/>
        </w:rPr>
        <w:t>Je déclarerai le décret : l’Éternel m’a dit : Tu es mon Fils ; aujourd’hui je t’ai engendré. Demande-moi, et je te donnerai les nations pour héritage, et les extrémités de la terre pour possession. Tu les briseras avec un sceptre de fer ; tu les mettras en pièces comme un vase de potier. Psaume 2:7–9.</w:t>
      </w:r>
    </w:p>
    <w:p>
      <w:pPr>
        <w:pStyle w:val="ArticleBody"/>
        <w:jc w:val="left"/>
      </w:pPr>
      <w:r>
        <w:rPr>
          <w:rFonts w:ascii="Times New Roman" w:hAnsi="Times New Roman" w:eastAsia="Times New Roman" w:cs="Times New Roman"/>
        </w:rPr>
        <w:t>’Atua ’o e ’Alo na’e fakatupu mei he Tamai. ’Oku lahi ’a kinautolu ’oku nau to’o ’a e mo’oni ko ’eni pea fulihi ia ki honau faka’auha. Ko e “fakatupu” ’oku ’uhinga ia ki he fanau’i, ka ’oku tau ’ilo na’e ’ikai ’aupito ha taimi na’e ’ikai ai ke ’i ai ’a Kalaisi.</w:t>
      </w:r>
    </w:p>
    <w:p>
      <w:pPr>
        <w:pStyle w:val="ArticleScripture"/>
        <w:jc w:val="left"/>
      </w:pPr>
      <w:r>
        <w:rPr>
          <w:rFonts w:ascii="Times New Roman" w:hAnsi="Times New Roman" w:eastAsia="Times New Roman" w:cs="Times New Roman"/>
        </w:rPr>
        <w:t>« Maintenant, l’Esprit dit expressément que, dans les derniers temps, quelques-uns abandonneront la foi, s’attachant à des esprits séducteurs et à des doctrines de démons, proférant des mensonges par hypocrisie, leur conscience étant cautérisée au fer rouge. » Avant les derniers développements de l’œuvre d’apostasie, il y aura une confusion dans la foi. Il n’y aura pas d’idées claires et définies concernant le mystère de Dieu. Une vérité après l’autre sera corrompue. « Et, sans contredit, le mystère de la piété est grand : Dieu a été manifesté en chair, justifié en Esprit, vu des anges, prêché parmi les Gentils, cru dans le monde, élevé dans la gloire. » Il en est beaucoup qui nient la préexistence de Christ et, par conséquent, nient sa divinité ; ils ne l’acceptent pas comme un Sauveur personnel. C’est là un reniement total de Christ. Il était le Fils unique-engendré de Dieu, qui était un avec le Père dès le commencement. C’est par lui que les mondes ont été faits. » Signs of the Times, 28 mai 1894.</w:t>
      </w:r>
    </w:p>
    <w:p>
      <w:pPr>
        <w:pStyle w:val="ArticleBody"/>
        <w:jc w:val="left"/>
      </w:pPr>
      <w:r>
        <w:rPr>
          <w:rFonts w:ascii="Times New Roman" w:hAnsi="Times New Roman" w:eastAsia="Times New Roman" w:cs="Times New Roman"/>
        </w:rPr>
        <w:t>Lorsque le Christ est désigné comme l’« engendré » du Père, cela identifie une vérité relative au Christ, une vérité qui est détruite si on la force à entrer dans le modèle de la parentalité humaine. Nous ne pouvons pas évaluer Dieu selon notre perspective humaine. Nous ne pouvons évaluer Dieu qu’à mesure qu’Il nous présente Son évaluation de Lui-même.</w:t>
      </w:r>
    </w:p>
    <w:p>
      <w:pPr>
        <w:pStyle w:val="ArticleScripture"/>
        <w:jc w:val="left"/>
      </w:pPr>
      <w:r>
        <w:rPr>
          <w:rFonts w:ascii="Times New Roman" w:hAnsi="Times New Roman" w:eastAsia="Times New Roman" w:cs="Times New Roman"/>
        </w:rPr>
        <w:t>Que le méchant abandonne sa voie, et l’homme injuste ses pensées; qu’il retourne à l’Éternel, et il aura compassion de lui; à notre Dieu, car il pardonne abondamment. Car mes pensées ne sont pas vos pensées, et vos voies ne sont pas mes voies, dit l’Éternel. Autant les cieux sont élevés au-dessus de la terre, autant mes voies sont élevées au-dessus de vos voies, et mes pensées au-dessus de vos pensées. Ésaïe 55:7–9.</w:t>
      </w:r>
    </w:p>
    <w:p>
      <w:pPr>
        <w:pStyle w:val="ArticleBody"/>
        <w:jc w:val="left"/>
      </w:pPr>
      <w:r>
        <w:rPr>
          <w:rFonts w:ascii="Times New Roman" w:hAnsi="Times New Roman" w:eastAsia="Times New Roman" w:cs="Times New Roman"/>
        </w:rPr>
        <w:t>Afin de détourner le mot « engendré » pour en conclure qu’il y eut un temps où le Père enfanta Christ, c’est prêter « attention à des esprits séducteurs et à des doctrines de démons ». Pour les besoins de notre étude présente, je me borne simplement à indiquer que la femme d’Apocalypse douze devait enfanter l’« enfant mâle » qui doit gouverner les nations avec une verge de fer. Les cent quarante-quatre mille gouverneront eux aussi les nations avec une verge de fer.</w:t>
      </w:r>
    </w:p>
    <w:p>
      <w:pPr>
        <w:pStyle w:val="ArticleBody"/>
        <w:jc w:val="left"/>
      </w:pPr>
      <w:r>
        <w:rPr>
          <w:rFonts w:ascii="Times New Roman" w:hAnsi="Times New Roman" w:eastAsia="Times New Roman" w:cs="Times New Roman"/>
        </w:rPr>
        <w:t>L’église de Thyatire reparaît lorsque la blessure mortelle de la papauté est guérie lors de la loi du dimanche. Dans cette histoire, la promesse faite au peuple de Dieu est que ceux qui vaincront gouverneront les « nations » avec « une verge de fer ».</w:t>
      </w:r>
    </w:p>
    <w:p>
      <w:pPr>
        <w:pStyle w:val="ArticleScripture"/>
        <w:jc w:val="left"/>
      </w:pPr>
      <w:r>
        <w:rPr>
          <w:rFonts w:ascii="Times New Roman" w:hAnsi="Times New Roman" w:eastAsia="Times New Roman" w:cs="Times New Roman"/>
        </w:rPr>
        <w:t>Na ye oyo alongi, mpe azali kobatela misala na ngai kino na suka, nakopesa ye bokonzi likolo ya bikólo: mpe akoyangela bango na lingenda ya ebende; bakobukana lokola bambɛki ya moyemi-mbɛki ebukani bipanzi-panzi: kaka ndenge ngai mpe nayambaki epai ya Tata na ngai. Emoniseli 2:26, 27.</w:t>
      </w:r>
    </w:p>
    <w:p>
      <w:pPr>
        <w:pStyle w:val="ArticleBody"/>
        <w:jc w:val="left"/>
      </w:pPr>
      <w:r>
        <w:rPr>
          <w:rFonts w:ascii="Times New Roman" w:hAnsi="Times New Roman" w:eastAsia="Times New Roman" w:cs="Times New Roman"/>
        </w:rPr>
        <w:t>Les gens de Dieu qui se trouvent dans la manifestation finale de l’Église de Thyatire sont les cent quarante-quatre mille. La femme, au commencement, a enfanté le Christ, et à la fin, elle enfante les cent quarante-quatre mille, qui suivent l’Agneau.</w:t>
      </w:r>
    </w:p>
    <w:p>
      <w:pPr>
        <w:pStyle w:val="ArticleScripture"/>
        <w:jc w:val="left"/>
      </w:pPr>
      <w:r>
        <w:rPr>
          <w:rFonts w:ascii="Times New Roman" w:hAnsi="Times New Roman" w:eastAsia="Times New Roman" w:cs="Times New Roman"/>
        </w:rPr>
        <w:t>Et ils chantaient comme un cantique nouveau devant le trône, et devant les quatre êtres vivants et les anciens; et nul ne pouvait apprendre ce cantique, si ce n’est les cent quarante-quatre mille, qui avaient été rachetés de la terre. Ce sont ceux qui ne se sont point souillés avec des femmes; car ils sont vierges. Ce sont ceux qui suivent l’Agneau partout où il va. Ce sont ceux qui ont été rachetés d’entre les hommes, comme des prémices pour Dieu et pour l’Agneau. Apocalypse 14:3, 4.</w:t>
      </w:r>
    </w:p>
    <w:p>
      <w:pPr>
        <w:pStyle w:val="ArticleBody"/>
        <w:jc w:val="left"/>
      </w:pPr>
      <w:r>
        <w:rPr>
          <w:rFonts w:ascii="Times New Roman" w:hAnsi="Times New Roman" w:eastAsia="Times New Roman" w:cs="Times New Roman"/>
        </w:rPr>
        <w:t>Kristus ble født «først», og de hundre og førtifire tusen følger Lammet, så de blir født «sist». Kristus ble «rykket opp til Gud», slik også de to vitnene i Åpenbaringen elleve ble. Begge hennes barn stiger opp til Faderen.</w:t>
      </w:r>
    </w:p>
    <w:p>
      <w:pPr>
        <w:pStyle w:val="ArticleScripture"/>
        <w:jc w:val="left"/>
      </w:pPr>
      <w:r>
        <w:rPr>
          <w:rFonts w:ascii="Times New Roman" w:hAnsi="Times New Roman" w:eastAsia="Times New Roman" w:cs="Times New Roman"/>
        </w:rPr>
        <w:t>Et elle enfanta un enfant mâle, qui doit paître toutes les nations avec une verge de fer ; et son enfant fut enlevé vers Dieu et vers son trône. Apocalypse 2:5.</w:t>
      </w:r>
    </w:p>
    <w:p>
      <w:pPr>
        <w:pStyle w:val="ArticleBody"/>
        <w:jc w:val="left"/>
      </w:pPr>
      <w:r>
        <w:rPr>
          <w:rFonts w:ascii="Times New Roman" w:hAnsi="Times New Roman" w:eastAsia="Times New Roman" w:cs="Times New Roman"/>
        </w:rPr>
        <w:t>Christ, en tant que Seigneur des armées, est aussi la « part de Jacob », et Israël est « le bâton de son héritage », et Israël est aussi sa « massue de guerre » et ses « armes de combat », dont il se sert pour « mettre en pièces les nations ».</w:t>
      </w:r>
    </w:p>
    <w:p>
      <w:pPr>
        <w:pStyle w:val="ArticleScripture"/>
        <w:jc w:val="left"/>
      </w:pPr>
      <w:r>
        <w:rPr>
          <w:rFonts w:ascii="Times New Roman" w:hAnsi="Times New Roman" w:eastAsia="Times New Roman" w:cs="Times New Roman"/>
        </w:rPr>
        <w:t>Yakubu’nun payı onlar gibi değildir; çünkü her şeyin yaratıcısı O’dur; ve İsrail O’nun mirasının asasıdır; Orduların Rabbi O’nun adıdır. Sen benim savaş baltam ve harp silahlarımsın; çünkü seninle milletleri parçalayacağım, ve seninle krallıkları yok edeceğim. Yeremya 51:19, 20.</w:t>
      </w:r>
    </w:p>
    <w:p>
      <w:pPr>
        <w:pStyle w:val="ArticleBody"/>
        <w:jc w:val="left"/>
      </w:pPr>
      <w:r>
        <w:rPr>
          <w:rFonts w:ascii="Times New Roman" w:hAnsi="Times New Roman" w:eastAsia="Times New Roman" w:cs="Times New Roman"/>
        </w:rPr>
        <w:t>Christ et les cent quarante-quatre mille règnent tous deux et mettent les nations en pièces avec une verge de fer. Christ est la « portion de Jacob », mais son peuple l’est aussi.</w:t>
      </w:r>
    </w:p>
    <w:p>
      <w:pPr>
        <w:pStyle w:val="ArticleScripture"/>
        <w:jc w:val="left"/>
      </w:pPr>
      <w:r>
        <w:rPr>
          <w:rFonts w:ascii="Times New Roman" w:hAnsi="Times New Roman" w:eastAsia="Times New Roman" w:cs="Times New Roman"/>
        </w:rPr>
        <w:t>Car la part de l’Éternel, c’est son peuple; Jacob est le lot de son héritage. Deutéronome 32:9.</w:t>
      </w:r>
    </w:p>
    <w:p>
      <w:pPr>
        <w:pStyle w:val="ArticleBody"/>
        <w:jc w:val="left"/>
      </w:pPr>
      <w:r>
        <w:rPr>
          <w:rFonts w:ascii="Times New Roman" w:hAnsi="Times New Roman" w:eastAsia="Times New Roman" w:cs="Times New Roman"/>
        </w:rPr>
        <w:t>Lá đá được đẽo ra từ núi, tượng trưng cho Hội Thánh của Đức Chúa Trời, là sự bày tỏ sau cùng của Hội Thánh Ngài, là Hội Thánh làm đầy dẫy đất bằng vinh quang của Ngài; và họ được dùng làm búa chiến của Đức Chúa Trời để đánh vào chân pho tượng và khiến các vương quốc ấy trở nên như “trấu trên sân đạp lúa mùa hè.” Các vương quốc ấy bị gió cuốn đi.</w:t>
      </w:r>
    </w:p>
    <w:p>
      <w:pPr>
        <w:pStyle w:val="ArticleScripture"/>
        <w:jc w:val="left"/>
      </w:pPr>
      <w:r>
        <w:rPr>
          <w:rFonts w:ascii="Times New Roman" w:hAnsi="Times New Roman" w:eastAsia="Times New Roman" w:cs="Times New Roman"/>
        </w:rPr>
        <w:t>Then was the iron, the clay, the brass, the silver, and the gold, broken to pieces together, and became like the chaff of the summer threshingfloors; and the wind carried them away, that no place was found for them: and the stone that smote the image became a great mountain, and filled the whole earth. Daniel 2:35.</w:t>
      </w:r>
    </w:p>
    <w:p>
      <w:pPr>
        <w:pStyle w:val="ArticleBody"/>
        <w:jc w:val="left"/>
      </w:pPr>
      <w:r>
        <w:rPr>
          <w:rFonts w:ascii="Times New Roman" w:hAnsi="Times New Roman" w:eastAsia="Times New Roman" w:cs="Times New Roman"/>
        </w:rPr>
        <w:t>Ɓe neɗɗo waɗi eɗen waɗde ɗum ɗoo, ɗum ko faa ɗoo waɗa ɗiɗi ɗiɗi ɗiɗi ɗiɗi ɗiɗi ɗiɗi ɗiɗi ɗiɗi ɗiɗi ɗiɗi; ngel maanaaji debbo ndin waɗata e nder ngesa maande nde tottaaɗe faa dow dow, ngam Wahayu sura sappo e ɗiɗi anndina fuɗɗorde wonde konngol hakkunde Almasiihu e Seytaane nde puɗɗi e dow, e nder non ɗum anndinii konngol wonngol e dow ngol anndinata gasirde ndee mawnde hakkunde Almasiihu e Seytaane. Wahayu suraaɗi sappo e ɗiɗi e sappo e tati ciiɗini konngol ɓurɗo ɗum gasoore ndee mawnde, e ɗum waɗi ɗum e ley hollugol ko Seytaane huutoraaɓe e ɗii teemedde e nay e ɗii ujunna e capanɗe na’i e nayi no ɓe ngallirta e dow.</w:t>
      </w:r>
    </w:p>
    <w:p>
      <w:pPr>
        <w:pStyle w:val="ArticleBody"/>
        <w:jc w:val="left"/>
      </w:pPr>
      <w:r>
        <w:rPr>
          <w:rFonts w:ascii="Times New Roman" w:hAnsi="Times New Roman" w:eastAsia="Times New Roman" w:cs="Times New Roman"/>
        </w:rPr>
        <w:t>En la próxima publicación, procederemos a abordar la guerra en el cielo en los «últimos días», la cual fue tipificada por la guerra en el cielo que comenzó en el principio.</w:t>
      </w:r>
    </w:p>
    <w:p>
      <w:pPr>
        <w:pStyle w:val="ArticleScripture"/>
        <w:jc w:val="left"/>
      </w:pPr>
      <w:r>
        <w:rPr>
          <w:rFonts w:ascii="Times New Roman" w:hAnsi="Times New Roman" w:eastAsia="Times New Roman" w:cs="Times New Roman"/>
        </w:rPr>
        <w:t>Sonra yerden yükselen başka bir canavar gördüm; kuzununkine benzer iki boynuzu vardı ve ejderha gibi konuşuyordu. İlk canavarın bütün yetkisini onun huzurunda kullanıyor; yeryüzünü ve orada yaşayanları, ölümcül yarası iyileşmiş olan ilk canavara tapınmaya zorluyordu. Büyük belirtiler gerçekleştiriyordu; öyle ki, insanların gözü önünde gökten yeryüzüne ateş indiriyordu. Canavarın huzurunda yapmaya yetkili olduğu mucizeler aracılığıyla yeryüzünde yaşayanları aldatıyor; yeryüzünde yaşayanlara, kılıç yarası almış ve yine yaşamış olan canavar için bir suret yapmalarını söylüyordu. Canavarın suretine yaşam vermeye yetkili kılınmıştı; öyle ki, canavarın sureti hem konuşsun, hem de canavarın suretine tapınmayanların hepsinin öldürülmesini sağlasın. Ve küçük büyük, zengin yoksul, özgür köle, herkesin sağ eline ya da alnına bir işaret almalarını sağlıyordu; öyle ki, o işareti, yani canavarın adını ya da adının sayısını taşımayan hiç kimse alıp satamasın. İşte bilgelik buradadır. Anlayışı olan, canavarın sayısını hesaplasın; çünkü bu, bir insanın sayısıdır ve onun sayısı altı yüz altmış altıdır. Vahiy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Révélation de Jésus-Christ — Numéro neuf</dc:title>
  <dc:subject>Isaïe : le récit prophétique final — la révélation du Christ et le rôle prophétique des 144 000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