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Lukutɔnu va Yesu Kristo — Nɔmba Fuɛtien</w:t>
      </w:r>
    </w:p>
    <w:p>
      <w:pPr>
        <w:pStyle w:val="ArticleSubtitle"/>
        <w:jc w:val="left"/>
      </w:pPr>
      <w:r>
        <w:rPr>
          <w:rFonts w:ascii="Arial" w:hAnsi="Arial" w:eastAsia="Arial" w:cs="Arial"/>
        </w:rPr>
        <w:t>Le Septième Sceau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2023-11-11</w:t>
      </w:r>
    </w:p>
    <w:p>
      <w:pPr>
        <w:pStyle w:val="ArticleBody"/>
        <w:jc w:val="left"/>
      </w:pPr>
      <w:r>
        <w:rPr>
          <w:rFonts w:ascii="Times New Roman" w:hAnsi="Times New Roman" w:eastAsia="Times New Roman" w:cs="Times New Roman"/>
        </w:rPr>
        <w:t>Warê ceribandina firîştayan, ku bi Lucifer di ezmanê sêyem de dest pê kir û di Revelation beşa diwanzdehan de tê nîşandan, nimûneya şerê ceribandina mirovan û firîştayan e ku di ezmanê yekem de bi dawî dibe. Gava Şeytan û firîştayên wî ji ezmanê sêyem hatin avêtin derve, Şeytan di baxçeyê Edenê de bereyek şerê nû vekir. Wek di şerê ezmanê sêyem de bi Lucifer re, Xwedê ji bo mirovahiyê jî demeke ceribandinê danî. Şerê di ezmanê yekem de, ku bi rastî li ser dest bi qanûna Yekşemê ya ku zû tê de dibe, dawiya dema ceribandinê ji bo mirovahiyê temsîl dike.</w:t>
      </w:r>
    </w:p>
    <w:p>
      <w:pPr>
        <w:pStyle w:val="ArticleBody"/>
        <w:jc w:val="left"/>
      </w:pPr>
      <w:r>
        <w:rPr>
          <w:rFonts w:ascii="Times New Roman" w:hAnsi="Times New Roman" w:eastAsia="Times New Roman" w:cs="Times New Roman"/>
        </w:rPr>
        <w:t>Ma twerɛ Nsɛmpa no mu nkyekyɛm dumienu ne dumiɛnsa mu no, wɔde ɔwɔkɛse no, aboa no, ne odiyifoɔ atoro no ahyɛnnsodeɛ so. Mpɛn pii no, wɔte saa ahoɔden mmiɛnsa yi ase sɛ egyina hɔ titiriw ma wɔn abakɔsɛm a atwam, nanso wɔka kyerɛɛ Yohane sɛ ɔnkyerɛw “nneɛma a ɛbɛba” no, na Adiyisɛm nwoma no nyinaa kasa fa “nna a edi akyiri” ho, enti yɛde Kyerɛwsɛm mu nnyinasosɛm no redi dwuma sɛ awiei no wɔde mfiase no yɛ mfatoho, na yɛde Adiyisɛm no ahyɛnnsodeɛ no reyɛ adwuma sɛ nokorɛ a ɛfa mprempren ho, ɛnyɛ nea atwam no.</w:t>
      </w:r>
    </w:p>
    <w:p>
      <w:pPr>
        <w:pStyle w:val="ArticleBody"/>
        <w:jc w:val="left"/>
      </w:pPr>
      <w:r>
        <w:rPr>
          <w:rFonts w:ascii="Times New Roman" w:hAnsi="Times New Roman" w:eastAsia="Times New Roman" w:cs="Times New Roman"/>
        </w:rPr>
        <w:t>Satan a été identifié, tant dans la guerre qu’il a commencée dans le troisième ciel que dans la première bataille qu’il a portée aux hommes dans le jardin d’Éden, comme employant l’« hypnotisme » pour transmettre ses communications corrompues afin de mener sa guerre.</w:t>
      </w:r>
    </w:p>
    <w:p>
      <w:pPr>
        <w:pStyle w:val="ArticleScripture"/>
        <w:jc w:val="left"/>
      </w:pPr>
      <w:r>
        <w:rPr>
          <w:rFonts w:ascii="Times New Roman" w:hAnsi="Times New Roman" w:eastAsia="Times New Roman" w:cs="Times New Roman"/>
        </w:rPr>
        <w:t>«Սատանան Եդեմում փորձեց առաջին Ադամին, և Ադամը մտավ դատողության մեջ թշնամու հետ՝ այդպիսով նրան առավելություն տալով։ Սատանան իր հիպնոսական զորությունն ի գործ դրեց Ադամի և Եվայի վրա, և նույն զորությունն էր, որ նա ջանում էր գործադրել Քրիստոսի վրա։ Բայց երբ Սուրբ Գրքի խոսքը մեջբերվեց, Սատանան հասկացավ, որ հաղթանակի ոչ մի հնարավորություն չունի։»</w:t>
      </w:r>
    </w:p>
    <w:p>
      <w:pPr>
        <w:pStyle w:val="ArticleScripture"/>
        <w:jc w:val="left"/>
      </w:pPr>
      <w:r>
        <w:rPr>
          <w:rFonts w:ascii="Times New Roman" w:hAnsi="Times New Roman" w:eastAsia="Times New Roman" w:cs="Times New Roman"/>
        </w:rPr>
        <w:t>“Abagabo n’abagore ntibakwiye kwiga ubuhanga bwo gufata mpiri ibitekerezo by’ababana na bo. Ubu ni bwo buhanga Satani yigisha. Tugomba kurwanya ikintu cyose cy’ubu bwoko. Ntidukwiye kwivanga na mesemerisimu n’ihipotizimu—ubuhanga bw’uwo watakaje icyubahiro cye cya mbere kandi agacibwa akava mu bikari byo mu ijuru.” Mind, Character and Personality, 713.</w:t>
      </w:r>
    </w:p>
    <w:p>
      <w:pPr>
        <w:pStyle w:val="ArticleBody"/>
        <w:jc w:val="left"/>
      </w:pPr>
      <w:r>
        <w:rPr>
          <w:rFonts w:ascii="Nirmala UI" w:hAnsi="Nirmala UI" w:eastAsia="Nirmala UI" w:cs="Nirmala UI"/>
        </w:rPr>
        <w:t>অনুগ্রহ</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লক্ষ্য</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“ff”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ভাষাকে</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স্পষ্ট</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আপনি</w:t>
      </w:r>
      <w:r>
        <w:rPr>
          <w:rFonts w:ascii="Times New Roman" w:hAnsi="Times New Roman" w:eastAsia="Times New Roman" w:cs="Times New Roman"/>
        </w:rPr>
        <w:t xml:space="preserve"> </w:t>
      </w: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লক্ষ্যভাষার</w:t>
      </w:r>
      <w:r>
        <w:rPr>
          <w:rFonts w:ascii="Times New Roman" w:hAnsi="Times New Roman" w:eastAsia="Times New Roman" w:cs="Times New Roman"/>
        </w:rPr>
        <w:t xml:space="preserve"> </w:t>
      </w:r>
      <w:r>
        <w:rPr>
          <w:rFonts w:ascii="Nirmala UI" w:hAnsi="Nirmala UI" w:eastAsia="Nirmala UI" w:cs="Nirmala UI"/>
        </w:rPr>
        <w:t>নাম</w:t>
      </w:r>
      <w:r>
        <w:rPr>
          <w:rFonts w:ascii="Times New Roman" w:hAnsi="Times New Roman" w:eastAsia="Times New Roman" w:cs="Times New Roman"/>
        </w:rPr>
        <w:t xml:space="preserve"> </w:t>
      </w:r>
      <w:r>
        <w:rPr>
          <w:rFonts w:ascii="Nirmala UI" w:hAnsi="Nirmala UI" w:eastAsia="Nirmala UI" w:cs="Nirmala UI"/>
        </w:rPr>
        <w:t>জানান</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তখনই</w:t>
      </w:r>
      <w:r>
        <w:rPr>
          <w:rFonts w:ascii="Times New Roman" w:hAnsi="Times New Roman" w:eastAsia="Times New Roman" w:cs="Times New Roman"/>
        </w:rPr>
        <w:t xml:space="preserve"> </w:t>
      </w:r>
      <w:r>
        <w:rPr>
          <w:rFonts w:ascii="Nirmala UI" w:hAnsi="Nirmala UI" w:eastAsia="Nirmala UI" w:cs="Nirmala UI"/>
        </w:rPr>
        <w:t>নির্ভুল</w:t>
      </w:r>
      <w:r>
        <w:rPr>
          <w:rFonts w:ascii="Times New Roman" w:hAnsi="Times New Roman" w:eastAsia="Times New Roman" w:cs="Times New Roman"/>
        </w:rPr>
        <w:t xml:space="preserve"> </w:t>
      </w:r>
      <w:r>
        <w:rPr>
          <w:rFonts w:ascii="Nirmala UI" w:hAnsi="Nirmala UI" w:eastAsia="Nirmala UI" w:cs="Nirmala UI"/>
        </w:rPr>
        <w:t>অনুবাদ</w:t>
      </w:r>
      <w:r>
        <w:rPr>
          <w:rFonts w:ascii="Times New Roman" w:hAnsi="Times New Roman" w:eastAsia="Times New Roman" w:cs="Times New Roman"/>
        </w:rPr>
        <w:t xml:space="preserve"> </w:t>
      </w:r>
      <w:r>
        <w:rPr>
          <w:rFonts w:ascii="Nirmala UI" w:hAnsi="Nirmala UI" w:eastAsia="Nirmala UI" w:cs="Nirmala UI"/>
        </w:rPr>
        <w:t>প্রদান</w:t>
      </w:r>
      <w:r>
        <w:rPr>
          <w:rFonts w:ascii="Times New Roman" w:hAnsi="Times New Roman" w:eastAsia="Times New Roman" w:cs="Times New Roman"/>
        </w:rPr>
        <w:t xml:space="preserve"> </w:t>
      </w:r>
      <w:r>
        <w:rPr>
          <w:rFonts w:ascii="Nirmala UI" w:hAnsi="Nirmala UI" w:eastAsia="Nirmala UI" w:cs="Nirmala UI"/>
        </w:rPr>
        <w:t>করব।</w:t>
      </w:r>
    </w:p>
    <w:p>
      <w:pPr>
        <w:pStyle w:val="ArticleBody"/>
        <w:jc w:val="left"/>
      </w:pPr>
      <w:r>
        <w:rPr>
          <w:rFonts w:ascii="Times New Roman" w:hAnsi="Times New Roman" w:eastAsia="Times New Roman" w:cs="Times New Roman"/>
        </w:rPr>
        <w:t>Kidungo cha Ufunuo sura ya kumi na tatu, na aya ya kumi na tatu, kimechukuliwa kutoka katika pambano la mlima Karmeli ambapo manabii wa Baali na manabii wa maashera hawakuweza kuita moto ushuke kutoka mbinguni ili kuthibitisha kwamba Baali na Ashtarothi walikuwa miungu ya kweli. Baali, akiwa mungu wa kiume, na Ashtarothi mungu wa kike, wanawakilisha sanamu ya yule mnyama, ule muungano usio mtakatifu wa kanisa na dola. Hao walikuwa manabii wa Yezebeli, ambaye alikuwa katika uhusiano usio mtakatifu na Ahabu. Hao mashahidi wawili wa kinabii wa sanamu ya yule mnyama katika kisa cha Mlima Karmeli, wanatambulisha jukumu la Marekani katika kwanza kuunda sanamu ya mfumo wa upapa nchini Marekani, na baadaye ulimwenguni. “Moto” wa Karmeli ulikuwa uthibitisho wa kumwonyesha ni nani Mungu wa kweli hasa. Uliwakilisha ufunuo kutoka mbinguni unaomtambulisha Mungu wa kweli, na suala lilo hilo lipo wakati Marekani inapoita moto ushuke kutoka mbinguni.</w:t>
      </w:r>
    </w:p>
    <w:p>
      <w:pPr>
        <w:pStyle w:val="ArticleBody"/>
        <w:jc w:val="left"/>
      </w:pPr>
      <w:r>
        <w:rPr>
          <w:rFonts w:ascii="Times New Roman" w:hAnsi="Times New Roman" w:eastAsia="Times New Roman" w:cs="Times New Roman"/>
        </w:rPr>
        <w:t>En el libro de Isaías, el Dios que declara el fin desde el principio se dirige al mismo escenario del antiguo monte Carmelo, y también al escenario profético que se representa cuando los Estados Unidos hace descender fuego del cielo.</w:t>
      </w:r>
    </w:p>
    <w:p>
      <w:pPr>
        <w:pStyle w:val="ArticleScripture"/>
        <w:jc w:val="left"/>
      </w:pPr>
      <w:r>
        <w:rPr>
          <w:rFonts w:ascii="Times New Roman" w:hAnsi="Times New Roman" w:eastAsia="Times New Roman" w:cs="Times New Roman"/>
        </w:rPr>
        <w:t>Iznesite svoju parnicu, govori Gospod; iznesite svoje jake razloge, govori Kralj Jakovljev. Neka ih iznesu i neka nam pokažu što će se dogoditi; neka pokažu prijašnje stvari, što su, da ih razmotrimo i spoznamo njihov svršetak; ili nam objavite ono što će doći. Pokažite ono što će doći poslije, da znamo da ste bogovi; da, učinite dobro ili učinite zlo, da se zadivimo i zajedno to promatramo. Evo, vi ste od ništa, i vaše je djelo ništavno; grozota je onaj koji vas izabire. Ja sam podigao jednoga sa sjevera, i on će doći; od izlaska sunčeva prizivat će moje ime; i doći će na knezove kao na žbuku, i kao što lončar gazi glinu. Tko je od početka navijestio, da bismo znali? i unaprijed, da bismo mogli reći: Pravedan je? Da, nema nikoga tko pokazuje; da, nema nikoga tko navješćuje; da, nema nikoga tko čuje vaše riječi. Prvi će reći Sionu: Evo, evo ih; i dat ću Jeruzalemu jednoga koji donosi radosne vijesti. Izaija 41:21–27.</w:t>
      </w:r>
    </w:p>
    <w:p>
      <w:pPr>
        <w:pStyle w:val="ArticleBody"/>
        <w:jc w:val="left"/>
      </w:pPr>
      <w:r>
        <w:rPr>
          <w:rFonts w:ascii="Times New Roman" w:hAnsi="Times New Roman" w:eastAsia="Times New Roman" w:cs="Times New Roman"/>
        </w:rPr>
        <w:t>Dans la guerre du premier ciel qui s’engagera avec la loi dominicale imminente, les États-Unis, ainsi que Satan lui-même, seront autorisés à « produire » leur « cause », et ils feront descendre le feu du ciel afin de tenter de prouver que le dieu de Jézabel est le vrai Dieu. Le monde sera contraint d’accepter la marque du jour d’adoration de ce dieu. Le feu qui est fait descendre du ciel, par le biais de la « super autoroute de l’information », vers toute l’humanité, est une œuvre de « néant », et celui qui choisit le message transmis par ce moyen est une « abomination ».</w:t>
      </w:r>
    </w:p>
    <w:p>
      <w:pPr>
        <w:pStyle w:val="ArticleBody"/>
        <w:jc w:val="left"/>
      </w:pPr>
      <w:r>
        <w:rPr>
          <w:rFonts w:ascii="Times New Roman" w:hAnsi="Times New Roman" w:eastAsia="Times New Roman" w:cs="Times New Roman"/>
        </w:rPr>
        <w:t>Dans ce conflit, les cent quarante-quatre mille, puis ensuite la grande foule, seront les témoins de Dieu dans le débat visant à déterminer qui est le vrai Dieu. Les messages transmis par les deux camps en guerre sont représentés comme un « feu ». Toutes les nations seront rassemblées afin de déterminer qui est le vrai Dieu, et il y aura deux catégories de témoins pour établir la « vérité ».</w:t>
      </w:r>
    </w:p>
    <w:p>
      <w:pPr>
        <w:pStyle w:val="ArticleScripture"/>
        <w:jc w:val="left"/>
      </w:pPr>
      <w:r>
        <w:rPr>
          <w:rFonts w:ascii="Times New Roman" w:hAnsi="Times New Roman" w:eastAsia="Times New Roman" w:cs="Times New Roman"/>
        </w:rPr>
        <w:t>Biarkanlah segala bangsa berhimpun bersama-sama, dan biarlah suku-suku bangsa dikumpulkan: siapakah di antara mereka yang dapat memberitahukan hal ini, dan memperlihatkan kepada kita perkara-perkara yang dahulu? biarlah mereka mengemukakan saksi-saksi mereka, supaya mereka dibenarkan: atau biarlah mereka mendengar, lalu berkata, Itu benar. Kamu adalah saksi-saksi-Ku, demikianlah firman TUHAN, dan hamba-Ku yang telah Kupilih: supaya kamu mengetahui dan percaya kepada-Ku, dan mengerti bahwa Akulah Dia: sebelum Aku tidak ada Allah dibentuk, dan sesudah Aku pun tidak akan ada. Aku, Akulah TUHAN; dan tidak ada juruselamat selain Aku. Aku telah memberitahukan, dan telah menyelamatkan, dan telah memperdengarkan, ketika tidak ada allah asing di antara kamu: sebab itu kamu adalah saksi-saksi-Ku, demikianlah firman TUHAN, bahwa Akulah Allah. Yesaya 43:9–12.</w:t>
      </w:r>
    </w:p>
    <w:p>
      <w:pPr>
        <w:pStyle w:val="ArticleBody"/>
        <w:jc w:val="left"/>
      </w:pPr>
      <w:r>
        <w:rPr>
          <w:rFonts w:ascii="Times New Roman" w:hAnsi="Times New Roman" w:eastAsia="Times New Roman" w:cs="Times New Roman"/>
        </w:rPr>
        <w:t>Ang huling kapahayagan ng Bundok Carmel ay may mga saksi para kay Satanas at mga saksi para sa Diyos. Ang pagpapakita ay upang patunayan kung sino ang tunay na Diyos, ngunit ano ang dapat patotohanan ng matatapat na mga saksi ng Diyos?</w:t>
      </w:r>
    </w:p>
    <w:p>
      <w:pPr>
        <w:pStyle w:val="ArticleScripture"/>
        <w:jc w:val="left"/>
      </w:pPr>
      <w:r>
        <w:rPr>
          <w:rFonts w:ascii="Times New Roman" w:hAnsi="Times New Roman" w:eastAsia="Times New Roman" w:cs="Times New Roman"/>
        </w:rPr>
        <w:t>Ainsi parle l’Éternel, le roi d’Israël, et son rédempteur, l’Éternel des armées : Je suis le premier, et je suis le dernier ; et hors moi il n’y a point de Dieu. Et qui, comme moi, appellera, le déclarera, et me l’exposera en ordre, depuis que j’ai établi le peuple ancien ? Et les choses à venir, celles qui arriveront, qu’ils les leur annoncent. Ne craignez point, et n’ayez point peur ; ne te l’ai-je pas dès lors fait entendre et déclaré ? Vous êtes mes témoins. Y a-t-il un Dieu hors moi ? Il n’y a point de rocher, je n’en connais point. Ceux qui fabriquent des images taillées ne sont tous que vanité ; et leurs objets les plus précieux ne servent de rien ; et ils leur servent eux-mêmes de témoins : ils ne voient point et ne connaissent point, afin qu’ils soient confus. Ésaïe 44:6–9.</w:t>
      </w:r>
    </w:p>
    <w:p>
      <w:pPr>
        <w:pStyle w:val="ArticleBody"/>
        <w:jc w:val="left"/>
      </w:pPr>
      <w:r>
        <w:rPr>
          <w:rFonts w:ascii="Times New Roman" w:hAnsi="Times New Roman" w:eastAsia="Times New Roman" w:cs="Times New Roman"/>
        </w:rPr>
        <w:t>Waaminifu katika pambano la mwisho la Mlima Karmeli wanapaswa kushuhudia ukweli kwamba Mungu ndiye wa kwanza na wa mwisho. Yeye ndiye Mungu “aliyewateua watu wa kale,” ili kutambulisha “mambo yanayokuja.” Mashahidi wa Mungu wanapaswa kuwasilisha Ufunuo wa Yesu Kristo uliotiwa muhuri ukafunuliwa muda mfupi kabla ya pambano la mwisho la Mlima Karmeli.</w:t>
      </w:r>
    </w:p>
    <w:p>
      <w:pPr>
        <w:pStyle w:val="ArticleBody"/>
        <w:jc w:val="left"/>
      </w:pPr>
      <w:r>
        <w:rPr>
          <w:rFonts w:ascii="Times New Roman" w:hAnsi="Times New Roman" w:eastAsia="Times New Roman" w:cs="Times New Roman"/>
        </w:rPr>
        <w:t>Ujumbe wa Mlima Karmeli wa Shetani unaonyeshwa kama moto ushukao kutoka mbinguni.</w:t>
      </w:r>
    </w:p>
    <w:p>
      <w:pPr>
        <w:pStyle w:val="ArticleScripture"/>
        <w:jc w:val="left"/>
      </w:pPr>
      <w:r>
        <w:rPr>
          <w:rFonts w:ascii="Times New Roman" w:hAnsi="Times New Roman" w:eastAsia="Times New Roman" w:cs="Times New Roman"/>
        </w:rPr>
        <w:t>At ɔyɛ anwonwade akɛse, na ɔma ogya fi soro ba asase so wɔ nnipa anim, Adiyisɛm 13:13.</w:t>
      </w:r>
    </w:p>
    <w:p>
      <w:pPr>
        <w:pStyle w:val="ArticleBody"/>
        <w:jc w:val="left"/>
      </w:pPr>
      <w:r>
        <w:rPr>
          <w:rFonts w:ascii="Times New Roman" w:hAnsi="Times New Roman" w:eastAsia="Times New Roman" w:cs="Times New Roman"/>
        </w:rPr>
        <w:t>Aayatkan ayaa sharraxaya mucjisooyinka uu Maraykanku ku sameeyo cilmiga casriga ah ee hipnotiisimka, kaas oo banii’aadamka loogu gudbiyo “jidka weyn ee macluumaadka.” Laakiin aayatku waxa kale oo uu ka hadlayaa soo muuqashadii Shayddaanka qudhiisa marka uu isu ekaysiiyo Masiixa.</w:t>
      </w:r>
    </w:p>
    <w:p>
      <w:pPr>
        <w:pStyle w:val="ArticleScripture"/>
        <w:jc w:val="left"/>
      </w:pPr>
      <w:r>
        <w:rPr>
          <w:rFonts w:ascii="Times New Roman" w:hAnsi="Times New Roman" w:eastAsia="Times New Roman" w:cs="Times New Roman"/>
        </w:rPr>
        <w:t>“Malaika anayeshirikiana katika kutangaza ujumbe wa malaika wa tatu atauangaza ulimwengu wote kwa utukufu wake. Hapa imetabiriwa kazi yenye upeo wa dunia nzima na nguvu isiyo ya kawaida. Vuguvugu la ujio la miaka ya 1840–44 lilikuwa udhihirisho wenye utukufu wa nguvu za Mungu; ujumbe wa malaika wa kwanza ulipelekwa katika kila kituo cha kimishonari duniani, na katika baadhi ya nchi kulikuwapo mwamko mkuu zaidi wa kidini ambao umeshuhudiwa katika nchi yoyote tangu Matengenezo ya karne ya kumi na sita; lakini haya yatazidiwa na vuguvugu lenye nguvu chini ya onyo la mwisho la malaika wa tatu.</w:t>
      </w:r>
    </w:p>
    <w:p>
      <w:pPr>
        <w:pStyle w:val="ArticleScripture"/>
        <w:jc w:val="left"/>
      </w:pPr>
      <w:r>
        <w:rPr>
          <w:rFonts w:ascii="Myanmar Text" w:hAnsi="Myanmar Text" w:eastAsia="Myanmar Text" w:cs="Myanmar Text"/>
        </w:rPr>
        <w:t>ဤအမှုတော်သည်</w:t>
      </w:r>
      <w:r>
        <w:rPr>
          <w:rFonts w:ascii="Times New Roman" w:hAnsi="Times New Roman" w:eastAsia="Times New Roman" w:cs="Times New Roman"/>
        </w:rPr>
        <w:t xml:space="preserve"> </w:t>
      </w:r>
      <w:r>
        <w:rPr>
          <w:rFonts w:ascii="Myanmar Text" w:hAnsi="Myanmar Text" w:eastAsia="Myanmar Text" w:cs="Myanmar Text"/>
        </w:rPr>
        <w:t>ပင်တေကုတ္တေပွဲနေ့၏</w:t>
      </w:r>
      <w:r>
        <w:rPr>
          <w:rFonts w:ascii="Times New Roman" w:hAnsi="Times New Roman" w:eastAsia="Times New Roman" w:cs="Times New Roman"/>
        </w:rPr>
        <w:t xml:space="preserve"> </w:t>
      </w:r>
      <w:r>
        <w:rPr>
          <w:rFonts w:ascii="Myanmar Text" w:hAnsi="Myanmar Text" w:eastAsia="Myanmar Text" w:cs="Myanmar Text"/>
        </w:rPr>
        <w:t>အမှုတော်နှင့်</w:t>
      </w:r>
      <w:r>
        <w:rPr>
          <w:rFonts w:ascii="Times New Roman" w:hAnsi="Times New Roman" w:eastAsia="Times New Roman" w:cs="Times New Roman"/>
        </w:rPr>
        <w:t xml:space="preserve"> </w:t>
      </w:r>
      <w:r>
        <w:rPr>
          <w:rFonts w:ascii="Myanmar Text" w:hAnsi="Myanmar Text" w:eastAsia="Myanmar Text" w:cs="Myanmar Text"/>
        </w:rPr>
        <w:t>ဆင်တူလိမ့်မည်။</w:t>
      </w:r>
      <w:r>
        <w:rPr>
          <w:rFonts w:ascii="Times New Roman" w:hAnsi="Times New Roman" w:eastAsia="Times New Roman" w:cs="Times New Roman"/>
        </w:rPr>
        <w:t xml:space="preserve"> “</w:t>
      </w:r>
      <w:r>
        <w:rPr>
          <w:rFonts w:ascii="Myanmar Text" w:hAnsi="Myanmar Text" w:eastAsia="Myanmar Text" w:cs="Myanmar Text"/>
        </w:rPr>
        <w:t>အစောမိုး</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သတင်းကောင်းတရား၏</w:t>
      </w:r>
      <w:r>
        <w:rPr>
          <w:rFonts w:ascii="Times New Roman" w:hAnsi="Times New Roman" w:eastAsia="Times New Roman" w:cs="Times New Roman"/>
        </w:rPr>
        <w:t xml:space="preserve"> </w:t>
      </w:r>
      <w:r>
        <w:rPr>
          <w:rFonts w:ascii="Myanmar Text" w:hAnsi="Myanmar Text" w:eastAsia="Myanmar Text" w:cs="Myanmar Text"/>
        </w:rPr>
        <w:t>အစပြုဖွင့်လှစ်ချိန်၌</w:t>
      </w:r>
      <w:r>
        <w:rPr>
          <w:rFonts w:ascii="Times New Roman" w:hAnsi="Times New Roman" w:eastAsia="Times New Roman" w:cs="Times New Roman"/>
        </w:rPr>
        <w:t xml:space="preserve"> </w:t>
      </w:r>
      <w:r>
        <w:rPr>
          <w:rFonts w:ascii="Myanmar Text" w:hAnsi="Myanmar Text" w:eastAsia="Myanmar Text" w:cs="Myanmar Text"/>
        </w:rPr>
        <w:t>သန့်ရှင်းသောဝိညာဉ်တော်ကို</w:t>
      </w:r>
      <w:r>
        <w:rPr>
          <w:rFonts w:ascii="Times New Roman" w:hAnsi="Times New Roman" w:eastAsia="Times New Roman" w:cs="Times New Roman"/>
        </w:rPr>
        <w:t xml:space="preserve"> </w:t>
      </w:r>
      <w:r>
        <w:rPr>
          <w:rFonts w:ascii="Myanmar Text" w:hAnsi="Myanmar Text" w:eastAsia="Myanmar Text" w:cs="Myanmar Text"/>
        </w:rPr>
        <w:t>သွန်းလောင်းပေးခြင်းအားဖြင့်</w:t>
      </w:r>
      <w:r>
        <w:rPr>
          <w:rFonts w:ascii="Times New Roman" w:hAnsi="Times New Roman" w:eastAsia="Times New Roman" w:cs="Times New Roman"/>
        </w:rPr>
        <w:t xml:space="preserve"> </w:t>
      </w:r>
      <w:r>
        <w:rPr>
          <w:rFonts w:ascii="Myanmar Text" w:hAnsi="Myanmar Text" w:eastAsia="Myanmar Text" w:cs="Myanmar Text"/>
        </w:rPr>
        <w:t>အဖိုးတန်မျိုးစေ့</w:t>
      </w:r>
      <w:r>
        <w:rPr>
          <w:rFonts w:ascii="Times New Roman" w:hAnsi="Times New Roman" w:eastAsia="Times New Roman" w:cs="Times New Roman"/>
        </w:rPr>
        <w:t xml:space="preserve"> </w:t>
      </w:r>
      <w:r>
        <w:rPr>
          <w:rFonts w:ascii="Myanmar Text" w:hAnsi="Myanmar Text" w:eastAsia="Myanmar Text" w:cs="Myanmar Text"/>
        </w:rPr>
        <w:t>ပေါက်ဖွားထွက်လာစေရန်</w:t>
      </w:r>
      <w:r>
        <w:rPr>
          <w:rFonts w:ascii="Times New Roman" w:hAnsi="Times New Roman" w:eastAsia="Times New Roman" w:cs="Times New Roman"/>
        </w:rPr>
        <w:t xml:space="preserve"> </w:t>
      </w:r>
      <w:r>
        <w:rPr>
          <w:rFonts w:ascii="Myanmar Text" w:hAnsi="Myanmar Text" w:eastAsia="Myanmar Text" w:cs="Myanmar Text"/>
        </w:rPr>
        <w:t>ပေးအပ်ခံရသကဲ့သို့၊</w:t>
      </w:r>
      <w:r>
        <w:rPr>
          <w:rFonts w:ascii="Times New Roman" w:hAnsi="Times New Roman" w:eastAsia="Times New Roman" w:cs="Times New Roman"/>
        </w:rPr>
        <w:t xml:space="preserve"> “</w:t>
      </w:r>
      <w:r>
        <w:rPr>
          <w:rFonts w:ascii="Myanmar Text" w:hAnsi="Myanmar Text" w:eastAsia="Myanmar Text" w:cs="Myanmar Text"/>
        </w:rPr>
        <w:t>နောက်မိုး</w:t>
      </w:r>
      <w:r>
        <w:rPr>
          <w:rFonts w:ascii="Times New Roman" w:hAnsi="Times New Roman" w:eastAsia="Times New Roman" w:cs="Times New Roman"/>
        </w:rPr>
        <w:t xml:space="preserve">” </w:t>
      </w:r>
      <w:r>
        <w:rPr>
          <w:rFonts w:ascii="Myanmar Text" w:hAnsi="Myanmar Text" w:eastAsia="Myanmar Text" w:cs="Myanmar Text"/>
        </w:rPr>
        <w:t>သည်လည်း</w:t>
      </w:r>
      <w:r>
        <w:rPr>
          <w:rFonts w:ascii="Times New Roman" w:hAnsi="Times New Roman" w:eastAsia="Times New Roman" w:cs="Times New Roman"/>
        </w:rPr>
        <w:t xml:space="preserve"> </w:t>
      </w:r>
      <w:r>
        <w:rPr>
          <w:rFonts w:ascii="Myanmar Text" w:hAnsi="Myanmar Text" w:eastAsia="Myanmar Text" w:cs="Myanmar Text"/>
        </w:rPr>
        <w:t>ရိတ်သိမ်းပွဲရင့်မှည့်စေရန်</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အဆုံးကာလ၌</w:t>
      </w:r>
      <w:r>
        <w:rPr>
          <w:rFonts w:ascii="Times New Roman" w:hAnsi="Times New Roman" w:eastAsia="Times New Roman" w:cs="Times New Roman"/>
        </w:rPr>
        <w:t xml:space="preserve"> </w:t>
      </w:r>
      <w:r>
        <w:rPr>
          <w:rFonts w:ascii="Myanmar Text" w:hAnsi="Myanmar Text" w:eastAsia="Myanmar Text" w:cs="Myanmar Text"/>
        </w:rPr>
        <w:t>ပေးအပ်ခံရလိမ့်မည်။</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ငါတို့သည်</w:t>
      </w:r>
      <w:r>
        <w:rPr>
          <w:rFonts w:ascii="Times New Roman" w:hAnsi="Times New Roman" w:eastAsia="Times New Roman" w:cs="Times New Roman"/>
        </w:rPr>
        <w:t xml:space="preserve"> </w:t>
      </w:r>
      <w:r>
        <w:rPr>
          <w:rFonts w:ascii="Myanmar Text" w:hAnsi="Myanmar Text" w:eastAsia="Myanmar Text" w:cs="Myanmar Text"/>
        </w:rPr>
        <w:t>ထာဝရဘုရားကို</w:t>
      </w:r>
      <w:r>
        <w:rPr>
          <w:rFonts w:ascii="Times New Roman" w:hAnsi="Times New Roman" w:eastAsia="Times New Roman" w:cs="Times New Roman"/>
        </w:rPr>
        <w:t xml:space="preserve"> </w:t>
      </w:r>
      <w:r>
        <w:rPr>
          <w:rFonts w:ascii="Myanmar Text" w:hAnsi="Myanmar Text" w:eastAsia="Myanmar Text" w:cs="Myanmar Text"/>
        </w:rPr>
        <w:t>သိအံ့သောငှာ</w:t>
      </w:r>
      <w:r>
        <w:rPr>
          <w:rFonts w:ascii="Times New Roman" w:hAnsi="Times New Roman" w:eastAsia="Times New Roman" w:cs="Times New Roman"/>
        </w:rPr>
        <w:t xml:space="preserve"> </w:t>
      </w:r>
      <w:r>
        <w:rPr>
          <w:rFonts w:ascii="Myanmar Text" w:hAnsi="Myanmar Text" w:eastAsia="Myanmar Text" w:cs="Myanmar Text"/>
        </w:rPr>
        <w:t>ဆက်လက်လိုက်နာလျှင်</w:t>
      </w:r>
      <w:r>
        <w:rPr>
          <w:rFonts w:ascii="Times New Roman" w:hAnsi="Times New Roman" w:eastAsia="Times New Roman" w:cs="Times New Roman"/>
        </w:rPr>
        <w:t xml:space="preserve"> </w:t>
      </w:r>
      <w:r>
        <w:rPr>
          <w:rFonts w:ascii="Myanmar Text" w:hAnsi="Myanmar Text" w:eastAsia="Myanmar Text" w:cs="Myanmar Text"/>
        </w:rPr>
        <w:t>သိကြလိမ့်မည်။</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ထွက်ပေါ်တော်မူခြင်းသည်</w:t>
      </w:r>
      <w:r>
        <w:rPr>
          <w:rFonts w:ascii="Times New Roman" w:hAnsi="Times New Roman" w:eastAsia="Times New Roman" w:cs="Times New Roman"/>
        </w:rPr>
        <w:t xml:space="preserve"> </w:t>
      </w:r>
      <w:r>
        <w:rPr>
          <w:rFonts w:ascii="Myanmar Text" w:hAnsi="Myanmar Text" w:eastAsia="Myanmar Text" w:cs="Myanmar Text"/>
        </w:rPr>
        <w:t>မိုးသောက်ကဲ့သို့</w:t>
      </w:r>
      <w:r>
        <w:rPr>
          <w:rFonts w:ascii="Times New Roman" w:hAnsi="Times New Roman" w:eastAsia="Times New Roman" w:cs="Times New Roman"/>
        </w:rPr>
        <w:t xml:space="preserve"> </w:t>
      </w:r>
      <w:r>
        <w:rPr>
          <w:rFonts w:ascii="Myanmar Text" w:hAnsi="Myanmar Text" w:eastAsia="Myanmar Text" w:cs="Myanmar Text"/>
        </w:rPr>
        <w:t>အဆင်သင့်ပြင်ဆင်ထားလျက်ရှိ၏။</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မိုးကဲ့သို့၊</w:t>
      </w:r>
      <w:r>
        <w:rPr>
          <w:rFonts w:ascii="Times New Roman" w:hAnsi="Times New Roman" w:eastAsia="Times New Roman" w:cs="Times New Roman"/>
        </w:rPr>
        <w:t xml:space="preserve"> </w:t>
      </w:r>
      <w:r>
        <w:rPr>
          <w:rFonts w:ascii="Myanmar Text" w:hAnsi="Myanmar Text" w:eastAsia="Myanmar Text" w:cs="Myanmar Text"/>
        </w:rPr>
        <w:t>မြေကြီးပေါ်သို့</w:t>
      </w:r>
      <w:r>
        <w:rPr>
          <w:rFonts w:ascii="Times New Roman" w:hAnsi="Times New Roman" w:eastAsia="Times New Roman" w:cs="Times New Roman"/>
        </w:rPr>
        <w:t xml:space="preserve"> </w:t>
      </w:r>
      <w:r>
        <w:rPr>
          <w:rFonts w:ascii="Myanmar Text" w:hAnsi="Myanmar Text" w:eastAsia="Myanmar Text" w:cs="Myanmar Text"/>
        </w:rPr>
        <w:t>ကျသော</w:t>
      </w:r>
      <w:r>
        <w:rPr>
          <w:rFonts w:ascii="Times New Roman" w:hAnsi="Times New Roman" w:eastAsia="Times New Roman" w:cs="Times New Roman"/>
        </w:rPr>
        <w:t xml:space="preserve"> </w:t>
      </w:r>
      <w:r>
        <w:rPr>
          <w:rFonts w:ascii="Myanmar Text" w:hAnsi="Myanmar Text" w:eastAsia="Myanmar Text" w:cs="Myanmar Text"/>
        </w:rPr>
        <w:t>နောက်မိုးနှင့်</w:t>
      </w:r>
      <w:r>
        <w:rPr>
          <w:rFonts w:ascii="Times New Roman" w:hAnsi="Times New Roman" w:eastAsia="Times New Roman" w:cs="Times New Roman"/>
        </w:rPr>
        <w:t xml:space="preserve"> </w:t>
      </w:r>
      <w:r>
        <w:rPr>
          <w:rFonts w:ascii="Myanmar Text" w:hAnsi="Myanmar Text" w:eastAsia="Myanmar Text" w:cs="Myanmar Text"/>
        </w:rPr>
        <w:t>အစောမိုးကဲ့သို့</w:t>
      </w:r>
      <w:r>
        <w:rPr>
          <w:rFonts w:ascii="Times New Roman" w:hAnsi="Times New Roman" w:eastAsia="Times New Roman" w:cs="Times New Roman"/>
        </w:rPr>
        <w:t xml:space="preserve"> </w:t>
      </w:r>
      <w:r>
        <w:rPr>
          <w:rFonts w:ascii="Myanmar Text" w:hAnsi="Myanmar Text" w:eastAsia="Myanmar Text" w:cs="Myanmar Text"/>
        </w:rPr>
        <w:t>ငါတို့ထံသို့</w:t>
      </w:r>
      <w:r>
        <w:rPr>
          <w:rFonts w:ascii="Times New Roman" w:hAnsi="Times New Roman" w:eastAsia="Times New Roman" w:cs="Times New Roman"/>
        </w:rPr>
        <w:t xml:space="preserve"> </w:t>
      </w:r>
      <w:r>
        <w:rPr>
          <w:rFonts w:ascii="Myanmar Text" w:hAnsi="Myanmar Text" w:eastAsia="Myanmar Text" w:cs="Myanmar Text"/>
        </w:rPr>
        <w:t>ကြွလာတော်မူလိမ့်မည်။</w:t>
      </w:r>
      <w:r>
        <w:rPr>
          <w:rFonts w:ascii="Times New Roman" w:hAnsi="Times New Roman" w:eastAsia="Times New Roman" w:cs="Times New Roman"/>
        </w:rPr>
        <w:t xml:space="preserve">” </w:t>
      </w:r>
      <w:r>
        <w:rPr>
          <w:rFonts w:ascii="Myanmar Text" w:hAnsi="Myanmar Text" w:eastAsia="Myanmar Text" w:cs="Myanmar Text"/>
        </w:rPr>
        <w:t>ဟောရှေ</w:t>
      </w:r>
      <w:r>
        <w:rPr>
          <w:rFonts w:ascii="Times New Roman" w:hAnsi="Times New Roman" w:eastAsia="Times New Roman" w:cs="Times New Roman"/>
        </w:rPr>
        <w:t xml:space="preserve"> 6:3</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ဇိအုန်သားတို့၊</w:t>
      </w:r>
      <w:r>
        <w:rPr>
          <w:rFonts w:ascii="Times New Roman" w:hAnsi="Times New Roman" w:eastAsia="Times New Roman" w:cs="Times New Roman"/>
        </w:rPr>
        <w:t xml:space="preserve"> </w:t>
      </w:r>
      <w:r>
        <w:rPr>
          <w:rFonts w:ascii="Myanmar Text" w:hAnsi="Myanmar Text" w:eastAsia="Myanmar Text" w:cs="Myanmar Text"/>
        </w:rPr>
        <w:t>ဝမ်းမြောက်ကြလော့၊</w:t>
      </w:r>
      <w:r>
        <w:rPr>
          <w:rFonts w:ascii="Times New Roman" w:hAnsi="Times New Roman" w:eastAsia="Times New Roman" w:cs="Times New Roman"/>
        </w:rPr>
        <w:t xml:space="preserve"> </w:t>
      </w:r>
      <w:r>
        <w:rPr>
          <w:rFonts w:ascii="Myanmar Text" w:hAnsi="Myanmar Text" w:eastAsia="Myanmar Text" w:cs="Myanmar Text"/>
        </w:rPr>
        <w:t>သင်တို့၏</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ပျော်ရွှင်ကြလော့။</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သင်တို့အား</w:t>
      </w:r>
      <w:r>
        <w:rPr>
          <w:rFonts w:ascii="Times New Roman" w:hAnsi="Times New Roman" w:eastAsia="Times New Roman" w:cs="Times New Roman"/>
        </w:rPr>
        <w:t xml:space="preserve"> </w:t>
      </w:r>
      <w:r>
        <w:rPr>
          <w:rFonts w:ascii="Myanmar Text" w:hAnsi="Myanmar Text" w:eastAsia="Myanmar Text" w:cs="Myanmar Text"/>
        </w:rPr>
        <w:t>အစောမိုးကို</w:t>
      </w:r>
      <w:r>
        <w:rPr>
          <w:rFonts w:ascii="Times New Roman" w:hAnsi="Times New Roman" w:eastAsia="Times New Roman" w:cs="Times New Roman"/>
        </w:rPr>
        <w:t xml:space="preserve"> </w:t>
      </w:r>
      <w:r>
        <w:rPr>
          <w:rFonts w:ascii="Myanmar Text" w:hAnsi="Myanmar Text" w:eastAsia="Myanmar Text" w:cs="Myanmar Text"/>
        </w:rPr>
        <w:t>သင့်တင့်မျှတစွာ</w:t>
      </w:r>
      <w:r>
        <w:rPr>
          <w:rFonts w:ascii="Times New Roman" w:hAnsi="Times New Roman" w:eastAsia="Times New Roman" w:cs="Times New Roman"/>
        </w:rPr>
        <w:t xml:space="preserve"> </w:t>
      </w:r>
      <w:r>
        <w:rPr>
          <w:rFonts w:ascii="Myanmar Text" w:hAnsi="Myanmar Text" w:eastAsia="Myanmar Text" w:cs="Myanmar Text"/>
        </w:rPr>
        <w:t>ပေးတော်မူပြီ။</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သင်တို့အတွက်</w:t>
      </w:r>
      <w:r>
        <w:rPr>
          <w:rFonts w:ascii="Times New Roman" w:hAnsi="Times New Roman" w:eastAsia="Times New Roman" w:cs="Times New Roman"/>
        </w:rPr>
        <w:t xml:space="preserve"> </w:t>
      </w:r>
      <w:r>
        <w:rPr>
          <w:rFonts w:ascii="Myanmar Text" w:hAnsi="Myanmar Text" w:eastAsia="Myanmar Text" w:cs="Myanmar Text"/>
        </w:rPr>
        <w:t>မိုးကို၊</w:t>
      </w:r>
      <w:r>
        <w:rPr>
          <w:rFonts w:ascii="Times New Roman" w:hAnsi="Times New Roman" w:eastAsia="Times New Roman" w:cs="Times New Roman"/>
        </w:rPr>
        <w:t xml:space="preserve"> </w:t>
      </w:r>
      <w:r>
        <w:rPr>
          <w:rFonts w:ascii="Myanmar Text" w:hAnsi="Myanmar Text" w:eastAsia="Myanmar Text" w:cs="Myanmar Text"/>
        </w:rPr>
        <w:t>အစောမိုးကိုလည်းကောင်း၊</w:t>
      </w:r>
      <w:r>
        <w:rPr>
          <w:rFonts w:ascii="Times New Roman" w:hAnsi="Times New Roman" w:eastAsia="Times New Roman" w:cs="Times New Roman"/>
        </w:rPr>
        <w:t xml:space="preserve"> </w:t>
      </w:r>
      <w:r>
        <w:rPr>
          <w:rFonts w:ascii="Myanmar Text" w:hAnsi="Myanmar Text" w:eastAsia="Myanmar Text" w:cs="Myanmar Text"/>
        </w:rPr>
        <w:t>နောက်မိုးကိုလည်းကောင်း</w:t>
      </w:r>
      <w:r>
        <w:rPr>
          <w:rFonts w:ascii="Times New Roman" w:hAnsi="Times New Roman" w:eastAsia="Times New Roman" w:cs="Times New Roman"/>
        </w:rPr>
        <w:t xml:space="preserve"> </w:t>
      </w:r>
      <w:r>
        <w:rPr>
          <w:rFonts w:ascii="Myanmar Text" w:hAnsi="Myanmar Text" w:eastAsia="Myanmar Text" w:cs="Myanmar Text"/>
        </w:rPr>
        <w:t>ကျစေတော်မူလိမ့်မည်။</w:t>
      </w:r>
      <w:r>
        <w:rPr>
          <w:rFonts w:ascii="Times New Roman" w:hAnsi="Times New Roman" w:eastAsia="Times New Roman" w:cs="Times New Roman"/>
        </w:rPr>
        <w:t xml:space="preserve">” </w:t>
      </w:r>
      <w:r>
        <w:rPr>
          <w:rFonts w:ascii="Myanmar Text" w:hAnsi="Myanmar Text" w:eastAsia="Myanmar Text" w:cs="Myanmar Text"/>
        </w:rPr>
        <w:t>ယောလ</w:t>
      </w:r>
      <w:r>
        <w:rPr>
          <w:rFonts w:ascii="Times New Roman" w:hAnsi="Times New Roman" w:eastAsia="Times New Roman" w:cs="Times New Roman"/>
        </w:rPr>
        <w:t xml:space="preserve"> 2:23</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နောက်ဆုံးသောနေ့ရက်များ၌၊</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မိန့်တော်မူသည်ကား၊</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ဝိညာဉ်တော်ကို</w:t>
      </w:r>
      <w:r>
        <w:rPr>
          <w:rFonts w:ascii="Times New Roman" w:hAnsi="Times New Roman" w:eastAsia="Times New Roman" w:cs="Times New Roman"/>
        </w:rPr>
        <w:t xml:space="preserve"> </w:t>
      </w:r>
      <w:r>
        <w:rPr>
          <w:rFonts w:ascii="Myanmar Text" w:hAnsi="Myanmar Text" w:eastAsia="Myanmar Text" w:cs="Myanmar Text"/>
        </w:rPr>
        <w:t>လူအပေါင်းတို့အပေါ်သို့</w:t>
      </w:r>
      <w:r>
        <w:rPr>
          <w:rFonts w:ascii="Times New Roman" w:hAnsi="Times New Roman" w:eastAsia="Times New Roman" w:cs="Times New Roman"/>
        </w:rPr>
        <w:t xml:space="preserve"> </w:t>
      </w:r>
      <w:r>
        <w:rPr>
          <w:rFonts w:ascii="Myanmar Text" w:hAnsi="Myanmar Text" w:eastAsia="Myanmar Text" w:cs="Myanmar Text"/>
        </w:rPr>
        <w:t>ငါသွန်းလောင်းမည်။</w:t>
      </w:r>
      <w:r>
        <w:rPr>
          <w:rFonts w:ascii="Times New Roman" w:hAnsi="Times New Roman" w:eastAsia="Times New Roman" w:cs="Times New Roman"/>
        </w:rPr>
        <w:t>”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နာမတော်ကို</w:t>
      </w:r>
      <w:r>
        <w:rPr>
          <w:rFonts w:ascii="Times New Roman" w:hAnsi="Times New Roman" w:eastAsia="Times New Roman" w:cs="Times New Roman"/>
        </w:rPr>
        <w:t xml:space="preserve"> </w:t>
      </w:r>
      <w:r>
        <w:rPr>
          <w:rFonts w:ascii="Myanmar Text" w:hAnsi="Myanmar Text" w:eastAsia="Myanmar Text" w:cs="Myanmar Text"/>
        </w:rPr>
        <w:t>ခေါ်လျှောက်သမျှသောသူမည်သည်ကား</w:t>
      </w:r>
      <w:r>
        <w:rPr>
          <w:rFonts w:ascii="Times New Roman" w:hAnsi="Times New Roman" w:eastAsia="Times New Roman" w:cs="Times New Roman"/>
        </w:rPr>
        <w:t xml:space="preserve"> </w:t>
      </w:r>
      <w:r>
        <w:rPr>
          <w:rFonts w:ascii="Myanmar Text" w:hAnsi="Myanmar Text" w:eastAsia="Myanmar Text" w:cs="Myanmar Text"/>
        </w:rPr>
        <w:t>ကယ်တင်ခြင်းကို</w:t>
      </w:r>
      <w:r>
        <w:rPr>
          <w:rFonts w:ascii="Times New Roman" w:hAnsi="Times New Roman" w:eastAsia="Times New Roman" w:cs="Times New Roman"/>
        </w:rPr>
        <w:t xml:space="preserve"> </w:t>
      </w:r>
      <w:r>
        <w:rPr>
          <w:rFonts w:ascii="Myanmar Text" w:hAnsi="Myanmar Text" w:eastAsia="Myanmar Text" w:cs="Myanmar Text"/>
        </w:rPr>
        <w:t>ခံရလိမ့်မည်။</w:t>
      </w:r>
      <w:r>
        <w:rPr>
          <w:rFonts w:ascii="Times New Roman" w:hAnsi="Times New Roman" w:eastAsia="Times New Roman" w:cs="Times New Roman"/>
        </w:rPr>
        <w:t xml:space="preserve">” </w:t>
      </w:r>
      <w:r>
        <w:rPr>
          <w:rFonts w:ascii="Myanmar Text" w:hAnsi="Myanmar Text" w:eastAsia="Myanmar Text" w:cs="Myanmar Text"/>
        </w:rPr>
        <w:t>တမန်တော်</w:t>
      </w:r>
      <w:r>
        <w:rPr>
          <w:rFonts w:ascii="Times New Roman" w:hAnsi="Times New Roman" w:eastAsia="Times New Roman" w:cs="Times New Roman"/>
        </w:rPr>
        <w:t xml:space="preserve"> 2:17, 21</w:t>
      </w:r>
      <w:r>
        <w:rPr>
          <w:rFonts w:ascii="Myanmar Text" w:hAnsi="Myanmar Text" w:eastAsia="Myanmar Text" w:cs="Myanmar Text"/>
        </w:rPr>
        <w:t>။</w:t>
      </w:r>
    </w:p>
    <w:p>
      <w:pPr>
        <w:pStyle w:val="ArticleScripture"/>
        <w:jc w:val="left"/>
      </w:pPr>
      <w:r>
        <w:rPr>
          <w:rFonts w:ascii="Times New Roman" w:hAnsi="Times New Roman" w:eastAsia="Times New Roman" w:cs="Times New Roman"/>
        </w:rPr>
        <w:t>“Det store evangeliets verk skal ikke avsluttes med en mindre åpenbarelse av Guds kraft enn den som kjennetegnet dets begynnelse. Profetiene som ble oppfylt i utgytelsen av det tidlige regn ved evangeliets begynnelse, skal igjen oppfylles i det sene regn ved dets avslutning. Her er ‘vederkvegelsens tider’, som apostelen Peter så frem til da han sa: ‘Omvend eder derfor og vend om, for at eders synder må bli utslettet, så vederkvegelsens tider kan komme fra Herrens åsyn, og Han skal sende Jesus.’ Apg. 3:19, 20.”</w:t>
      </w:r>
    </w:p>
    <w:p>
      <w:pPr>
        <w:pStyle w:val="ArticleScripture"/>
        <w:jc w:val="left"/>
      </w:pPr>
      <w:r>
        <w:rPr>
          <w:rFonts w:ascii="Times New Roman" w:hAnsi="Times New Roman" w:eastAsia="Times New Roman" w:cs="Times New Roman"/>
        </w:rPr>
        <w:t>“Jeequmsitoota Waaqayyoo, fuulli isaanii qulqullummaa of kennuu qulqulluudhaan ifee calaqqisuudhaan, ergaa samii labsuuf iddoo irraa gara iddootti ariitiidhaan deemuu isaanii. Kumootaan lakkaa’aman sagaleewwan, guutummaa lafaa irratti, akeekkachiisni ni kennama. Dinqiin ni hojjetama, dhukkubsattoonni ni fayyu, mallattoowwanii fi dinqiiwwan amantoota ni hordofu. Seexannis akkasuma ni hojjeta, dinqii sobaatiin, illee ija namootaa duratti samii irraa ibidda buusuudhaan. Mul’ata 13:13. Akkasitti jiraattonni lafaa dhaabbata isaanii fudhachuuf ni geeffamu.” The Great Controversy, 611, 612.</w:t>
      </w:r>
    </w:p>
    <w:p>
      <w:pPr>
        <w:pStyle w:val="ArticleBody"/>
        <w:jc w:val="left"/>
      </w:pPr>
      <w:r>
        <w:rPr>
          <w:rFonts w:ascii="Times New Roman" w:hAnsi="Times New Roman" w:eastAsia="Times New Roman" w:cs="Times New Roman"/>
        </w:rPr>
        <w:t>تونگَم أُواڠن کيتا منچapai masa apabila Iblis menurunkan api dari langit, “penduduk bumi akan dibawa untuk mengambil pendirian mereka.” Pada masa itu, saksi Tuhan “akan bergegas dari satu tempat ke tempat yang lain untuk memaklumkan pekabaran dari syurga. Dengan ribuan suara, di seluruh bumi, amaran itu akan diberikan.” Pekerjaan yang diselesaikan oleh saksi-saksi Tuhan “akan serupa dengan pekerjaan pada Hari Pentakosta,” apabila “malaikat yang bergabung dalam pemakluman pekabaran malaikat yang ketiga akan menerangi seluruh bumi dengan kemuliaannya.” Pada Pentakosta, api ialah lambang pencurahan Roh Kudus, dan api juga ialah lambang pencurahan roh najis Iblis.</w:t>
      </w:r>
    </w:p>
    <w:p>
      <w:pPr>
        <w:pStyle w:val="ArticleBody"/>
        <w:jc w:val="left"/>
      </w:pP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भीड़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निरूपण</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पश्चात्</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सातवीं</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सातवीं</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उद्घाटन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एकमात्र</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सातवीं</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गर्जनाएँ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प्रकाशन</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प्रकाशन</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सृजनात्मक</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गर्जनाएँ</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सातवीं</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दौरान</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उंडेले</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साक्षी</w:t>
      </w:r>
      <w:r>
        <w:rPr>
          <w:rFonts w:ascii="Times New Roman" w:hAnsi="Times New Roman" w:eastAsia="Times New Roman" w:cs="Times New Roman"/>
        </w:rPr>
        <w:t xml:space="preserve"> </w:t>
      </w:r>
      <w:r>
        <w:rPr>
          <w:rFonts w:ascii="Nirmala UI" w:hAnsi="Nirmala UI" w:eastAsia="Nirmala UI" w:cs="Nirmala UI"/>
        </w:rPr>
        <w:t>पुनर्जीवित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सृजनात्मक</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जिब्राएल</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जिब्राएल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भविष्यद्वक्ता</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पहुँचाई</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उसमें</w:t>
      </w:r>
      <w:r>
        <w:rPr>
          <w:rFonts w:ascii="Times New Roman" w:hAnsi="Times New Roman" w:eastAsia="Times New Roman" w:cs="Times New Roman"/>
        </w:rPr>
        <w:t xml:space="preserve"> </w:t>
      </w:r>
      <w:r>
        <w:rPr>
          <w:rFonts w:ascii="Nirmala UI" w:hAnsi="Nirmala UI" w:eastAsia="Nirmala UI" w:cs="Nirmala UI"/>
        </w:rPr>
        <w:t>निहित</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पढ़ने</w:t>
      </w:r>
      <w:r>
        <w:rPr>
          <w:rFonts w:ascii="Times New Roman" w:hAnsi="Times New Roman" w:eastAsia="Times New Roman" w:cs="Times New Roman"/>
        </w:rPr>
        <w:t xml:space="preserve">, </w:t>
      </w:r>
      <w:r>
        <w:rPr>
          <w:rFonts w:ascii="Nirmala UI" w:hAnsi="Nirmala UI" w:eastAsia="Nirmala UI" w:cs="Nirmala UI"/>
        </w:rPr>
        <w:t>सुनने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चुनाव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Dan ketika Ia membuka meterai yang ketujuh, terjadilah kesunyian di sorga kira-kira setengah jam lamanya. Lalu aku melihat ketujuh malaikat yang berdiri di hadapan Allah; dan kepada mereka diberikan tujuh sangkakala. Maka datanglah seorang malaikat lain, lalu berdiri di dekat mezbah dengan sebuah pedupaan emas; dan kepadanya diberikan banyak kemenyan, supaya ia mempersembahkannya bersama-sama dengan doa semua orang kudus di atas mezbah emas yang ada di hadapan takhta itu. Maka asap kemenyan itu, bersama-sama dengan doa orang-orang kudus, naik ke hadapan Allah dari tangan malaikat itu. Lalu malaikat itu mengambil pedupaan itu, mengisinya dengan api dari mezbah, dan melemparkannya ke bumi; maka terdengarlah suara-suara, bunyi guruh, kilat-kilat, dan terjadilah gempa bumi. Wahyu 8:1–5.</w:t>
      </w:r>
    </w:p>
    <w:p>
      <w:pPr>
        <w:pStyle w:val="ArticleBody"/>
        <w:jc w:val="left"/>
      </w:pPr>
      <w:r>
        <w:rPr>
          <w:rFonts w:ascii="Times New Roman" w:hAnsi="Times New Roman" w:eastAsia="Times New Roman" w:cs="Times New Roman"/>
        </w:rPr>
        <w:t>Në vargjet, “shtatë engjëj” “qëndronin përpara Perëndisë” me “shtatë bori”. Këta shtatë engjëj të borive janë kuptuar me të drejtë, sipas zakonit, se përfaqësojnë gjykimet e Perëndisë kundër Romës për zbatimin e adhurimit të së dielës. Roma pagane, nën Kostandinin, nxori ligjin e parë për të dielën në vitin 321, dhe deri në vitin 330, perandoria e tij u nda në lindje dhe perëndim. Që nga ai çast, katër boritë e para filluan të bien dhe ato përfaqësonin forcat historike që u sollën kundër perandorisë së tij, dhe të cilat, deri në vitin 476, e lanë qytetin e Romës aty ku nuk pati më kurrë një sundues romak mbi qytetin, i cili ishte simboli i fuqisë dhe lavdisë së Romës. Kur papati miratoi ligjin e së dielës në Këshillin e Orléans-it në vitin 538, Muhamedi u ngrit për të sjellë gjykim kundër kishës romake, siç përfaqësohet nga boria e pestë dhe e gjashtë, të cilat ishin edhe mjerimi i parë dhe i dytë, dhe përfaqësonin Islamin. Sado i saktë të jetë kuptimi tradicional i atyre borive, ato përcaktohen në pasazhin ku paraqiten te Zbulesa nëntë si “murtaja”.</w:t>
      </w:r>
    </w:p>
    <w:p>
      <w:pPr>
        <w:pStyle w:val="ArticleScripture"/>
        <w:jc w:val="left"/>
      </w:pPr>
      <w:r>
        <w:rPr>
          <w:rFonts w:ascii="Times New Roman" w:hAnsi="Times New Roman" w:eastAsia="Times New Roman" w:cs="Times New Roman"/>
        </w:rPr>
        <w:t>Ve la baqetela ba batho, ba ba sa bolawang ke dipetso tseo, ba se ka ba sokologa mo ditirong tsa diatla tsa bone, gore ba se ka ba obamela medemone le medingwana ya gouta, le selefera, le kgotlho, le lentswe, le kota, e e sa kgoneng go bona, le fa e le go utlwa, le fa e le go tsamaya; le gone ga ba a ka ba sokologa mo dipolaong tsa bone, le fa e le mo boloing jwa bone, le fa e le mo boakeng jwa bone, le fa e le mo bogodung jwa bone. Tshenolo 9:20, 21.</w:t>
      </w:r>
    </w:p>
    <w:p>
      <w:pPr>
        <w:pStyle w:val="ArticleBody"/>
        <w:jc w:val="left"/>
      </w:pPr>
      <w:r>
        <w:rPr>
          <w:rFonts w:ascii="Times New Roman" w:hAnsi="Times New Roman" w:eastAsia="Times New Roman" w:cs="Times New Roman"/>
        </w:rPr>
        <w:t>Le parfait et ultime accomplissement des sept trompettes est constitué par les sept dernières plaies d’Apocalypse chapitre seize. Même un examen sommaire des caractéristiques prophétiques des sept trompettes d’Apocalypse chapitre neuf démontre qu’elles présentent des caractéristiques parallèles à celles des sept dernières plaies. L’ouverture du septième sceau a lieu dans l’histoire au moment où le temps de grâce est sur le point de se clore et où la colère de Dieu, telle qu’elle est représentée par les sept dernières plaies, est sur le point d’être déversée.</w:t>
      </w:r>
    </w:p>
    <w:p>
      <w:pPr>
        <w:pStyle w:val="ArticleBody"/>
        <w:jc w:val="left"/>
      </w:pPr>
      <w:r>
        <w:rPr>
          <w:rFonts w:ascii="Times New Roman" w:hAnsi="Times New Roman" w:eastAsia="Times New Roman" w:cs="Times New Roman"/>
        </w:rPr>
        <w:t>Quand Christ, en tant que Lion de la tribu de Juda, « ouvrit le septième sceau », un ange vint se tenir devant l’autel, ayant un encensoir d’or ; et il lui fut donné beaucoup de parfum, afin qu’il l’offrît, avec les prières de tous les saints, sur l’autel d’or qui est devant le trône. « Et la fumée du parfum, qui montait avec les prières des saints, s’éleva devant Dieu de la main de l’ange. » L’effusion du Saint-Esprit à la Pentecôte fut précédée par la prière unanime des croyants assemblés à Jérusalem.</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ការរស់ឡើងវិញនៃការគោរពព្រះដ៏ពិតប្រាកដមួយនៅក្នុងចំណោមយើង</w:t>
      </w:r>
      <w:r>
        <w:rPr>
          <w:rFonts w:ascii="Times New Roman" w:hAnsi="Times New Roman" w:eastAsia="Times New Roman" w:cs="Times New Roman"/>
        </w:rPr>
        <w:t xml:space="preserve"> </w:t>
      </w:r>
      <w:r>
        <w:rPr>
          <w:rFonts w:ascii="Leelawadee UI" w:hAnsi="Leelawadee UI" w:eastAsia="Leelawadee UI" w:cs="Leelawadee UI"/>
        </w:rPr>
        <w:t>គឺជាតម្រូវការដ៏ធំបំផុត</w:t>
      </w:r>
      <w:r>
        <w:rPr>
          <w:rFonts w:ascii="Times New Roman" w:hAnsi="Times New Roman" w:eastAsia="Times New Roman" w:cs="Times New Roman"/>
        </w:rPr>
        <w:t xml:space="preserve"> </w:t>
      </w:r>
      <w:r>
        <w:rPr>
          <w:rFonts w:ascii="Leelawadee UI" w:hAnsi="Leelawadee UI" w:eastAsia="Leelawadee UI" w:cs="Leelawadee UI"/>
        </w:rPr>
        <w:t>និងបន្ទាន់បំផុត</w:t>
      </w:r>
      <w:r>
        <w:rPr>
          <w:rFonts w:ascii="Times New Roman" w:hAnsi="Times New Roman" w:eastAsia="Times New Roman" w:cs="Times New Roman"/>
        </w:rPr>
        <w:t xml:space="preserve"> </w:t>
      </w:r>
      <w:r>
        <w:rPr>
          <w:rFonts w:ascii="Leelawadee UI" w:hAnsi="Leelawadee UI" w:eastAsia="Leelawadee UI" w:cs="Leelawadee UI"/>
        </w:rPr>
        <w:t>ក្នុងចំណោមតម្រូវការទាំងអស់របស់យើង។</w:t>
      </w:r>
      <w:r>
        <w:rPr>
          <w:rFonts w:ascii="Times New Roman" w:hAnsi="Times New Roman" w:eastAsia="Times New Roman" w:cs="Times New Roman"/>
        </w:rPr>
        <w:t xml:space="preserve"> </w:t>
      </w:r>
      <w:r>
        <w:rPr>
          <w:rFonts w:ascii="Leelawadee UI" w:hAnsi="Leelawadee UI" w:eastAsia="Leelawadee UI" w:cs="Leelawadee UI"/>
        </w:rPr>
        <w:t>ការស្វែងរកការនេះ</w:t>
      </w:r>
      <w:r>
        <w:rPr>
          <w:rFonts w:ascii="Times New Roman" w:hAnsi="Times New Roman" w:eastAsia="Times New Roman" w:cs="Times New Roman"/>
        </w:rPr>
        <w:t xml:space="preserve"> </w:t>
      </w:r>
      <w:r>
        <w:rPr>
          <w:rFonts w:ascii="Leelawadee UI" w:hAnsi="Leelawadee UI" w:eastAsia="Leelawadee UI" w:cs="Leelawadee UI"/>
        </w:rPr>
        <w:t>គួរតែជាកិច្ចការដំបូងរបស់យើង។</w:t>
      </w:r>
      <w:r>
        <w:rPr>
          <w:rFonts w:ascii="Times New Roman" w:hAnsi="Times New Roman" w:eastAsia="Times New Roman" w:cs="Times New Roman"/>
        </w:rPr>
        <w:t xml:space="preserve"> </w:t>
      </w:r>
      <w:r>
        <w:rPr>
          <w:rFonts w:ascii="Leelawadee UI" w:hAnsi="Leelawadee UI" w:eastAsia="Leelawadee UI" w:cs="Leelawadee UI"/>
        </w:rPr>
        <w:t>ត្រូវតែមានការខិតខំយ៉ាងស្មោះស្ម័គ្រ</w:t>
      </w:r>
      <w:r>
        <w:rPr>
          <w:rFonts w:ascii="Times New Roman" w:hAnsi="Times New Roman" w:eastAsia="Times New Roman" w:cs="Times New Roman"/>
        </w:rPr>
        <w:t xml:space="preserve"> </w:t>
      </w:r>
      <w:r>
        <w:rPr>
          <w:rFonts w:ascii="Leelawadee UI" w:hAnsi="Leelawadee UI" w:eastAsia="Leelawadee UI" w:cs="Leelawadee UI"/>
        </w:rPr>
        <w:t>ដើម្បីទទួលបានព្រះពររបស់ព្រះអម្ចាស់</w:t>
      </w:r>
      <w:r>
        <w:rPr>
          <w:rFonts w:ascii="Times New Roman" w:hAnsi="Times New Roman" w:eastAsia="Times New Roman" w:cs="Times New Roman"/>
        </w:rPr>
        <w:t xml:space="preserve"> </w:t>
      </w:r>
      <w:r>
        <w:rPr>
          <w:rFonts w:ascii="Leelawadee UI" w:hAnsi="Leelawadee UI" w:eastAsia="Leelawadee UI" w:cs="Leelawadee UI"/>
        </w:rPr>
        <w:t>មិនមែនដោយសារព្រះមិនសព្វព្រះទ័យនឹងប្រទានព្រះពររបស់ទ្រង់មកលើយើងនោះទេ</w:t>
      </w:r>
      <w:r>
        <w:rPr>
          <w:rFonts w:ascii="Times New Roman" w:hAnsi="Times New Roman" w:eastAsia="Times New Roman" w:cs="Times New Roman"/>
        </w:rPr>
        <w:t xml:space="preserve"> </w:t>
      </w:r>
      <w:r>
        <w:rPr>
          <w:rFonts w:ascii="Leelawadee UI" w:hAnsi="Leelawadee UI" w:eastAsia="Leelawadee UI" w:cs="Leelawadee UI"/>
        </w:rPr>
        <w:t>ប៉ុន្តែដោយសារយើងមិនទាន់បានត្រៀមខ្លួនរួចរាល់សម្រាប់ទទួលវា។</w:t>
      </w:r>
      <w:r>
        <w:rPr>
          <w:rFonts w:ascii="Times New Roman" w:hAnsi="Times New Roman" w:eastAsia="Times New Roman" w:cs="Times New Roman"/>
        </w:rPr>
        <w:t xml:space="preserve"> </w:t>
      </w:r>
      <w:r>
        <w:rPr>
          <w:rFonts w:ascii="Leelawadee UI" w:hAnsi="Leelawadee UI" w:eastAsia="Leelawadee UI" w:cs="Leelawadee UI"/>
        </w:rPr>
        <w:t>ព្រះវរបិតាសួគ៌របស់យើង</w:t>
      </w:r>
      <w:r>
        <w:rPr>
          <w:rFonts w:ascii="Times New Roman" w:hAnsi="Times New Roman" w:eastAsia="Times New Roman" w:cs="Times New Roman"/>
        </w:rPr>
        <w:t xml:space="preserve"> </w:t>
      </w:r>
      <w:r>
        <w:rPr>
          <w:rFonts w:ascii="Leelawadee UI" w:hAnsi="Leelawadee UI" w:eastAsia="Leelawadee UI" w:cs="Leelawadee UI"/>
        </w:rPr>
        <w:t>ទ្រង់សព្វព្រះទ័យប្រទានព្រះវិញ្ញាណបរិសុទ្ធរបស់ទ្រង់</w:t>
      </w:r>
      <w:r>
        <w:rPr>
          <w:rFonts w:ascii="Times New Roman" w:hAnsi="Times New Roman" w:eastAsia="Times New Roman" w:cs="Times New Roman"/>
        </w:rPr>
        <w:t xml:space="preserve"> </w:t>
      </w:r>
      <w:r>
        <w:rPr>
          <w:rFonts w:ascii="Leelawadee UI" w:hAnsi="Leelawadee UI" w:eastAsia="Leelawadee UI" w:cs="Leelawadee UI"/>
        </w:rPr>
        <w:t>ដល់អស់អ្នកដែលទូលសុំទ្រង់</w:t>
      </w:r>
      <w:r>
        <w:rPr>
          <w:rFonts w:ascii="Times New Roman" w:hAnsi="Times New Roman" w:eastAsia="Times New Roman" w:cs="Times New Roman"/>
        </w:rPr>
        <w:t xml:space="preserve"> </w:t>
      </w:r>
      <w:r>
        <w:rPr>
          <w:rFonts w:ascii="Leelawadee UI" w:hAnsi="Leelawadee UI" w:eastAsia="Leelawadee UI" w:cs="Leelawadee UI"/>
        </w:rPr>
        <w:t>ជាងដែលឪពុកម្តាយនៅផែនដីសព្វចិត្តផ្តល់អំណោយល្អៗដល់កូនរបស់ខ្លួនទៅទៀត។</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វាជាកិច្ចការរបស់យើង</w:t>
      </w:r>
      <w:r>
        <w:rPr>
          <w:rFonts w:ascii="Times New Roman" w:hAnsi="Times New Roman" w:eastAsia="Times New Roman" w:cs="Times New Roman"/>
        </w:rPr>
        <w:t xml:space="preserve"> </w:t>
      </w:r>
      <w:r>
        <w:rPr>
          <w:rFonts w:ascii="Leelawadee UI" w:hAnsi="Leelawadee UI" w:eastAsia="Leelawadee UI" w:cs="Leelawadee UI"/>
        </w:rPr>
        <w:t>ដោយការសារភាព</w:t>
      </w:r>
      <w:r>
        <w:rPr>
          <w:rFonts w:ascii="Times New Roman" w:hAnsi="Times New Roman" w:eastAsia="Times New Roman" w:cs="Times New Roman"/>
        </w:rPr>
        <w:t xml:space="preserve"> </w:t>
      </w:r>
      <w:r>
        <w:rPr>
          <w:rFonts w:ascii="Leelawadee UI" w:hAnsi="Leelawadee UI" w:eastAsia="Leelawadee UI" w:cs="Leelawadee UI"/>
        </w:rPr>
        <w:t>ការបន្ទាបខ្លួន</w:t>
      </w:r>
      <w:r>
        <w:rPr>
          <w:rFonts w:ascii="Times New Roman" w:hAnsi="Times New Roman" w:eastAsia="Times New Roman" w:cs="Times New Roman"/>
        </w:rPr>
        <w:t xml:space="preserve"> </w:t>
      </w:r>
      <w:r>
        <w:rPr>
          <w:rFonts w:ascii="Leelawadee UI" w:hAnsi="Leelawadee UI" w:eastAsia="Leelawadee UI" w:cs="Leelawadee UI"/>
        </w:rPr>
        <w:t>ការប្រែចិត្ត</w:t>
      </w:r>
      <w:r>
        <w:rPr>
          <w:rFonts w:ascii="Times New Roman" w:hAnsi="Times New Roman" w:eastAsia="Times New Roman" w:cs="Times New Roman"/>
        </w:rPr>
        <w:t xml:space="preserve"> </w:t>
      </w:r>
      <w:r>
        <w:rPr>
          <w:rFonts w:ascii="Leelawadee UI" w:hAnsi="Leelawadee UI" w:eastAsia="Leelawadee UI" w:cs="Leelawadee UI"/>
        </w:rPr>
        <w:t>និងការអធិស្ឋានយ៉ាងស្មោះស្ម័គ្រ</w:t>
      </w:r>
      <w:r>
        <w:rPr>
          <w:rFonts w:ascii="Times New Roman" w:hAnsi="Times New Roman" w:eastAsia="Times New Roman" w:cs="Times New Roman"/>
        </w:rPr>
        <w:t xml:space="preserve"> </w:t>
      </w:r>
      <w:r>
        <w:rPr>
          <w:rFonts w:ascii="Leelawadee UI" w:hAnsi="Leelawadee UI" w:eastAsia="Leelawadee UI" w:cs="Leelawadee UI"/>
        </w:rPr>
        <w:t>ដើម្បីបំពេញលក្ខខណ្ឌទាំងឡាយ</w:t>
      </w:r>
      <w:r>
        <w:rPr>
          <w:rFonts w:ascii="Times New Roman" w:hAnsi="Times New Roman" w:eastAsia="Times New Roman" w:cs="Times New Roman"/>
        </w:rPr>
        <w:t xml:space="preserve"> </w:t>
      </w:r>
      <w:r>
        <w:rPr>
          <w:rFonts w:ascii="Leelawadee UI" w:hAnsi="Leelawadee UI" w:eastAsia="Leelawadee UI" w:cs="Leelawadee UI"/>
        </w:rPr>
        <w:t>ដែលព្រះបានសន្យាថា</w:t>
      </w:r>
      <w:r>
        <w:rPr>
          <w:rFonts w:ascii="Times New Roman" w:hAnsi="Times New Roman" w:eastAsia="Times New Roman" w:cs="Times New Roman"/>
        </w:rPr>
        <w:t xml:space="preserve"> </w:t>
      </w:r>
      <w:r>
        <w:rPr>
          <w:rFonts w:ascii="Leelawadee UI" w:hAnsi="Leelawadee UI" w:eastAsia="Leelawadee UI" w:cs="Leelawadee UI"/>
        </w:rPr>
        <w:t>ទ្រង់នឹងប្រទានព្រះពររបស់ទ្រង់ដល់យើង។</w:t>
      </w:r>
      <w:r>
        <w:rPr>
          <w:rFonts w:ascii="Times New Roman" w:hAnsi="Times New Roman" w:eastAsia="Times New Roman" w:cs="Times New Roman"/>
        </w:rPr>
        <w:t xml:space="preserve"> </w:t>
      </w:r>
      <w:r>
        <w:rPr>
          <w:rFonts w:ascii="Leelawadee UI" w:hAnsi="Leelawadee UI" w:eastAsia="Leelawadee UI" w:cs="Leelawadee UI"/>
        </w:rPr>
        <w:t>ការរស់ឡើងវិញមួយ</w:t>
      </w:r>
      <w:r>
        <w:rPr>
          <w:rFonts w:ascii="Times New Roman" w:hAnsi="Times New Roman" w:eastAsia="Times New Roman" w:cs="Times New Roman"/>
        </w:rPr>
        <w:t xml:space="preserve"> </w:t>
      </w:r>
      <w:r>
        <w:rPr>
          <w:rFonts w:ascii="Leelawadee UI" w:hAnsi="Leelawadee UI" w:eastAsia="Leelawadee UI" w:cs="Leelawadee UI"/>
        </w:rPr>
        <w:t>គួរត្រូវបានរំពឹងទុកបានតែជាការឆ្លើយតបចំពោះការអធិស្ឋានប៉ុណ្ណោះ</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Selected Messages, book 1, 121.</w:t>
      </w:r>
    </w:p>
    <w:p>
      <w:pPr>
        <w:pStyle w:val="ArticleBody"/>
        <w:jc w:val="left"/>
      </w:pPr>
      <w:r>
        <w:rPr>
          <w:rFonts w:ascii="Times New Roman" w:hAnsi="Times New Roman" w:eastAsia="Times New Roman" w:cs="Times New Roman"/>
        </w:rPr>
        <w:t>L’ouverture du septième sceau identifie le scellement des cent quarante-quatre mille. Ce scellement est déclenché par la prière, non pas simplement par l’exercice de la prière, mais par une prière particulière. Cette prière particulière est identifiée dans le livre de Daniel, qui est, bien entendu, aussi le livre de l’Apocalypse.</w:t>
      </w:r>
    </w:p>
    <w:p>
      <w:pPr>
        <w:pStyle w:val="ArticleBody"/>
        <w:jc w:val="left"/>
      </w:pPr>
      <w:r>
        <w:rPr>
          <w:rFonts w:ascii="Times New Roman" w:hAnsi="Times New Roman" w:eastAsia="Times New Roman" w:cs="Times New Roman"/>
        </w:rPr>
        <w:t>Yohane mu Byahishuwe, na Daniyeli mu gitabo cye, bagereranya abari ibihumbi ijana na mirongo ine na bine mu “minsi y’imperuka.” Mu “minsi y’imperuka,” abateganirijwe kuba abahamya b’Imana mu gihe cy’urugamba rwo mu ijuru rya mbere bazahamya ubuhanuzi buhishuwe gato mbere y’uko igihe cy’igeragezwa gifungwa. Ibi byagereranijwe nk’ikimenyetso cya karindwi mu mirongo turimo dusuzuma ubu. Amasengesho azanwa kuri marayika ufite “icyotero cya zahabu” yagereranyijwe n’isengesho rya Daniyeli mu gice cya cyenda cy’igitabo cye. Iryo sengesho ni isengesho ryihariye, ryari ryarashyizweho na Mose mu isano n’ubuhanuzi bw’“ibihe birindwi.” Iryo sengesho rifite impande ebyiri, kandi Daniyeli ashyira imiterere y’iryo sengesho rye ry’impande ebyiri mu magambo ya “umuvumo” na “indahiro” bya Mose. Ibitabo bya Daniyeli n’Ibyahishuwe ni igitabo kimwe, kandi imirongo imwe y’ubuhanuzi iri mu gitabo cya Daniyeli ni yo yongeye gufatwaho mu gitabo cy’Ibyahishuwe.</w:t>
      </w:r>
    </w:p>
    <w:p>
      <w:pPr>
        <w:pStyle w:val="ArticleBody"/>
        <w:jc w:val="left"/>
      </w:pPr>
      <w:r>
        <w:rPr>
          <w:rFonts w:ascii="Times New Roman" w:hAnsi="Times New Roman" w:eastAsia="Times New Roman" w:cs="Times New Roman"/>
        </w:rPr>
        <w:t>דער תּפֿלה וואָס ברענגט hervor די אויסגיסונג פֿון הייליקן פֿײַער אין דער באַוועגונג פֿונעם מַעכטיקן מלאך פֿון התגלות אַכצן, איז דניאלס תּפֿלה פֿון די „זיבן מאָל“. דאָס איז די תּפֿלה וואָס האָט אַראָפּגעבראַכט דעם מלאך גבריאל פֿון הימל כּדי צו דערקלערן דניאל די נבואות. בײַם סוף פֿון זײַן תּפֿלה, וואָס נעמט אַרײַן די ערשטע צוואַנציק פּסוקים פֿון דניאל ט, איז גבריאל אַראָפּגעקומען בערך אין דער צײַט פֿון דער אָוונטיקער קרבן־מנחה. די תּפֿלות וואָס שטײַגן אַרויף, און וואָס דער מלאך מיטן גילדענעם צענזער נעמט אָן, זענען תּפֿלות וואָס שטײַגן אַרויף ווען די זון גייט אונטער, אין דעם אָוונט פֿון „די לעצטע טעג“.</w:t>
      </w:r>
    </w:p>
    <w:p>
      <w:pPr>
        <w:pStyle w:val="ArticleScripture"/>
        <w:jc w:val="left"/>
      </w:pP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प्रार्थना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अंगीकार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पर्वत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बिनती</w:t>
      </w:r>
      <w:r>
        <w:rPr>
          <w:rFonts w:ascii="Times New Roman" w:hAnsi="Times New Roman" w:eastAsia="Times New Roman" w:cs="Times New Roman"/>
        </w:rPr>
        <w:t xml:space="preserve"> </w:t>
      </w:r>
      <w:r>
        <w:rPr>
          <w:rFonts w:ascii="Nirmala UI" w:hAnsi="Nirmala UI" w:eastAsia="Nirmala UI" w:cs="Nirmala UI"/>
        </w:rPr>
        <w:t>उपस्थित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प्रार्थना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जिब्राएल</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उड़कर</w:t>
      </w:r>
      <w:r>
        <w:rPr>
          <w:rFonts w:ascii="Times New Roman" w:hAnsi="Times New Roman" w:eastAsia="Times New Roman" w:cs="Times New Roman"/>
        </w:rPr>
        <w:t xml:space="preserve"> </w:t>
      </w:r>
      <w:r>
        <w:rPr>
          <w:rFonts w:ascii="Nirmala UI" w:hAnsi="Nirmala UI" w:eastAsia="Nirmala UI" w:cs="Nirmala UI"/>
        </w:rPr>
        <w:t>सांझ</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अन्नबलि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छूआ।</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9:20, 21</w:t>
      </w:r>
    </w:p>
    <w:p>
      <w:pPr>
        <w:pStyle w:val="ArticleBody"/>
        <w:jc w:val="left"/>
      </w:pPr>
      <w:r>
        <w:rPr>
          <w:rFonts w:ascii="Times New Roman" w:hAnsi="Times New Roman" w:eastAsia="Times New Roman" w:cs="Times New Roman"/>
        </w:rPr>
        <w:t>La prière de Daniel était une confession non seulement de ses propres péchés, mais aussi des péchés du peuple de Dieu. Sa prière est le modèle de la prière de repentance liée aux « sept temps » de Lévitique vingt-six.</w:t>
      </w:r>
    </w:p>
    <w:p>
      <w:pPr>
        <w:pStyle w:val="ArticleScripture"/>
        <w:jc w:val="left"/>
      </w:pP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তোমাদের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অবশিষ্ট</w:t>
      </w:r>
      <w:r>
        <w:rPr>
          <w:rFonts w:ascii="Times New Roman" w:hAnsi="Times New Roman" w:eastAsia="Times New Roman" w:cs="Times New Roman"/>
        </w:rPr>
        <w:t xml:space="preserve"> </w:t>
      </w:r>
      <w:r>
        <w:rPr>
          <w:rFonts w:ascii="Nirmala UI" w:hAnsi="Nirmala UI" w:eastAsia="Nirmala UI" w:cs="Nirmala UI"/>
        </w:rPr>
        <w:t>থাকবে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শত্রুদের</w:t>
      </w:r>
      <w:r>
        <w:rPr>
          <w:rFonts w:ascii="Times New Roman" w:hAnsi="Times New Roman" w:eastAsia="Times New Roman" w:cs="Times New Roman"/>
        </w:rPr>
        <w:t xml:space="preserve"> </w:t>
      </w:r>
      <w:r>
        <w:rPr>
          <w:rFonts w:ascii="Nirmala UI" w:hAnsi="Nirmala UI" w:eastAsia="Nirmala UI" w:cs="Nirmala UI"/>
        </w:rPr>
        <w:t>দেশে</w:t>
      </w:r>
      <w:r>
        <w:rPr>
          <w:rFonts w:ascii="Times New Roman" w:hAnsi="Times New Roman" w:eastAsia="Times New Roman" w:cs="Times New Roman"/>
        </w:rPr>
        <w:t xml:space="preserve"> </w:t>
      </w:r>
      <w:r>
        <w:rPr>
          <w:rFonts w:ascii="Nirmala UI" w:hAnsi="Nirmala UI" w:eastAsia="Nirmala UI" w:cs="Nirmala UI"/>
        </w:rPr>
        <w:t>নিজেদের</w:t>
      </w:r>
      <w:r>
        <w:rPr>
          <w:rFonts w:ascii="Times New Roman" w:hAnsi="Times New Roman" w:eastAsia="Times New Roman" w:cs="Times New Roman"/>
        </w:rPr>
        <w:t xml:space="preserve"> </w:t>
      </w:r>
      <w:r>
        <w:rPr>
          <w:rFonts w:ascii="Nirmala UI" w:hAnsi="Nirmala UI" w:eastAsia="Nirmala UI" w:cs="Nirmala UI"/>
        </w:rPr>
        <w:t>অধর্মের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ক্ষয়ে</w:t>
      </w:r>
      <w:r>
        <w:rPr>
          <w:rFonts w:ascii="Times New Roman" w:hAnsi="Times New Roman" w:eastAsia="Times New Roman" w:cs="Times New Roman"/>
        </w:rPr>
        <w:t xml:space="preserve"> </w:t>
      </w:r>
      <w:r>
        <w:rPr>
          <w:rFonts w:ascii="Nirmala UI" w:hAnsi="Nirmala UI" w:eastAsia="Nirmala UI" w:cs="Nirmala UI"/>
        </w:rPr>
        <w:t>যাবে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পিতৃপুরুষদের</w:t>
      </w:r>
      <w:r>
        <w:rPr>
          <w:rFonts w:ascii="Times New Roman" w:hAnsi="Times New Roman" w:eastAsia="Times New Roman" w:cs="Times New Roman"/>
        </w:rPr>
        <w:t xml:space="preserve"> </w:t>
      </w:r>
      <w:r>
        <w:rPr>
          <w:rFonts w:ascii="Nirmala UI" w:hAnsi="Nirmala UI" w:eastAsia="Nirmala UI" w:cs="Nirmala UI"/>
        </w:rPr>
        <w:t>অধর্মের</w:t>
      </w:r>
      <w:r>
        <w:rPr>
          <w:rFonts w:ascii="Times New Roman" w:hAnsi="Times New Roman" w:eastAsia="Times New Roman" w:cs="Times New Roman"/>
        </w:rPr>
        <w:t xml:space="preserve"> </w:t>
      </w:r>
      <w:r>
        <w:rPr>
          <w:rFonts w:ascii="Nirmala UI" w:hAnsi="Nirmala UI" w:eastAsia="Nirmala UI" w:cs="Nirmala UI"/>
        </w:rPr>
        <w:t>কারণেও</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ক্ষয়ে</w:t>
      </w:r>
      <w:r>
        <w:rPr>
          <w:rFonts w:ascii="Times New Roman" w:hAnsi="Times New Roman" w:eastAsia="Times New Roman" w:cs="Times New Roman"/>
        </w:rPr>
        <w:t xml:space="preserve"> </w:t>
      </w:r>
      <w:r>
        <w:rPr>
          <w:rFonts w:ascii="Nirmala UI" w:hAnsi="Nirmala UI" w:eastAsia="Nirmala UI" w:cs="Nirmala UI"/>
        </w:rPr>
        <w:t>যাবে।</w:t>
      </w:r>
      <w:r>
        <w:rPr>
          <w:rFonts w:ascii="Times New Roman" w:hAnsi="Times New Roman" w:eastAsia="Times New Roman" w:cs="Times New Roman"/>
        </w:rPr>
        <w:t xml:space="preserve"> </w:t>
      </w: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নিজেদের</w:t>
      </w:r>
      <w:r>
        <w:rPr>
          <w:rFonts w:ascii="Times New Roman" w:hAnsi="Times New Roman" w:eastAsia="Times New Roman" w:cs="Times New Roman"/>
        </w:rPr>
        <w:t xml:space="preserve"> </w:t>
      </w:r>
      <w:r>
        <w:rPr>
          <w:rFonts w:ascii="Nirmala UI" w:hAnsi="Nirmala UI" w:eastAsia="Nirmala UI" w:cs="Nirmala UI"/>
        </w:rPr>
        <w:t>অধর্ম</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পিতৃপুরুষদের</w:t>
      </w:r>
      <w:r>
        <w:rPr>
          <w:rFonts w:ascii="Times New Roman" w:hAnsi="Times New Roman" w:eastAsia="Times New Roman" w:cs="Times New Roman"/>
        </w:rPr>
        <w:t xml:space="preserve"> </w:t>
      </w:r>
      <w:r>
        <w:rPr>
          <w:rFonts w:ascii="Nirmala UI" w:hAnsi="Nirmala UI" w:eastAsia="Nirmala UI" w:cs="Nirmala UI"/>
        </w:rPr>
        <w:t>অধর্ম</w:t>
      </w:r>
      <w:r>
        <w:rPr>
          <w:rFonts w:ascii="Times New Roman" w:hAnsi="Times New Roman" w:eastAsia="Times New Roman" w:cs="Times New Roman"/>
        </w:rPr>
        <w:t xml:space="preserve">, </w:t>
      </w:r>
      <w:r>
        <w:rPr>
          <w:rFonts w:ascii="Nirmala UI" w:hAnsi="Nirmala UI" w:eastAsia="Nirmala UI" w:cs="Nirmala UI"/>
        </w:rPr>
        <w:t>অর্থাৎ</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অপরাধ</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অপরাধ</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স্বীকার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কথাও</w:t>
      </w:r>
      <w:r>
        <w:rPr>
          <w:rFonts w:ascii="Times New Roman" w:hAnsi="Times New Roman" w:eastAsia="Times New Roman" w:cs="Times New Roman"/>
        </w:rPr>
        <w:t xml:space="preserve"> </w:t>
      </w:r>
      <w:r>
        <w:rPr>
          <w:rFonts w:ascii="Nirmala UI" w:hAnsi="Nirmala UI" w:eastAsia="Nirmala UI" w:cs="Nirmala UI"/>
        </w:rPr>
        <w:t>স্বীকার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প্রতিকূলভাবে</w:t>
      </w:r>
      <w:r>
        <w:rPr>
          <w:rFonts w:ascii="Times New Roman" w:hAnsi="Times New Roman" w:eastAsia="Times New Roman" w:cs="Times New Roman"/>
        </w:rPr>
        <w:t xml:space="preserve"> </w:t>
      </w:r>
      <w:r>
        <w:rPr>
          <w:rFonts w:ascii="Nirmala UI" w:hAnsi="Nirmala UI" w:eastAsia="Nirmala UI" w:cs="Nirmala UI"/>
        </w:rPr>
        <w:t>চলেছে</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আমিও</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প্রতিকূলভাবে</w:t>
      </w:r>
      <w:r>
        <w:rPr>
          <w:rFonts w:ascii="Times New Roman" w:hAnsi="Times New Roman" w:eastAsia="Times New Roman" w:cs="Times New Roman"/>
        </w:rPr>
        <w:t xml:space="preserve"> </w:t>
      </w:r>
      <w:r>
        <w:rPr>
          <w:rFonts w:ascii="Nirmala UI" w:hAnsi="Nirmala UI" w:eastAsia="Nirmala UI" w:cs="Nirmala UI"/>
        </w:rPr>
        <w:t>চলেছি</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শত্রুদের</w:t>
      </w:r>
      <w:r>
        <w:rPr>
          <w:rFonts w:ascii="Times New Roman" w:hAnsi="Times New Roman" w:eastAsia="Times New Roman" w:cs="Times New Roman"/>
        </w:rPr>
        <w:t xml:space="preserve"> </w:t>
      </w:r>
      <w:r>
        <w:rPr>
          <w:rFonts w:ascii="Nirmala UI" w:hAnsi="Nirmala UI" w:eastAsia="Nirmala UI" w:cs="Nirmala UI"/>
        </w:rPr>
        <w:t>দেশে</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গেছি</w:t>
      </w:r>
      <w:r>
        <w:rPr>
          <w:rFonts w:ascii="Times New Roman" w:hAnsi="Times New Roman" w:eastAsia="Times New Roman" w:cs="Times New Roman"/>
        </w:rPr>
        <w:t xml:space="preserve">; </w:t>
      </w: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অখৎনিত</w:t>
      </w:r>
      <w:r>
        <w:rPr>
          <w:rFonts w:ascii="Times New Roman" w:hAnsi="Times New Roman" w:eastAsia="Times New Roman" w:cs="Times New Roman"/>
        </w:rPr>
        <w:t xml:space="preserve"> </w:t>
      </w:r>
      <w:r>
        <w:rPr>
          <w:rFonts w:ascii="Nirmala UI" w:hAnsi="Nirmala UI" w:eastAsia="Nirmala UI" w:cs="Nirmala UI"/>
        </w:rPr>
        <w:t>হৃদয়</w:t>
      </w:r>
      <w:r>
        <w:rPr>
          <w:rFonts w:ascii="Times New Roman" w:hAnsi="Times New Roman" w:eastAsia="Times New Roman" w:cs="Times New Roman"/>
        </w:rPr>
        <w:t xml:space="preserve"> </w:t>
      </w:r>
      <w:r>
        <w:rPr>
          <w:rFonts w:ascii="Nirmala UI" w:hAnsi="Nirmala UI" w:eastAsia="Nirmala UI" w:cs="Nirmala UI"/>
        </w:rPr>
        <w:t>নম্র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অধর্মের</w:t>
      </w:r>
      <w:r>
        <w:rPr>
          <w:rFonts w:ascii="Times New Roman" w:hAnsi="Times New Roman" w:eastAsia="Times New Roman" w:cs="Times New Roman"/>
        </w:rPr>
        <w:t xml:space="preserve"> </w:t>
      </w:r>
      <w:r>
        <w:rPr>
          <w:rFonts w:ascii="Nirmala UI" w:hAnsi="Nirmala UI" w:eastAsia="Nirmala UI" w:cs="Nirmala UI"/>
        </w:rPr>
        <w:t>দণ্ড</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যাকোবের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চুক্তি</w:t>
      </w:r>
      <w:r>
        <w:rPr>
          <w:rFonts w:ascii="Times New Roman" w:hAnsi="Times New Roman" w:eastAsia="Times New Roman" w:cs="Times New Roman"/>
        </w:rPr>
        <w:t xml:space="preserve"> </w:t>
      </w:r>
      <w:r>
        <w:rPr>
          <w:rFonts w:ascii="Nirmala UI" w:hAnsi="Nirmala UI" w:eastAsia="Nirmala UI" w:cs="Nirmala UI"/>
        </w:rPr>
        <w:t>স্মরণ</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ইসহাকের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চুক্তিও</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অব্রাহামের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চুক্তিও</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স্মরণ</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দেশটিকেও</w:t>
      </w:r>
      <w:r>
        <w:rPr>
          <w:rFonts w:ascii="Times New Roman" w:hAnsi="Times New Roman" w:eastAsia="Times New Roman" w:cs="Times New Roman"/>
        </w:rPr>
        <w:t xml:space="preserve"> </w:t>
      </w:r>
      <w:r>
        <w:rPr>
          <w:rFonts w:ascii="Nirmala UI" w:hAnsi="Nirmala UI" w:eastAsia="Nirmala UI" w:cs="Nirmala UI"/>
        </w:rPr>
        <w:t>স্মরণ</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লেবীয়</w:t>
      </w:r>
      <w:r>
        <w:rPr>
          <w:rFonts w:ascii="Times New Roman" w:hAnsi="Times New Roman" w:eastAsia="Times New Roman" w:cs="Times New Roman"/>
        </w:rPr>
        <w:t xml:space="preserve"> </w:t>
      </w:r>
      <w:r>
        <w:rPr>
          <w:rFonts w:ascii="Nirmala UI" w:hAnsi="Nirmala UI" w:eastAsia="Nirmala UI" w:cs="Nirmala UI"/>
        </w:rPr>
        <w:t>পুস্তক</w:t>
      </w:r>
      <w:r>
        <w:rPr>
          <w:rFonts w:ascii="Times New Roman" w:hAnsi="Times New Roman" w:eastAsia="Times New Roman" w:cs="Times New Roman"/>
        </w:rPr>
        <w:t xml:space="preserve"> 26:39–42</w:t>
      </w:r>
      <w:r>
        <w:rPr>
          <w:rFonts w:ascii="Nirmala UI" w:hAnsi="Nirmala UI" w:eastAsia="Nirmala UI" w:cs="Nirmala UI"/>
        </w:rPr>
        <w:t>।</w:t>
      </w:r>
    </w:p>
    <w:p>
      <w:pPr>
        <w:pStyle w:val="ArticleBody"/>
        <w:jc w:val="left"/>
      </w:pPr>
      <w:r>
        <w:rPr>
          <w:rFonts w:ascii="Times New Roman" w:hAnsi="Times New Roman" w:eastAsia="Times New Roman" w:cs="Times New Roman"/>
        </w:rPr>
        <w:t>Musa, “yeddi dəfə” ilə əlaqədar cəzanı, Allahın “əhdinin mübahisəsi” adlandırdığı cəzanı bəyan etdikdən sonra, Allahın xalqının düşmən ölkəsində qul olduqlarını — Danielin də olduğu kimi — dərk etdikləri zaman və əgər dərk etsələr, nə etməli olduqlarını göstərir. Onlar, Danielin təmsil etdiyi kimi, öz günahlarını, eləcə də atalarının günahlarını etiraf etməli idilər.</w:t>
      </w:r>
    </w:p>
    <w:p>
      <w:pPr>
        <w:pStyle w:val="ArticleBody"/>
        <w:jc w:val="left"/>
      </w:pPr>
      <w:r>
        <w:rPr>
          <w:rFonts w:ascii="Times New Roman" w:hAnsi="Times New Roman" w:eastAsia="Times New Roman" w:cs="Times New Roman"/>
        </w:rPr>
        <w:t>Lorsque cette prière particulière est offerte par ceux qui sont appelés à être les cent quarante-quatre mille, l’ange au encensoir d’or prendra « l’encensoir, et » le remplira « du feu de l’autel, et le jeta sur la terre : et il y eut des voix, et des tonnerres, et des éclairs, et un tremblement de terre ». Le feu sacré, qui représente le message de la « vérité » par contraste avec le message contrefait du « feu » que les États-Unis et Satan font descendre du ciel, se manifeste à l’heure du « tremblement de terre » qu’est la loi du dimanche.</w:t>
      </w:r>
    </w:p>
    <w:p>
      <w:pPr>
        <w:pStyle w:val="ArticleBody"/>
        <w:jc w:val="left"/>
      </w:pPr>
      <w:r>
        <w:rPr>
          <w:rFonts w:ascii="Times New Roman" w:hAnsi="Times New Roman" w:eastAsia="Times New Roman" w:cs="Times New Roman"/>
        </w:rPr>
        <w:t>W mu kyitabo cya Zekariya, tumenyeshwa ko Zerubabeli yashyizeho urufatiro ndetse n’ibuye rikuru ryo ku mutwe ry’urusengero, mu mateka yo kongera kubaka urusengero na Yerusalemu nyuma yo kugaruka bavuye mu bubata Daniyeli yari yarabayemo.</w:t>
      </w:r>
    </w:p>
    <w:p>
      <w:pPr>
        <w:pStyle w:val="ArticleScripture"/>
        <w:jc w:val="left"/>
      </w:pPr>
      <w:r>
        <w:rPr>
          <w:rFonts w:ascii="Times New Roman" w:hAnsi="Times New Roman" w:eastAsia="Times New Roman" w:cs="Times New Roman"/>
        </w:rPr>
        <w:t>Tou li answere mo e dir moi, e li dir: “Sa se parol Senyer pour Zeroubabel: ‘Pa par lafors, ni par pwisans, me par mon Lespri,’ dir Senyer bann larme. ‘Lekel ou ete, o gran montanny? Devan Zeroubabel ou ava vin en laplenn; e i ava fer sorti son ros dango avek laklamasyon, an kriyan: “Lagras, lagras lo la!”’” Anplis, parol Senyer ti vin ver mwan, an dizan: “Lanmen Zeroubabel in poz fondasyon sa lakaz; son lanmen pou osi fini li; e ou ava konnen ki Senyer bann larme in anvoy mwan ver zot. Parski lekel ki’n mepriz zour bann pti konmansman? Parski zot pou krwar dan lazwa, e zot pou vwar plon dan lanmen Zeroubabel ansanm avek sa set; zot se lizye Senyer, ki ale e vini atraver later antye.” Zakari 4:6–10.</w:t>
      </w:r>
    </w:p>
    <w:p>
      <w:pPr>
        <w:pStyle w:val="ArticleBody"/>
        <w:jc w:val="left"/>
      </w:pPr>
      <w:r>
        <w:rPr>
          <w:rFonts w:ascii="Times New Roman" w:hAnsi="Times New Roman" w:eastAsia="Times New Roman" w:cs="Times New Roman"/>
        </w:rPr>
        <w:t>Zerubbabel signifie « descendance de Babylone » et il est un symbole du message du deuxième ange qui, uni au message du Cri de Minuit, posa le « fondement » au commencement du mouvement adventiste. Zerubbabel représente aussi la répétition du message du deuxième ange dans le mouvement final de l’adventisme, au sein du mouvement de Future for America, lorsque la « pierre principale de l’angle » est mise en place.</w:t>
      </w:r>
    </w:p>
    <w:p>
      <w:pPr>
        <w:pStyle w:val="ArticleBody"/>
        <w:jc w:val="left"/>
      </w:pPr>
      <w:r>
        <w:rPr>
          <w:rFonts w:ascii="Times New Roman" w:hAnsi="Times New Roman" w:eastAsia="Times New Roman" w:cs="Times New Roman"/>
        </w:rPr>
        <w:t>Le monde se réjouit au sujet des deux témoins qui avaient été mis à mort dans la vallée des ossements desséchés, dans la rue qui est la « super-autoroute de l’information ». Lorsque ces deux témoins furent ramenés à la vie, le monde fut saisi de crainte, et les cieux se réjouirent. Zacharie, comme tous les prophètes, désigne les « derniers jours », lorsque le peuple de Dieu se réjouit. Zacharie nous informe qu’il se réjouit à la résurrection des deux témoins, lorsqu’il voit « ces sept-là ». « Ces sept-là » est le même mot hébreu que celui traduit par « sept temps » dans Lévitique vingt-six. Le mouvement du premier ange posa la pierre de fondement des sept temps de Moïse, et cette « vérité » doit aussi être la pierre de faîte du mouvement du troisième ange, malgré son rejet en 1863.</w:t>
      </w:r>
    </w:p>
    <w:p>
      <w:pPr>
        <w:pStyle w:val="ArticleBody"/>
        <w:jc w:val="left"/>
      </w:pPr>
      <w:r>
        <w:rPr>
          <w:rFonts w:ascii="Times New Roman" w:hAnsi="Times New Roman" w:eastAsia="Times New Roman" w:cs="Times New Roman"/>
        </w:rPr>
        <w:t>Ntoni yeliseki mpe ekokisami, mpe basali likolo na yango na libondeli oyo ebongi ya biteni mibale, moto ya solo ekobwakama na mabele, ndenge ezalaki na mokolo ya Pantekote.</w:t>
      </w:r>
    </w:p>
    <w:p>
      <w:pPr>
        <w:pStyle w:val="ArticleBody"/>
        <w:jc w:val="left"/>
      </w:pPr>
      <w:r>
        <w:rPr>
          <w:rFonts w:ascii="Times New Roman" w:hAnsi="Times New Roman" w:eastAsia="Times New Roman" w:cs="Times New Roman"/>
        </w:rPr>
        <w:t>Nous continuerons à traiter de l’ouverture du septième sceau dans l’article suivant.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Lukutɔnu va Yesu Kristo — Nɔmba Fuɛtien</dc:title>
  <dc:subject>Le Septième Sceau</dc:subject>
  <dc:creator>Jeff Pippenger</dc:creator>
  <cp:keywords/>
  <dc:description>Generated by ArticleDigger from revelation\14_revelation.json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