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Révélation de Jésus-Christ — Numéro seize</w:t>
      </w:r>
    </w:p>
    <w:p>
      <w:pPr>
        <w:pStyle w:val="ArticleSubtitle"/>
        <w:jc w:val="left"/>
      </w:pPr>
      <w:r>
        <w:rPr>
          <w:rFonts w:ascii="Arial" w:hAnsi="Arial" w:eastAsia="Arial" w:cs="Arial"/>
        </w:rPr>
        <w:t>Ufunuo wa Ngurumo Saba: Uchambuzi wa Kinabii wa Ufunuo na Historia Iliyofichika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Eçi li historia sekuensial di eventonan profétiko ku ta keda identifiká pa medio di e historia skondí di e siete trueno-nan, ku ta representá den Revelashon kapítulonan diesun te ku diestrès. Nos no a yega ainda na e punto den e desaroyo di e eventonan akí, kaminda nos lo superponé e historia di e kueru di Protestantismo i e kueru di Republicanismo. Tampoko nos no a prepará ainda un base di komprondementu pa señalá ku presishon e papel di Islam den e mensahe di e Midnight Cry. Tin, sinembargo, un berdat masha importante konektá ku e eventonan akí, ku ta identifiká kiko un persona mester hasi ora nan komprondé e berdatnan ku ta keda deseyá. E bendishon di Revelashon ta inkluí e responsabilidat di “warda” e kosnan ku ta skirbí.</w:t>
      </w:r>
    </w:p>
    <w:p>
      <w:pPr>
        <w:pStyle w:val="ArticleBody"/>
        <w:jc w:val="left"/>
      </w:pPr>
      <w:r>
        <w:rPr>
          <w:rFonts w:ascii="Times New Roman" w:hAnsi="Times New Roman" w:eastAsia="Times New Roman" w:cs="Times New Roman"/>
        </w:rPr>
        <w:t>Die Geschichtslinie, die entsiegelt wird, vermittelt die schöpferische Kraft Gottes denen, die hören, lesen und bewahren wollen, was darin geschrieben steht. Daher ist es nun an der Zeit, unsere Betrachtung von Jesajas letzter prophetischer Darstellung sowie der Offenbarung, Kapitel elf bis dreizehn, zu unterbrechen, um die Bedeutung der „dreieinhalb Tage“ zu bestimmen, während deren Elia und Mose tot auf der Straße der Informations-Superautobahn lagen, die durch das Tal der dürren Totengebeine führt. Was wir nun erkennen werden, ist die Symbolik der „Wüste“.</w:t>
      </w:r>
    </w:p>
    <w:p>
      <w:pPr>
        <w:pStyle w:val="ArticleBody"/>
        <w:jc w:val="left"/>
      </w:pPr>
      <w:r>
        <w:rPr>
          <w:rFonts w:ascii="Times New Roman" w:hAnsi="Times New Roman" w:eastAsia="Times New Roman" w:cs="Times New Roman"/>
        </w:rPr>
        <w:t>Dans le dernier article, nous avons identifié quatre témoins prophétiques de la succession des événements établie par l’histoire cachée des sept tonnerres : la ligne de l’image du Christ, la ligne des deux témoins, la ligne de l’image de la bête, et la ligne du roi contrefait du nord.</w:t>
      </w:r>
    </w:p>
    <w:p>
      <w:pPr>
        <w:pStyle w:val="ArticleBody"/>
        <w:jc w:val="left"/>
      </w:pPr>
      <w:r>
        <w:rPr>
          <w:rFonts w:ascii="Times New Roman" w:hAnsi="Times New Roman" w:eastAsia="Times New Roman" w:cs="Times New Roman"/>
        </w:rPr>
        <w:t>La seconde moitié de la lignée du faux roi du nord commence avec l’investiture de la papauté en 538. Alors la papauté, le faux roi du nord spirituel, foula aux pieds Jérusalem spirituelle et Israël spirituel pendant mille deux cent soixante ans.</w:t>
      </w:r>
    </w:p>
    <w:p>
      <w:pPr>
        <w:pStyle w:val="ArticleScripture"/>
        <w:jc w:val="left"/>
      </w:pPr>
      <w:r>
        <w:rPr>
          <w:rFonts w:ascii="Times New Roman" w:hAnsi="Times New Roman" w:eastAsia="Times New Roman" w:cs="Times New Roman"/>
        </w:rPr>
        <w:t>Og þeir munu falla fyrir sverðsegg, og verða herleiddir í útlegð meðal allra þjóða; og Jerúsalem mun fótum troðin verða af heiðingjunum, uns tímar heiðingjanna eru fullnaðir. Lúkas 21:24.</w:t>
      </w:r>
    </w:p>
    <w:p>
      <w:pPr>
        <w:pStyle w:val="ArticleBody"/>
        <w:jc w:val="left"/>
      </w:pPr>
      <w:r>
        <w:rPr>
          <w:rFonts w:ascii="Times New Roman" w:hAnsi="Times New Roman" w:eastAsia="Times New Roman" w:cs="Times New Roman"/>
        </w:rPr>
        <w:t>Yohane yategetswe gupima ahakirizwa n’ingabo, ariko kandi yategetswe gusigaza urugo rw’inyuma, kuko rwari rwarahawe abanyamahanga imyaka igihumbi na magana abiri na mirongo itandatu.</w:t>
      </w:r>
    </w:p>
    <w:p>
      <w:pPr>
        <w:pStyle w:val="ArticleScripture"/>
        <w:jc w:val="left"/>
      </w:pPr>
      <w:r>
        <w:rPr>
          <w:rFonts w:ascii="Times New Roman" w:hAnsi="Times New Roman" w:eastAsia="Times New Roman" w:cs="Times New Roman"/>
        </w:rPr>
        <w:t>A ndzi nyikiwa lihlanga leri fanaka ni nhonga; kutani ntsumi yi yima, yi ku: “Pfuka, u pima tempele ya Xikwembu, ni alitari, ni lava khongerelaka eka yona. Kambe rivala leri nga ehandle ka tempele u ri siya, u nga ri pimi; hikuva ri nyiketiwe eka Vamatiko; naswona muti lowo kwetsima va ta wu kandziyela ehansi tin’hweti ta mune wa khume ni timbirhi.” Nhlavutelo 11:1, 2.</w:t>
      </w:r>
    </w:p>
    <w:p>
      <w:pPr>
        <w:pStyle w:val="ArticleBody"/>
        <w:jc w:val="left"/>
      </w:pPr>
      <w:r>
        <w:rPr>
          <w:rFonts w:ascii="Times New Roman" w:hAnsi="Times New Roman" w:eastAsia="Times New Roman" w:cs="Times New Roman"/>
        </w:rPr>
        <w:t>Yoane na Luka batatoli ete Bapakano “bakonyata na makolo” “Yelusaleme,” na boumeli ya “sanza ntuku minei na mibale.” Yoane ayebisi molai ya ntango yango, mpe Luka atiaki elembo na nsuka ya lisolo yango. Batatoli oyo mibale bazali kolobela motuna ya Danyele mokapo mwa mwambe, molongo ya zomi na misato.</w:t>
      </w:r>
    </w:p>
    <w:p>
      <w:pPr>
        <w:pStyle w:val="ArticleScripture"/>
        <w:jc w:val="left"/>
      </w:pPr>
      <w:r>
        <w:rPr>
          <w:rFonts w:ascii="Times New Roman" w:hAnsi="Times New Roman" w:eastAsia="Times New Roman" w:cs="Times New Roman"/>
        </w:rPr>
        <w:t>Puis j’entendis parler un saint; et un autre saint dit à celui qui parlait: Jusqu’à quand durera la vision concernant le sacrifice perpétuel et le péché dévastateur, pour livrer le sanctuaire et l’armée à être foulés aux pieds? Daniel 8:13.</w:t>
      </w:r>
    </w:p>
    <w:p>
      <w:pPr>
        <w:pStyle w:val="ArticleBody"/>
        <w:jc w:val="left"/>
      </w:pPr>
      <w:r>
        <w:rPr>
          <w:rFonts w:ascii="Nirmala UI" w:hAnsi="Nirmala UI" w:eastAsia="Nirmala UI" w:cs="Nirmala UI"/>
        </w:rPr>
        <w:t>বিশ্রামস্থল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কতকাল</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প্রশ্নটি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বিধ্বংসী</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যিরূশালেমকে</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যিরূশালেমকে</w:t>
      </w:r>
      <w:r>
        <w:rPr>
          <w:rFonts w:ascii="Times New Roman" w:hAnsi="Times New Roman" w:eastAsia="Times New Roman" w:cs="Times New Roman"/>
        </w:rPr>
        <w:t xml:space="preserve"> “</w:t>
      </w:r>
      <w:r>
        <w:rPr>
          <w:rFonts w:ascii="Nirmala UI" w:hAnsi="Nirmala UI" w:eastAsia="Nirmala UI" w:cs="Nirmala UI"/>
        </w:rPr>
        <w:t>বিশ্রামস্থল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উভয়রূপে</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জে</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অ্যান্ড্রুজ</w:t>
      </w:r>
      <w:r>
        <w:rPr>
          <w:rFonts w:ascii="Times New Roman" w:hAnsi="Times New Roman" w:eastAsia="Times New Roman" w:cs="Times New Roman"/>
        </w:rPr>
        <w:t xml:space="preserve"> </w:t>
      </w:r>
      <w:r>
        <w:rPr>
          <w:rFonts w:ascii="Nirmala UI" w:hAnsi="Nirmala UI" w:eastAsia="Nirmala UI" w:cs="Nirmala UI"/>
        </w:rPr>
        <w:t>যেরূপে</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যথার্থ</w:t>
      </w:r>
      <w:r>
        <w:rPr>
          <w:rFonts w:ascii="Times New Roman" w:hAnsi="Times New Roman" w:eastAsia="Times New Roman" w:cs="Times New Roman"/>
        </w:rPr>
        <w:t xml:space="preserve"> </w:t>
      </w:r>
      <w:r>
        <w:rPr>
          <w:rFonts w:ascii="Nirmala UI" w:hAnsi="Nirmala UI" w:eastAsia="Nirmala UI" w:cs="Nirmala UI"/>
        </w:rPr>
        <w:t>ভিত্তিগত</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উক্ত</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বিধ্বংসী</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বিশ্রামস্থল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উভয়কেই</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উক্ত</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বিধ্বংসী</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পৌত্তলিকতা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দ্বিতীয়টি</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পাপীয়তন্ত্র।</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অভিব্যক্তি</w:t>
      </w:r>
      <w:r>
        <w:rPr>
          <w:rFonts w:ascii="Times New Roman" w:hAnsi="Times New Roman" w:eastAsia="Times New Roman" w:cs="Times New Roman"/>
        </w:rPr>
        <w:t xml:space="preserve">, </w:t>
      </w:r>
      <w:r>
        <w:rPr>
          <w:rFonts w:ascii="Nirmala UI" w:hAnsi="Nirmala UI" w:eastAsia="Nirmala UI" w:cs="Nirmala UI"/>
        </w:rPr>
        <w:t>যাহাকে</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w:t>
      </w:r>
      <w:r>
        <w:rPr>
          <w:rFonts w:ascii="Nirmala UI" w:hAnsi="Nirmala UI" w:eastAsia="Nirmala UI" w:cs="Nirmala UI"/>
        </w:rPr>
        <w:t>উপাসকগণ</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করিয়াছেন।</w:t>
      </w:r>
    </w:p>
    <w:p>
      <w:pPr>
        <w:pStyle w:val="ArticleScripture"/>
        <w:jc w:val="left"/>
      </w:pPr>
      <w:r>
        <w:rPr>
          <w:rFonts w:ascii="Times New Roman" w:hAnsi="Times New Roman" w:eastAsia="Times New Roman" w:cs="Times New Roman"/>
        </w:rPr>
        <w:t>“DANIEL 8-TA DU’AA ‘BARBAADINAA’ JIRU.—Xaqiiqadan waxaa si aad u cad u muujiyey Josiah Litch, sidaas darteed waxaan halkan ku soo bandhigaynaa erayadiisii:</w:t>
      </w:r>
    </w:p>
    <w:p>
      <w:pPr>
        <w:pStyle w:val="ArticleScripture"/>
        <w:jc w:val="left"/>
      </w:pPr>
      <w:r>
        <w:rPr>
          <w:rFonts w:ascii="Times New Roman" w:hAnsi="Times New Roman" w:eastAsia="Times New Roman" w:cs="Times New Roman"/>
        </w:rPr>
        <w:t>«В английском тексте в настоящее время читается: “ежедневная жертва”. Но в оригинале нет ничего подобного жертве. Это признаётся всеми. Это глосса, или толкование, внесённое переводчиками. Подлинное чтение таково: “ежедневное и мерзость запустения”, причём “ежедневное” и “мерзость” соединены союзом “и”; ежедневное запустение и мерзость запустения. Это две опустошающие силы, которым надлежало опустошать святилище и воинство».—Prophetic Expositions, Volume 1, page 127.</w:t>
      </w:r>
    </w:p>
    <w:p>
      <w:pPr>
        <w:pStyle w:val="ArticleScripture"/>
        <w:jc w:val="left"/>
      </w:pPr>
      <w:r>
        <w:rPr>
          <w:rFonts w:ascii="Times New Roman" w:hAnsi="Times New Roman" w:eastAsia="Times New Roman" w:cs="Times New Roman"/>
        </w:rPr>
        <w:t>“Ae e matala lava o le malumalu ma le ʻau sa tatau ona solia i lalo e le taulaga i aso uma ma le solitulafono o le faatafunaga. O le faitauga ma le faaeteete o le fuaiupu e 13 e faamautuina ai lenei manatu. Ma o lenei mea moni e faavaeina ai foʻi se isi, o lona uiga: o nei faatafunaga e lua o ituaiga tetele ia e lua na taumafai ai Satani e faatoʻilaloina le tapuaʻiga ma le galuega a Ieova. O saunoaga a Mr. Miller e uiga i le uiga o nei upu e lua, ma le ala na mulimuli ai o ia lava i le sailia o lea uiga, ua tuuina atu i lalo o le ulutala lenei:”</w:t>
      </w:r>
    </w:p>
    <w:p>
      <w:pPr>
        <w:pStyle w:val="ArticleScripture"/>
        <w:jc w:val="left"/>
      </w:pPr>
      <w:r>
        <w:rPr>
          <w:rFonts w:ascii="Times New Roman" w:hAnsi="Times New Roman" w:eastAsia="Times New Roman" w:cs="Times New Roman"/>
        </w:rPr>
        <w:t>“LES DEUX DÉSOLATIONS SONT LE PAGANISME ET LA PAPAUTÉ”</w:t>
      </w:r>
    </w:p>
    <w:p>
      <w:pPr>
        <w:pStyle w:val="ArticleScripture"/>
        <w:jc w:val="left"/>
      </w:pPr>
      <w:r>
        <w:rPr>
          <w:rFonts w:ascii="Times New Roman" w:hAnsi="Times New Roman" w:eastAsia="Times New Roman" w:cs="Times New Roman"/>
        </w:rPr>
        <w:t>“«J’ai poursuivi ma lecture, et je ne pouvais trouver aucun autre cas où cela [le continuel] se rencontrât, sinon dans Daniel. Alors [à l’aide d’une concordance], j’ai pris les mots qui s’y rattachaient: “ôter”; il ôtera “le continuel”; “depuis le temps où le continuel sera ôté”, etc. J’ai continué ma lecture, pensant que je ne trouverais aucune lumière sur le texte; enfin, j’en vins à 2 Thessaloniciens 2:7, 8. “Car le mystère de l’iniquité agit déjà; il faut seulement que celui qui le retient encore ait disparu, et alors paraîtra l’impie”, etc. Et lorsque j’en fus arrivé à ce texte, oh! comme la vérité parut claire et glorieuse! La voilà! C’est cela, “le continuel”!» Eh bien maintenant, que veut dire Paul par “celui qui le retient encore”, ou l’empêche? Par “l’homme du péché” et “l’impie”, on entend la papauté. Eh bien, qu’est-ce donc qui empêche la papauté d’être révélée? Pourquoi, c’est le paganisme; eh bien alors, “le continuel” doit signifier le paganisme.» —Second Advent Manual, page 66.» J. N. Andrews, The Sanctuary and the 2300 Days, 33, 34.</w:t>
      </w:r>
    </w:p>
    <w:p>
      <w:pPr>
        <w:pStyle w:val="ArticleBody"/>
        <w:jc w:val="left"/>
      </w:pPr>
      <w:r>
        <w:rPr>
          <w:rFonts w:ascii="Times New Roman" w:hAnsi="Times New Roman" w:eastAsia="Times New Roman" w:cs="Times New Roman"/>
        </w:rPr>
        <w:t>Na ho phethahatsoa ha “linako tse supileng” tsa Levitike mashome a mabeli a metso e tšeletseng, bohetene ba hatakela sehalalelo le lebotho ka lilemo tse sekete le makholo a mabeli a tšeletseng a metso e tšeletseng, ’me hamorao bopapa ba etsa mosebetsi o tšoanang ka lilemo tse ling tse sekete le makholo a mabeli a tšeletseng a metso e tšeletseng. Bopapa bo ne bo hataketse Jerusalema ka lilemo tse sekete le makholo a mabeli a tšeletseng a metso e tšeletseng ho ea ka Luka le Johanne, ho fihlela bopapa bo amohela leqeba la bona le bolaeang ka 1798. Ha ho tlosoa lilemo tse sekete le makholo a mabeli a tšeletseng a metso e tšeletseng ho 1798, ho fihleloa ho 538. Ha ho tlosoa lilemo tse sekete le makholo a mabeli a tšeletseng a metso e tšeletseng ho 538, ho fihleloa ho 723 BC, ha Assyria, morena oa leboea ka ho toba mehleng eo, a isa ’muso o ka leboea oa Iseraele bokhobeng.</w:t>
      </w:r>
    </w:p>
    <w:p>
      <w:pPr>
        <w:pStyle w:val="ArticleBody"/>
        <w:jc w:val="left"/>
      </w:pPr>
      <w:r>
        <w:rPr>
          <w:rFonts w:ascii="Times New Roman" w:hAnsi="Times New Roman" w:eastAsia="Times New Roman" w:cs="Times New Roman"/>
        </w:rPr>
        <w:t>Yohane anangoreva bedzi makore ane chiuru chimwe namazana maviri nemakumi matanhatu ayo upapa hwakatsika-tsika pasi nzvimbo tsvene neuto, asi Ruka anotaura nezvenguva dzose dziri mbiri dzemakore ane chiuru chimwe namazana maviri nemakumi matanhatu idzo chihedheni noupapisti zvakatsika-tsika Jerusalema, nokuti anoti “kusvikira nguva dzavaHedheni dzazadziswa.” Ruka anoratidza kutsikwa-tsikwa pasi kweJerusalema sechinhu chinopfuura “nguva” imwe chete, nokuti anokuti ndiko kuzadziswa kwe“nguva” dzavaHedheni.</w:t>
      </w:r>
    </w:p>
    <w:p>
      <w:pPr>
        <w:pStyle w:val="ArticleBody"/>
        <w:jc w:val="left"/>
      </w:pPr>
      <w:r>
        <w:rPr>
          <w:rFonts w:ascii="Times New Roman" w:hAnsi="Times New Roman" w:eastAsia="Times New Roman" w:cs="Times New Roman"/>
        </w:rPr>
        <w:t>Ndĩa ya ma, mwaka wa 1856, Uadventista wa Miller uligeuka kuwa wa Laodikia, na miaka saba baadaye wakaikataa kweli ya “nyakati saba” ya Walawi ishirini na sita, kwa hiyo haiwezekani kwa Uadventista kuyaona mambo haya mepesi ya Kibiblia. Jambo ninalolitambua ni hili: kwamba historia iliyofichika ya ngurumo saba, ambayo hutambulisha alama tatu za njia, na kipindi cha wakati kati ya alama ya kwanza na ya pili, kisha kipindi cha pili cha wakati kati ya alama ya pili na ya tatu, imewakilishwa ndani ya mstari wa unabii wa mfalme bandia wa kaskazini.</w:t>
      </w:r>
    </w:p>
    <w:p>
      <w:pPr>
        <w:pStyle w:val="ArticleBody"/>
        <w:jc w:val="left"/>
      </w:pPr>
      <w:r>
        <w:rPr>
          <w:rFonts w:ascii="Times New Roman" w:hAnsi="Times New Roman" w:eastAsia="Times New Roman" w:cs="Times New Roman"/>
        </w:rPr>
        <w:t>Ligne sa te kòmanse an 723 anvan Jezi Kris, lè wayòm nò Izrayèl la te tonbe nan esklavaj anba men wa Asiri a, yon wa nò literal. Apre sa, an 538, wa nò espirityèl la te resevwa pouvwa, epi li te pilonnen Jerizalèm espirityèl la pandan yon lòt mil desan swasant ane, jouk li te resevwa yon blesi mòtèl an 1798. Depi 723 anvan Jezi Kris rive 538, pisans ki te kenbe Izrayèl anba soumèt la te toujou pisans payen.</w:t>
      </w:r>
    </w:p>
    <w:p>
      <w:pPr>
        <w:pStyle w:val="ArticleBody"/>
        <w:jc w:val="left"/>
      </w:pPr>
      <w:r>
        <w:rPr>
          <w:rFonts w:ascii="Times New Roman" w:hAnsi="Times New Roman" w:eastAsia="Times New Roman" w:cs="Times New Roman"/>
        </w:rPr>
        <w:t>Ang linya ni Cristo ay tumutukoy sa pagpapahid sa tunay na hari ng hilaga sa Kaniyang bautismo noong taong 27, at makalipas ang isanlibo at dalawang daan at animnapung makahulang araw, Siya ay ipinako sa krus. Ang Kaniyang mga alagad ay binigyang-kapangyarihan noon upang iharap ang mensahe ng tunay na hari ng hilaga, hanggang sa pagbato kay Esteban noong taong 34. Ang tanging pagkakataon na si Cristo ay hindi lumakad sa buong isanlibo at dalawang daan at animnapung araw ng Kaniyang ministeryo ay nang Siya ay sumakay papasok sa Jerusalem sa matagumpay na pagpasok. Samakatuwid ay niyurakan Niya ang Jerusalem sa loob ng isanlibo at dalawang daan at animnapung araw, gaya rin ng ginawa ng Kaniyang mga alagad pagkatapos ng krus. Kapuwa ang dalawang linyang ito, ang huwad na hari ng hilaga at si Cristo, ang tunay na hari ng hilaga, ay niyurakan ang Jerusalem at ang hukbo sa loob ng isanlibo at dalawang daan at animnapung araw.</w:t>
      </w:r>
    </w:p>
    <w:p>
      <w:pPr>
        <w:pStyle w:val="ArticleBody"/>
        <w:jc w:val="left"/>
      </w:pPr>
      <w:r>
        <w:rPr>
          <w:rFonts w:ascii="Times New Roman" w:hAnsi="Times New Roman" w:eastAsia="Times New Roman" w:cs="Times New Roman"/>
        </w:rPr>
        <w:t>Le paganisme était une contrefaçon du système d’adoration du service du sanctuaire terrestre des Juifs littéraux, et le papalisme est une contrefaçon du service du sanctuaire céleste des Juifs spirituels. Les mille deux cent soixante années du paganisme étaient parallèles aux mille deux cent soixante jours du Christ, et les mille deux cent soixante années du papalisme étaient parallèles aux mille deux cent soixante jours des disciples.</w:t>
      </w:r>
    </w:p>
    <w:p>
      <w:pPr>
        <w:pStyle w:val="ArticleBody"/>
        <w:jc w:val="left"/>
      </w:pPr>
      <w:r>
        <w:rPr>
          <w:rFonts w:ascii="Times New Roman" w:hAnsi="Times New Roman" w:eastAsia="Times New Roman" w:cs="Times New Roman"/>
        </w:rPr>
        <w:t>Ang bawat isa sa dalawang linya ay naglalaman ng magkakaparehong propetikong balangkas ng nakatagong kasaysayan ng pitong kulog, na nagsimulang hayagang mabuksan noong Hulyo, 2023. Ang pagbubukas na iyon ay naisakatuparan, sa isang bahagi, sa pamamagitan ng pagkilala sa unang kabiguan ng kilusang Millerite. Ang kanilang unang kabiguan ang nagpasimula ng isang yugto ng panahon na tinawag na “panahon ng paghihintay” sa talinghaga ng sampung dalaga. Ang “panahon ng paghihintay” ay nagtapos sa pulong-kampo sa Exeter, New Hampshire, nang ang mensahe ng Sigaw sa Hatinggabi ay lubos nang naitatag. Ang pulong-kampo sa Exeter ang naging ikalawang pananda, na pagkatapos ay nagpasimula ng isang yugto ng panahon kung kailan ipinahayag ang mensahe ng Sigaw sa Hatinggabi, hanggang sa dumating ang ikatlong pananda ng paghuhukom at ang huling kabiguan.</w:t>
      </w:r>
    </w:p>
    <w:p>
      <w:pPr>
        <w:pStyle w:val="ArticleBody"/>
        <w:jc w:val="left"/>
      </w:pPr>
      <w:r>
        <w:rPr>
          <w:rFonts w:ascii="Times New Roman" w:hAnsi="Times New Roman" w:eastAsia="Times New Roman" w:cs="Times New Roman"/>
        </w:rPr>
        <w:t>Those three waymarks were the first disappointment, the message of the Midnight Cry, and the final disappointment. These three waymarks correspond to the Hebrew word “truth,” which is composed of the first, the thirteenth, and the last letter of the Hebrew alphabet. The first and the last, both being disappointments, represent the signature of Alpha and Omega.</w:t>
      </w:r>
    </w:p>
    <w:p>
      <w:pPr>
        <w:pStyle w:val="ArticleBody"/>
        <w:jc w:val="left"/>
      </w:pPr>
      <w:r>
        <w:rPr>
          <w:rFonts w:ascii="Times New Roman" w:hAnsi="Times New Roman" w:eastAsia="Times New Roman" w:cs="Times New Roman"/>
        </w:rPr>
        <w:t>Në historinë millerite nuk ka asnjë paraqitje të drejtpërdrejtë të një mijë e dyqind e gjashtëdhjetë ditëve, megjithatë historia millerite është historia e lëvizjes së parë dhe, për rrjedhojë, tipifikon lëvizjen e fundit. Historia e zhgënjimit të parë në lëvizjen e fundit filloi më 18 korrik 2020 dhe ajo ilustrohet te Zbulesa, kapitulli njëmbëdhjetë. Te Zbulesa, kapitulli njëmbëdhjetë, dy dëshmitarët vriten, duke shënuar zhgënjimin e parë në lëvizjen e fundit, i cili u tipifikua nga lëvizja e parë.</w:t>
      </w:r>
    </w:p>
    <w:p>
      <w:pPr>
        <w:pStyle w:val="ArticleBody"/>
        <w:jc w:val="left"/>
      </w:pPr>
      <w:r>
        <w:rPr>
          <w:rFonts w:ascii="Times New Roman" w:hAnsi="Times New Roman" w:eastAsia="Times New Roman" w:cs="Times New Roman"/>
        </w:rPr>
        <w:t>In Offenbarung elf leitete die Enttäuschung einen Zeitraum von eintausendzweihundertsechzig Tagen ein, während dessen ihre toten Leiber auf der Straße lagen, und kennzeichnete so die Verweilzeit des Gleichnisses. Bei ihrer Auferstehung werden sie in derselben Stunde wie das Gericht des Sonntagsgesetzes als Panier emporgehoben. Die Geschichte der zwei Zeugen umfasst einen symbolischen Zeitraum von eintausendzweihundertsechzig Tagen.</w:t>
      </w:r>
    </w:p>
    <w:p>
      <w:pPr>
        <w:pStyle w:val="ArticleBody"/>
        <w:jc w:val="left"/>
      </w:pPr>
      <w:r>
        <w:rPr>
          <w:rFonts w:ascii="Times New Roman" w:hAnsi="Times New Roman" w:eastAsia="Times New Roman" w:cs="Times New Roman"/>
        </w:rPr>
        <w:t>Les détails du mouvement du troisième ange dans l’histoire cachée des sept tonnerres fournissent bien plus de précisions que les autres lignes parallèles; toutefois, la ligne du troisième ange, la ligne du véritable roi du Nord et la ligne du roi du Nord contrefait possèdent toutes les mêmes caractéristiques prophétiques: un point de départ, suivi d’une période de temps qui atteint un point médian, laquelle est suivie d’une période de temps qui conduit au jugement au point final.</w:t>
      </w:r>
    </w:p>
    <w:p>
      <w:pPr>
        <w:pStyle w:val="ArticleBody"/>
        <w:jc w:val="left"/>
      </w:pPr>
      <w:r>
        <w:rPr>
          <w:rFonts w:ascii="Times New Roman" w:hAnsi="Times New Roman" w:eastAsia="Times New Roman" w:cs="Times New Roman"/>
        </w:rPr>
        <w:t>Les mille deux cent soixante jours constituent un élément fondamental de l’histoire cachée des sept tonnerres. Les mille deux cent soixante jours sont symbolisés comme un « désert » dans Apocalypse, chapitre douze.</w:t>
      </w:r>
    </w:p>
    <w:p>
      <w:pPr>
        <w:pStyle w:val="ArticleScripture"/>
        <w:jc w:val="left"/>
      </w:pPr>
      <w:r>
        <w:rPr>
          <w:rFonts w:ascii="Times New Roman" w:hAnsi="Times New Roman" w:eastAsia="Times New Roman" w:cs="Times New Roman"/>
        </w:rPr>
        <w:t>Et la femme s’enfuit au désert, où elle a un lieu préparé par Dieu, afin qu’on l’y nourrît pendant mille deux cent soixante jours. Apocalypse 12:6.</w:t>
      </w:r>
    </w:p>
    <w:p>
      <w:pPr>
        <w:pStyle w:val="ArticleBody"/>
        <w:jc w:val="left"/>
      </w:pPr>
      <w:r>
        <w:rPr>
          <w:rFonts w:ascii="Times New Roman" w:hAnsi="Times New Roman" w:eastAsia="Times New Roman" w:cs="Times New Roman"/>
        </w:rPr>
        <w:t>L’Église s’enfuit au désert pour échapper au piétinement du pouvoir papal pendant mille deux cent soixante ans. Le verset quatorze en fournit un autre témoignage.</w:t>
      </w:r>
    </w:p>
    <w:p>
      <w:pPr>
        <w:pStyle w:val="ArticleScripture"/>
        <w:jc w:val="left"/>
      </w:pPr>
      <w:r>
        <w:rPr>
          <w:rFonts w:ascii="Times New Roman" w:hAnsi="Times New Roman" w:eastAsia="Times New Roman" w:cs="Times New Roman"/>
        </w:rPr>
        <w:t>Et à la femme furent données les deux ailes d’un grand aigle, afin qu’elle s’envolât au désert, dans le lieu qui lui est préparé, où elle est nourrie un temps, des temps, et la moitié d’un temps, loin de la face du serpent. Apocalypse 12:14.</w:t>
      </w:r>
    </w:p>
    <w:p>
      <w:pPr>
        <w:pStyle w:val="ArticleBody"/>
        <w:jc w:val="left"/>
      </w:pPr>
      <w:r>
        <w:rPr>
          <w:rFonts w:ascii="Times New Roman" w:hAnsi="Times New Roman" w:eastAsia="Times New Roman" w:cs="Times New Roman"/>
        </w:rPr>
        <w:t>Kaniisaddu waxay ka carartay silcintii masduulaagga iyo baabtiisnimada muddo kun iyo laba boqol iyo lixdan sannadood ah; sidaas daraaddeed “lamadegaanku” waa astaan u ah kunkaas laba boqol iyo lixdanka maalmood. Tiradaas si toos ah toddoba jeer ayay uga muuqataa buugaagta Daanyeel iyo Muujintii, hase yeeshee siyaalo kale oo badan ayay Qorniinka ku dhex metelantaa. Xaalad kasta, waxay u taagan tahay “toddobada wakhti” ee Laawiyiintii labaatan iyo lix.</w:t>
      </w:r>
    </w:p>
    <w:p>
      <w:pPr>
        <w:pStyle w:val="ArticleBody"/>
        <w:jc w:val="left"/>
      </w:pPr>
      <w:r>
        <w:rPr>
          <w:rFonts w:ascii="Nirmala UI" w:hAnsi="Nirmala UI" w:eastAsia="Nirmala UI" w:cs="Nirmala UI"/>
        </w:rPr>
        <w:t>पगानवादले</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७२३</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५३८</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सेनालाई</w:t>
      </w:r>
      <w:r>
        <w:rPr>
          <w:rFonts w:ascii="Times New Roman" w:hAnsi="Times New Roman" w:eastAsia="Times New Roman" w:cs="Times New Roman"/>
        </w:rPr>
        <w:t xml:space="preserve"> </w:t>
      </w:r>
      <w:r>
        <w:rPr>
          <w:rFonts w:ascii="Nirmala UI" w:hAnsi="Nirmala UI" w:eastAsia="Nirmala UI" w:cs="Nirmala UI"/>
        </w:rPr>
        <w:t>कुल्चेर</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पापत्वले</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गर्नेहरूलाई</w:t>
      </w:r>
      <w:r>
        <w:rPr>
          <w:rFonts w:ascii="Times New Roman" w:hAnsi="Times New Roman" w:eastAsia="Times New Roman" w:cs="Times New Roman"/>
        </w:rPr>
        <w:t xml:space="preserve"> </w:t>
      </w:r>
      <w:r>
        <w:rPr>
          <w:rFonts w:ascii="Nirmala UI" w:hAnsi="Nirmala UI" w:eastAsia="Nirmala UI" w:cs="Nirmala UI"/>
        </w:rPr>
        <w:t>कुल्चेर</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छब्बीसमा</w:t>
      </w:r>
      <w:r>
        <w:rPr>
          <w:rFonts w:ascii="Times New Roman" w:hAnsi="Times New Roman" w:eastAsia="Times New Roman" w:cs="Times New Roman"/>
        </w:rPr>
        <w:t xml:space="preserve"> </w:t>
      </w:r>
      <w:r>
        <w:rPr>
          <w:rFonts w:ascii="Nirmala UI" w:hAnsi="Nirmala UI" w:eastAsia="Nirmala UI" w:cs="Nirmala UI"/>
        </w:rPr>
        <w:t>प्रतिपादित</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विश्रामदिनहरू</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तोडेको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छब्बीसमा</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Et je ferai venir sur vous l’épée, qui vengera la querelle de mon alliance ; et lorsque vous serez rassemblés dans vos villes, j’enverrai la peste au milieu de vous ; et vous serez livrés entre les mains de l’ennemi. Lévitique 26:25.</w:t>
      </w:r>
    </w:p>
    <w:p>
      <w:pPr>
        <w:pStyle w:val="ArticleBody"/>
        <w:jc w:val="left"/>
      </w:pPr>
      <w:r>
        <w:rPr>
          <w:rFonts w:ascii="Microsoft YaHei" w:hAnsi="Microsoft YaHei" w:eastAsia="Microsoft YaHei" w:cs="Microsoft YaHei"/>
        </w:rPr>
        <w:t>对上帝圣约的悖逆</w:t>
      </w:r>
      <w:r>
        <w:rPr>
          <w:rFonts w:ascii="Times New Roman" w:hAnsi="Times New Roman" w:eastAsia="Times New Roman" w:cs="Times New Roman"/>
        </w:rPr>
        <w:t>,</w:t>
      </w:r>
      <w:r>
        <w:rPr>
          <w:rFonts w:ascii="Microsoft YaHei" w:hAnsi="Microsoft YaHei" w:eastAsia="Microsoft YaHei" w:cs="Microsoft YaHei"/>
        </w:rPr>
        <w:t>使上帝的子民遭致奴役与分散</w:t>
      </w:r>
      <w:r>
        <w:rPr>
          <w:rFonts w:ascii="Times New Roman" w:hAnsi="Times New Roman" w:eastAsia="Times New Roman" w:cs="Times New Roman"/>
        </w:rPr>
        <w:t>;</w:t>
      </w:r>
      <w:r>
        <w:rPr>
          <w:rFonts w:ascii="Microsoft YaHei" w:hAnsi="Microsoft YaHei" w:eastAsia="Microsoft YaHei" w:cs="Microsoft YaHei"/>
        </w:rPr>
        <w:t>这在经上被表述为</w:t>
      </w:r>
      <w:r>
        <w:rPr>
          <w:rFonts w:ascii="Times New Roman" w:hAnsi="Times New Roman" w:eastAsia="Times New Roman" w:cs="Times New Roman"/>
        </w:rPr>
        <w:t>“</w:t>
      </w:r>
      <w:r>
        <w:rPr>
          <w:rFonts w:ascii="Microsoft YaHei" w:hAnsi="Microsoft YaHei" w:eastAsia="Microsoft YaHei" w:cs="Microsoft YaHei"/>
        </w:rPr>
        <w:t>我立约的争闹</w:t>
      </w:r>
      <w:r>
        <w:rPr>
          <w:rFonts w:ascii="Times New Roman" w:hAnsi="Times New Roman" w:eastAsia="Times New Roman" w:cs="Times New Roman"/>
        </w:rPr>
        <w:t>”.</w:t>
      </w:r>
      <w:r>
        <w:rPr>
          <w:rFonts w:ascii="Microsoft YaHei" w:hAnsi="Microsoft YaHei" w:eastAsia="Microsoft YaHei" w:cs="Microsoft YaHei"/>
        </w:rPr>
        <w:t>若不明白这刑罚</w:t>
      </w:r>
      <w:r>
        <w:rPr>
          <w:rFonts w:ascii="Times New Roman" w:hAnsi="Times New Roman" w:eastAsia="Times New Roman" w:cs="Times New Roman"/>
        </w:rPr>
        <w:t>——</w:t>
      </w:r>
      <w:r>
        <w:rPr>
          <w:rFonts w:ascii="Microsoft YaHei" w:hAnsi="Microsoft YaHei" w:eastAsia="Microsoft YaHei" w:cs="Microsoft YaHei"/>
        </w:rPr>
        <w:t>但以理称之为摩西的</w:t>
      </w:r>
      <w:r>
        <w:rPr>
          <w:rFonts w:ascii="Times New Roman" w:hAnsi="Times New Roman" w:eastAsia="Times New Roman" w:cs="Times New Roman"/>
        </w:rPr>
        <w:t>“</w:t>
      </w:r>
      <w:r>
        <w:rPr>
          <w:rFonts w:ascii="Microsoft YaHei" w:hAnsi="Microsoft YaHei" w:eastAsia="Microsoft YaHei" w:cs="Microsoft YaHei"/>
        </w:rPr>
        <w:t>咒诅</w:t>
      </w:r>
      <w:r>
        <w:rPr>
          <w:rFonts w:ascii="Times New Roman" w:hAnsi="Times New Roman" w:eastAsia="Times New Roman" w:cs="Times New Roman"/>
        </w:rPr>
        <w:t>”</w:t>
      </w:r>
      <w:r>
        <w:rPr>
          <w:rFonts w:ascii="Microsoft YaHei" w:hAnsi="Microsoft YaHei" w:eastAsia="Microsoft YaHei" w:cs="Microsoft YaHei"/>
        </w:rPr>
        <w:t>与</w:t>
      </w:r>
      <w:r>
        <w:rPr>
          <w:rFonts w:ascii="Times New Roman" w:hAnsi="Times New Roman" w:eastAsia="Times New Roman" w:cs="Times New Roman"/>
        </w:rPr>
        <w:t>“</w:t>
      </w:r>
      <w:r>
        <w:rPr>
          <w:rFonts w:ascii="Microsoft YaHei" w:hAnsi="Microsoft YaHei" w:eastAsia="Microsoft YaHei" w:cs="Microsoft YaHei"/>
        </w:rPr>
        <w:t>誓言</w:t>
      </w:r>
      <w:r>
        <w:rPr>
          <w:rFonts w:ascii="Times New Roman" w:hAnsi="Times New Roman" w:eastAsia="Times New Roman" w:cs="Times New Roman"/>
        </w:rPr>
        <w:t>”,</w:t>
      </w:r>
      <w:r>
        <w:rPr>
          <w:rFonts w:ascii="Microsoft YaHei" w:hAnsi="Microsoft YaHei" w:eastAsia="Microsoft YaHei" w:cs="Microsoft YaHei"/>
        </w:rPr>
        <w:t>并且也称为</w:t>
      </w:r>
      <w:r>
        <w:rPr>
          <w:rFonts w:ascii="Times New Roman" w:hAnsi="Times New Roman" w:eastAsia="Times New Roman" w:cs="Times New Roman"/>
        </w:rPr>
        <w:t>“</w:t>
      </w:r>
      <w:r>
        <w:rPr>
          <w:rFonts w:ascii="Microsoft YaHei" w:hAnsi="Microsoft YaHei" w:eastAsia="Microsoft YaHei" w:cs="Microsoft YaHei"/>
        </w:rPr>
        <w:t>我立约的争闹</w:t>
      </w:r>
      <w:r>
        <w:rPr>
          <w:rFonts w:ascii="Times New Roman" w:hAnsi="Times New Roman" w:eastAsia="Times New Roman" w:cs="Times New Roman"/>
        </w:rPr>
        <w:t>”——</w:t>
      </w:r>
      <w:r>
        <w:rPr>
          <w:rFonts w:ascii="Microsoft YaHei" w:hAnsi="Microsoft YaHei" w:eastAsia="Microsoft YaHei" w:cs="Microsoft YaHei"/>
        </w:rPr>
        <w:t>人就无法看见基督之工作在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第九章中所表明的更深意义</w:t>
      </w:r>
      <w:r>
        <w:rPr>
          <w:rFonts w:ascii="Times New Roman" w:hAnsi="Times New Roman" w:eastAsia="Times New Roman" w:cs="Times New Roman"/>
        </w:rPr>
        <w:t>.</w:t>
      </w:r>
      <w:r>
        <w:rPr>
          <w:rFonts w:ascii="Microsoft YaHei" w:hAnsi="Microsoft YaHei" w:eastAsia="Microsoft YaHei" w:cs="Microsoft YaHei"/>
        </w:rPr>
        <w:t>怀爱伦著作中对处于老底嘉式瞎眼之上帝子民的一贯评估是：他们不能</w:t>
      </w:r>
      <w:r>
        <w:rPr>
          <w:rFonts w:ascii="Times New Roman" w:hAnsi="Times New Roman" w:eastAsia="Times New Roman" w:cs="Times New Roman"/>
        </w:rPr>
        <w:t>“</w:t>
      </w:r>
      <w:r>
        <w:rPr>
          <w:rFonts w:ascii="Microsoft YaHei" w:hAnsi="Microsoft YaHei" w:eastAsia="Microsoft YaHei" w:cs="Microsoft YaHei"/>
        </w:rPr>
        <w:t>由因推果</w:t>
      </w:r>
      <w:r>
        <w:rPr>
          <w:rFonts w:ascii="Times New Roman" w:hAnsi="Times New Roman" w:eastAsia="Times New Roman" w:cs="Times New Roman"/>
        </w:rPr>
        <w:t>”.</w:t>
      </w:r>
      <w:r>
        <w:rPr>
          <w:rFonts w:ascii="Microsoft YaHei" w:hAnsi="Microsoft YaHei" w:eastAsia="Microsoft YaHei" w:cs="Microsoft YaHei"/>
        </w:rPr>
        <w:t>你或许自称明白黑暗时代的一千二百六十年</w:t>
      </w:r>
      <w:r>
        <w:rPr>
          <w:rFonts w:ascii="Times New Roman" w:hAnsi="Times New Roman" w:eastAsia="Times New Roman" w:cs="Times New Roman"/>
        </w:rPr>
        <w:t>,</w:t>
      </w:r>
      <w:r>
        <w:rPr>
          <w:rFonts w:ascii="Microsoft YaHei" w:hAnsi="Microsoft YaHei" w:eastAsia="Microsoft YaHei" w:cs="Microsoft YaHei"/>
        </w:rPr>
        <w:t>但若你不知道那践踏的</w:t>
      </w:r>
      <w:r>
        <w:rPr>
          <w:rFonts w:ascii="Times New Roman" w:hAnsi="Times New Roman" w:eastAsia="Times New Roman" w:cs="Times New Roman"/>
        </w:rPr>
        <w:t>“</w:t>
      </w:r>
      <w:r>
        <w:rPr>
          <w:rFonts w:ascii="Microsoft YaHei" w:hAnsi="Microsoft YaHei" w:eastAsia="Microsoft YaHei" w:cs="Microsoft YaHei"/>
        </w:rPr>
        <w:t>原因</w:t>
      </w:r>
      <w:r>
        <w:rPr>
          <w:rFonts w:ascii="Times New Roman" w:hAnsi="Times New Roman" w:eastAsia="Times New Roman" w:cs="Times New Roman"/>
        </w:rPr>
        <w:t>”,</w:t>
      </w:r>
      <w:r>
        <w:rPr>
          <w:rFonts w:ascii="Microsoft YaHei" w:hAnsi="Microsoft YaHei" w:eastAsia="Microsoft YaHei" w:cs="Microsoft YaHei"/>
        </w:rPr>
        <w:t>你就是瞎眼的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ataimarisha agano na wengi kwa juma moja; na katikati ya juma hilo atasimamisha dhabihu na sadaka; na kwa kuenea kwa machukizo atafanya kuwa ukiwa, hata mpaka mwisho uliokusudiwa; na lile lililoamriwa litamiminwa juu ya aliyeharibiwa. Danieli 9:27.</w:t>
      </w:r>
    </w:p>
    <w:p>
      <w:pPr>
        <w:pStyle w:val="ArticleBody"/>
        <w:jc w:val="left"/>
      </w:pPr>
      <w:r>
        <w:rPr>
          <w:rFonts w:ascii="Times New Roman" w:hAnsi="Times New Roman" w:eastAsia="Times New Roman" w:cs="Times New Roman"/>
        </w:rPr>
        <w:t>La confirmation par Christ de l’alliance est directement liée à la « querelle de son alliance ». La durée de la « malédiction » fut de deux mille cinq cent vingt ans, et la durée pendant laquelle Christ confirma cette même alliance fut de deux mille cinq cent vingt jours. En accord avec le mot hébreu « vérité », qui fournit la structure de l’histoire cachée des sept tonnerres, la semaine prophétique au cours de laquelle Christ devait confirmer son alliance comportait trois balises, représentées par la première, la treizième et la dernière lettres de l’alphabet hébreu.</w:t>
      </w:r>
    </w:p>
    <w:p>
      <w:pPr>
        <w:pStyle w:val="ArticleBody"/>
        <w:jc w:val="left"/>
      </w:pPr>
      <w:r>
        <w:rPr>
          <w:rFonts w:ascii="Times New Roman" w:hAnsi="Times New Roman" w:eastAsia="Times New Roman" w:cs="Times New Roman"/>
        </w:rPr>
        <w:t>Ngimanyathelo yokuqala yesonto kwakuwumbhabhadiso waKhe, eyesibili kwakuyisiphambano, kanti eyokugcina kwakuwukufa kukaStefanu. Ukwenqaba ukubona “izikhathi eziyisikhombisa” zikaLevitikusi amashumi amabili nesithupha, njengoba izingelosi zasezulwini zahola uWilliam Miller ukuba azibone “izikhathi eziyisikhombisa,” kususa amandla okubona ngokugcwele sona leso siprofetho lapho uKristu achitha khona igazi laKhe futhi waqinisa sona kanye isivumelwano abantu baKhe basendulo abangokoqobo ababesisilahlile. Wonke umuntu ogcina esindisiwe uyoba nokuqonda okuyingxenye nokungapheleli kwe“qiniso.” Kodwa akekho osindiswayo owenqaba ngamabomu ukubona “iqiniso.” Kukhona indlela eyodwa kuphela eya kuYise, futhi leyo ingoJesu, kanti uJesu uyilo “iqiniso.”</w:t>
      </w:r>
    </w:p>
    <w:p>
      <w:pPr>
        <w:pStyle w:val="ArticleBody"/>
        <w:jc w:val="left"/>
      </w:pPr>
      <w:r>
        <w:rPr>
          <w:rFonts w:ascii="Times New Roman" w:hAnsi="Times New Roman" w:eastAsia="Times New Roman" w:cs="Times New Roman"/>
        </w:rPr>
        <w:t>Il s’agit d’une compréhension digne d’être méditée, car elle concerne l’alliance de Lévitique vingt-cinq et vingt-six. La « malédiction » des « sept temps » fut attirée sur l’ancien Israël littéral à cause de leur refus de mettre en pratique les prescriptions relatives au repos de la terre et à l’accomplissement des instructions du Jubilé. Ce fut un péché d’omission. La malédiction vint sur eux pour avoir omis une œuvre qu’il leur était commandé d’accomplir, plutôt que parce qu’ils avaient directement transgressé un commandement, tel que : tu ne tueras point ou tu ne déroberas point. Ils ont simplement négligé les prescriptions liées au repos de la terre. Les adventistes qui, pour quelque raison non sanctifiée, n’acceptent tout simplement pas les « sept temps » (que les anges conduisirent William Miller à découvrir), n’ont tout simplement jamais pris le temps d’examiner véritablement la vérité, et accomplissent le même type de rébellion par omission en méprisant la même information de l’alliance que l’ancien Israël littéral a méprisée. Le commencement illustre la fin.</w:t>
      </w:r>
    </w:p>
    <w:p>
      <w:pPr>
        <w:pStyle w:val="ArticleBody"/>
        <w:jc w:val="left"/>
      </w:pPr>
      <w:r>
        <w:rPr>
          <w:rFonts w:ascii="Times New Roman" w:hAnsi="Times New Roman" w:eastAsia="Times New Roman" w:cs="Times New Roman"/>
        </w:rPr>
        <w:t>Nzuku nkama moko na ntuku motoba oyo ezali kolobelama na Emoniseli zomi na mibale, mpe oyo eyebanisami lokola “esobe,” ezali elembo ya “ntango nsambo.” Ezala nzuku nkama moko na ntuku motoba ya mosala ya Klisto, mpe nzuku nkama moko na ntuku motoba ya mosala ya bayekoli, nyonso mibale ezali komonisa poso mobimba oyo kondimana ezalaki kokokisama. Ezala mpe mibu nkama moko na ntuku motoba oyo bopakano enyataki bato ya Nzambe, mpe mibu nkama moko na ntuku motoba oyo bopapa enyataki bato ya Nzambe, nyonso mibale ezali komonisa mobimba ya “ntango nsambo” ya elakeli mabe ya Mose.</w:t>
      </w:r>
    </w:p>
    <w:p>
      <w:pPr>
        <w:pStyle w:val="ArticleBody"/>
        <w:jc w:val="left"/>
      </w:pPr>
      <w:r>
        <w:rPr>
          <w:rFonts w:ascii="Times New Roman" w:hAnsi="Times New Roman" w:eastAsia="Times New Roman" w:cs="Times New Roman"/>
        </w:rPr>
        <w:t>Dans Apocalypse onze, après mille deux cent soixante jours, les ossements morts sont ramenés à la vie afin d’entrer dans l’alliance en tant que cent quarante-quatre mille. Mais pour qu’ils puissent accomplir cette relation d’alliance, il leur est demandé de remplir les conditions de l’alliance, comme Daniel l’a fait au chapitre neuf. Les conditions de l’alliance des « sept temps » contiennent des directives précises pour ceux qui se trouvent dans le pays de l’ennemi. Lorsque ceux qui s’éveillent à la réalité qu’ils ont été dispersés désirent revenir au Seigneur, Lévitique vingt-six donne les directives quant à la manière dont ils doivent revenir.</w:t>
      </w:r>
    </w:p>
    <w:p>
      <w:pPr>
        <w:pStyle w:val="ArticleScripture"/>
        <w:jc w:val="left"/>
      </w:pP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শত্রুদের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ক্ষয়প্রাপ্ত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কারণেও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ক্ষয়প্রাপ্ত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অধর্ম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অধর্ম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অপরাধ</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শত্রুদের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অখৎনাপ্রাপ্ত</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শাস্তি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যাকোবের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ইসহাকের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চুক্তিও</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আব্রাহামের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চুক্তিও</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দেশও</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২৬</w:t>
      </w:r>
      <w:r>
        <w:rPr>
          <w:rFonts w:ascii="Times New Roman" w:hAnsi="Times New Roman" w:eastAsia="Times New Roman" w:cs="Times New Roman"/>
        </w:rPr>
        <w:t>:</w:t>
      </w:r>
      <w:r>
        <w:rPr>
          <w:rFonts w:ascii="Nirmala UI" w:hAnsi="Nirmala UI" w:eastAsia="Nirmala UI" w:cs="Nirmala UI"/>
        </w:rPr>
        <w:t>৩৯</w:t>
      </w:r>
      <w:r>
        <w:rPr>
          <w:rFonts w:ascii="Times New Roman" w:hAnsi="Times New Roman" w:eastAsia="Times New Roman" w:cs="Times New Roman"/>
        </w:rPr>
        <w:t>–</w:t>
      </w:r>
      <w:r>
        <w:rPr>
          <w:rFonts w:ascii="Nirmala UI" w:hAnsi="Nirmala UI" w:eastAsia="Nirmala UI" w:cs="Nirmala UI"/>
        </w:rPr>
        <w:t>৪২।</w:t>
      </w:r>
    </w:p>
    <w:p>
      <w:pPr>
        <w:pStyle w:val="ArticleBody"/>
        <w:jc w:val="left"/>
      </w:pPr>
      <w:r>
        <w:rPr>
          <w:rFonts w:ascii="Times New Roman" w:hAnsi="Times New Roman" w:eastAsia="Times New Roman" w:cs="Times New Roman"/>
        </w:rPr>
        <w:t>La expresión «consumirse» en las Escrituras significa ser disuelto, corrompido y consumido por completo. Consumirse es deteriorarse hasta convertirse en huesos secos y muertos. Y la instrucción señala la muerte, pues representa a aquellos que despiertan a su condición estando «en la tierra de vuestros enemigos».</w:t>
      </w:r>
    </w:p>
    <w:p>
      <w:pPr>
        <w:pStyle w:val="ArticleScripture"/>
        <w:jc w:val="left"/>
      </w:pPr>
      <w:r>
        <w:rPr>
          <w:rFonts w:ascii="Times New Roman" w:hAnsi="Times New Roman" w:eastAsia="Times New Roman" w:cs="Times New Roman"/>
        </w:rPr>
        <w:t>Mwisumbulushi wa ku mwisho atakayeharibiwa ni mauti. 1 Wakorintho 15:26.</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ការខកចិត្តលើកដំបូងក្នុងចលនារបស់ទេវតាទីបីបានកើតឡើង។</w:t>
      </w:r>
      <w:r>
        <w:rPr>
          <w:rFonts w:ascii="Times New Roman" w:hAnsi="Times New Roman" w:eastAsia="Times New Roman" w:cs="Times New Roman"/>
        </w:rPr>
        <w:t xml:space="preserve"> </w:t>
      </w:r>
      <w:r>
        <w:rPr>
          <w:rFonts w:ascii="Leelawadee UI" w:hAnsi="Leelawadee UI" w:eastAsia="Leelawadee UI" w:cs="Leelawadee UI"/>
        </w:rPr>
        <w:t>វាត្រូវបានធ្វើជានិមិត្តរូបជាមុនដោយការខកចិត្តលើកដំបូងទាំងអស់ផ្សេងទៀតនៅក្នុងខ្សែបន្ទាត់កំណែទម្រង់ព្យាករណ៍ដ៏បរិសុទ្ធ។</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៣៧</w:t>
      </w:r>
      <w:r>
        <w:rPr>
          <w:rFonts w:ascii="Times New Roman" w:hAnsi="Times New Roman" w:eastAsia="Times New Roman" w:cs="Times New Roman"/>
        </w:rPr>
        <w:t xml:space="preserve"> </w:t>
      </w:r>
      <w:r>
        <w:rPr>
          <w:rFonts w:ascii="Leelawadee UI" w:hAnsi="Leelawadee UI" w:eastAsia="Leelawadee UI" w:cs="Leelawadee UI"/>
        </w:rPr>
        <w:t>កំណត់អត្តសញ្ញាណប្រជារាស្ត្ររបស់ព្រះនៅថ្ងៃចុងក្រោយថា</w:t>
      </w:r>
      <w:r>
        <w:rPr>
          <w:rFonts w:ascii="Times New Roman" w:hAnsi="Times New Roman" w:eastAsia="Times New Roman" w:cs="Times New Roman"/>
        </w:rPr>
        <w:t xml:space="preserve"> </w:t>
      </w:r>
      <w:r>
        <w:rPr>
          <w:rFonts w:ascii="Leelawadee UI" w:hAnsi="Leelawadee UI" w:eastAsia="Leelawadee UI" w:cs="Leelawadee UI"/>
        </w:rPr>
        <w:t>ត្រូវបានរំលាយ</w:t>
      </w:r>
      <w:r>
        <w:rPr>
          <w:rFonts w:ascii="Times New Roman" w:hAnsi="Times New Roman" w:eastAsia="Times New Roman" w:cs="Times New Roman"/>
        </w:rPr>
        <w:t xml:space="preserve"> </w:t>
      </w:r>
      <w:r>
        <w:rPr>
          <w:rFonts w:ascii="Leelawadee UI" w:hAnsi="Leelawadee UI" w:eastAsia="Leelawadee UI" w:cs="Leelawadee UI"/>
        </w:rPr>
        <w:t>ពុករលួយ</w:t>
      </w:r>
      <w:r>
        <w:rPr>
          <w:rFonts w:ascii="Times New Roman" w:hAnsi="Times New Roman" w:eastAsia="Times New Roman" w:cs="Times New Roman"/>
        </w:rPr>
        <w:t xml:space="preserve"> </w:t>
      </w:r>
      <w:r>
        <w:rPr>
          <w:rFonts w:ascii="Leelawadee UI" w:hAnsi="Leelawadee UI" w:eastAsia="Leelawadee UI" w:cs="Leelawadee UI"/>
        </w:rPr>
        <w:t>និងត្រូវបានបំផ្លាញអស់ទៅ</w:t>
      </w:r>
      <w:r>
        <w:rPr>
          <w:rFonts w:ascii="Times New Roman" w:hAnsi="Times New Roman" w:eastAsia="Times New Roman" w:cs="Times New Roman"/>
        </w:rPr>
        <w:t xml:space="preserve"> </w:t>
      </w:r>
      <w:r>
        <w:rPr>
          <w:rFonts w:ascii="Leelawadee UI" w:hAnsi="Leelawadee UI" w:eastAsia="Leelawadee UI" w:cs="Leelawadee UI"/>
        </w:rPr>
        <w:t>រហូតដល់ពួកគេគ្រាន់តែជាជ្រលងឆ្អឹងស្ងួតនៃមនុស្សស្លាប់ប៉ុណ្ណោះ។</w:t>
      </w:r>
      <w:r>
        <w:rPr>
          <w:rFonts w:ascii="Times New Roman" w:hAnsi="Times New Roman" w:eastAsia="Times New Roman" w:cs="Times New Roman"/>
        </w:rPr>
        <w:t xml:space="preserve"> </w:t>
      </w:r>
      <w:r>
        <w:rPr>
          <w:rFonts w:ascii="Leelawadee UI" w:hAnsi="Leelawadee UI" w:eastAsia="Leelawadee UI" w:cs="Leelawadee UI"/>
        </w:rPr>
        <w:t>ពួកគេស្ថិតនៅក្នុងដែនដីរបស់សត្រូវ</w:t>
      </w:r>
      <w:r>
        <w:rPr>
          <w:rFonts w:ascii="Times New Roman" w:hAnsi="Times New Roman" w:eastAsia="Times New Roman" w:cs="Times New Roman"/>
        </w:rPr>
        <w:t xml:space="preserve"> </w:t>
      </w:r>
      <w:r>
        <w:rPr>
          <w:rFonts w:ascii="Leelawadee UI" w:hAnsi="Leelawadee UI" w:eastAsia="Leelawadee UI" w:cs="Leelawadee UI"/>
        </w:rPr>
        <w:t>ដែលជាដែនដីនៃសេចក្តីស្លាប់។</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សាក្សីទាំងពីរត្រូវបានសម្លាប់</w:t>
      </w:r>
      <w:r>
        <w:rPr>
          <w:rFonts w:ascii="Times New Roman" w:hAnsi="Times New Roman" w:eastAsia="Times New Roman" w:cs="Times New Roman"/>
        </w:rPr>
        <w:t xml:space="preserve"> </w:t>
      </w:r>
      <w:r>
        <w:rPr>
          <w:rFonts w:ascii="Leelawadee UI" w:hAnsi="Leelawadee UI" w:eastAsia="Leelawadee UI" w:cs="Leelawadee UI"/>
        </w:rPr>
        <w:t>ហើយត្រូវបានទុកចោលនៅតាមផ្លូវ។</w:t>
      </w:r>
      <w:r>
        <w:rPr>
          <w:rFonts w:ascii="Times New Roman" w:hAnsi="Times New Roman" w:eastAsia="Times New Roman" w:cs="Times New Roman"/>
        </w:rPr>
        <w:t xml:space="preserve"> </w:t>
      </w:r>
      <w:r>
        <w:rPr>
          <w:rFonts w:ascii="Leelawadee UI" w:hAnsi="Leelawadee UI" w:eastAsia="Leelawadee UI" w:cs="Leelawadee UI"/>
        </w:rPr>
        <w:t>ព្យាការីទាំងអស់ស្របគ្នាទៅវិញទៅមក។</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ម៉ូសេកំពុងនិយាយទៅកាន់អ្នកដែលស្លាប់នៅតាមផ្លូវដែលរត់កាត់ជ្រលងរបស់អេសេគាល។</w:t>
      </w:r>
      <w:r>
        <w:rPr>
          <w:rFonts w:ascii="Times New Roman" w:hAnsi="Times New Roman" w:eastAsia="Times New Roman" w:cs="Times New Roman"/>
        </w:rPr>
        <w:t xml:space="preserve"> </w:t>
      </w:r>
      <w:r>
        <w:rPr>
          <w:rFonts w:ascii="Leelawadee UI" w:hAnsi="Leelawadee UI" w:eastAsia="Leelawadee UI" w:cs="Leelawadee UI"/>
        </w:rPr>
        <w:t>ក្នុងស្ថានភាពនៃការខកចិត្តរបស់ពួកគេ</w:t>
      </w:r>
      <w:r>
        <w:rPr>
          <w:rFonts w:ascii="Times New Roman" w:hAnsi="Times New Roman" w:eastAsia="Times New Roman" w:cs="Times New Roman"/>
        </w:rPr>
        <w:t xml:space="preserve"> </w:t>
      </w:r>
      <w:r>
        <w:rPr>
          <w:rFonts w:ascii="Leelawadee UI" w:hAnsi="Leelawadee UI" w:eastAsia="Leelawadee UI" w:cs="Leelawadee UI"/>
        </w:rPr>
        <w:t>ពួកគេទទួលបានសេចក្តីបង្រៀនតាមរយៈយេរេមា។</w:t>
      </w:r>
    </w:p>
    <w:p>
      <w:pPr>
        <w:pStyle w:val="ArticleScripture"/>
        <w:jc w:val="left"/>
      </w:pPr>
      <w:r>
        <w:rPr>
          <w:rFonts w:ascii="Times New Roman" w:hAnsi="Times New Roman" w:eastAsia="Times New Roman" w:cs="Times New Roman"/>
        </w:rPr>
        <w:t>Por tanto, así dice el Señor: Si tú te volvieres, yo te restauraré, y estarás delante de mí; y si separares lo precioso de lo vil, serás como mi boca. Vuélvanse ellos a ti; pero tú no te vuelvas a ellos. Jeremías 15:19.</w:t>
      </w:r>
    </w:p>
    <w:p>
      <w:pPr>
        <w:pStyle w:val="ArticleBody"/>
        <w:jc w:val="left"/>
      </w:pPr>
      <w:r>
        <w:rPr>
          <w:rFonts w:ascii="Times New Roman" w:hAnsi="Times New Roman" w:eastAsia="Times New Roman" w:cs="Times New Roman"/>
        </w:rPr>
        <w:t>Yeremia diberitahukan bahwa, jika ia ingin berbicara bagi Allah, ia harus kembali, dan dengan berbuat demikian ia harus memisahkan yang berharga dari yang hina. Konteks perikop itu menunjukkan bahwa yang hina adalah mereka yang kepadanya ia tidak boleh kembali. Ketika ia digambarkan dalam perikop itu berada dalam keadaan kecewanya, ia menyatakan bahwa ia seorang diri.</w:t>
      </w:r>
    </w:p>
    <w:p>
      <w:pPr>
        <w:pStyle w:val="ArticleScripture"/>
        <w:jc w:val="left"/>
      </w:pPr>
      <w:r>
        <w:rPr>
          <w:rFonts w:ascii="Times New Roman" w:hAnsi="Times New Roman" w:eastAsia="Times New Roman" w:cs="Times New Roman"/>
        </w:rPr>
        <w:t>Je ne me suis point assis dans l’assemblée des moqueurs, ni ne me suis réjoui; je me suis assis seul, à cause de ta main, car tu m’as rempli d’indignation. Jérémie 15:17.</w:t>
      </w:r>
    </w:p>
    <w:p>
      <w:pPr>
        <w:pStyle w:val="ArticleBody"/>
        <w:jc w:val="left"/>
      </w:pPr>
      <w:r>
        <w:rPr>
          <w:rFonts w:ascii="Times New Roman" w:hAnsi="Times New Roman" w:eastAsia="Times New Roman" w:cs="Times New Roman"/>
        </w:rPr>
        <w:t>Jeremia hakutegerejwe mu “iteraniro ry’abakobanyi,” kuko yari yicaye wenyine. Ntiyari akwiriye gusubira ku banduye, bo ari bo bagize iteraniro ry’abakobanyi. Mu 1863, Ubadiventisiti bwatangiye gusubira mu “iteraniro ry’abakobanyi” igihe bwagarukiraga ku buryo bwa Bibiliya bw’abakobwa ba Babuloni kugira ngo bwange “ibihe birindwi” bya Mose. Ariko Jeremia arimo avuga by’umwihariko ku minsi y’imperuka kuruta uko avuga ku mateka y’Abamillerite. Igihe abari mu kibaya cy’amagufa yumye bakangukiye ku kuri ko bari mu gihugu cy’abanzi, ntibagomba na rimwe gusubira ku bantu bishimiye urupfu rwabo mu muhanda. Iryo tsinda rishobora gusubira kuri Jeremia, ariko we ntashobora gusubira kuri bo.</w:t>
      </w:r>
    </w:p>
    <w:p>
      <w:pPr>
        <w:pStyle w:val="ArticleBody"/>
        <w:jc w:val="left"/>
      </w:pPr>
      <w:r>
        <w:rPr>
          <w:rFonts w:ascii="Times New Roman" w:hAnsi="Times New Roman" w:eastAsia="Times New Roman" w:cs="Times New Roman"/>
        </w:rPr>
        <w:t>Mais s’ils doivent revenir, ils doivent aussi accomplir les prescriptions données par Moïse qui sont directement associées aux « sept temps ». Ceux qui sont morts dans la rue, dans Apocalypse onze, sont morts pendant trois jours et demi, ce qui, prophétiquement, est le « désert ».</w:t>
      </w:r>
    </w:p>
    <w:p>
      <w:pPr>
        <w:pStyle w:val="ArticleBody"/>
        <w:jc w:val="left"/>
      </w:pPr>
      <w:r>
        <w:rPr>
          <w:rFonts w:ascii="Times New Roman" w:hAnsi="Times New Roman" w:eastAsia="Times New Roman" w:cs="Times New Roman"/>
        </w:rPr>
        <w:t>C’est pourquoi le réveil initial des morts s’accomplit par un message qui fait que les os se rejoignent, mais ils ne sont pas encore vivants. Il faut le message des quatre vents, qui est le message du scellement, pour les transformer en une armée puissante. Le premier message qui les rassemble provient d’une « voix ».</w:t>
      </w:r>
    </w:p>
    <w:p>
      <w:pPr>
        <w:pStyle w:val="ArticleScripture"/>
        <w:jc w:val="left"/>
      </w:pPr>
      <w:r>
        <w:rPr>
          <w:rFonts w:ascii="Microsoft YaHei" w:hAnsi="Microsoft YaHei" w:eastAsia="Microsoft YaHei" w:cs="Microsoft YaHei"/>
        </w:rPr>
        <w:t>慰</w:t>
      </w:r>
      <w:r>
        <w:rPr>
          <w:rFonts w:ascii="MS Gothic" w:hAnsi="MS Gothic" w:eastAsia="MS Gothic" w:cs="MS Gothic"/>
        </w:rPr>
        <w:t>めよ</w:t>
      </w:r>
      <w:r>
        <w:rPr>
          <w:rFonts w:ascii="Microsoft YaHei" w:hAnsi="Microsoft YaHei" w:eastAsia="Microsoft YaHei" w:cs="Microsoft YaHei"/>
        </w:rPr>
        <w:t>、慰</w:t>
      </w:r>
      <w:r>
        <w:rPr>
          <w:rFonts w:ascii="MS Gothic" w:hAnsi="MS Gothic" w:eastAsia="MS Gothic" w:cs="MS Gothic"/>
        </w:rPr>
        <w:t>めよ</w:t>
      </w:r>
      <w:r>
        <w:rPr>
          <w:rFonts w:ascii="Microsoft YaHei" w:hAnsi="Microsoft YaHei" w:eastAsia="Microsoft YaHei" w:cs="Microsoft YaHei"/>
        </w:rPr>
        <w:t>、</w:t>
      </w:r>
      <w:r>
        <w:rPr>
          <w:rFonts w:ascii="MS Gothic" w:hAnsi="MS Gothic" w:eastAsia="MS Gothic" w:cs="MS Gothic"/>
        </w:rPr>
        <w:t>わが</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とあなたがたの</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言</w:t>
      </w:r>
      <w:r>
        <w:rPr>
          <w:rFonts w:ascii="MS Gothic" w:hAnsi="MS Gothic" w:eastAsia="MS Gothic" w:cs="MS Gothic"/>
        </w:rPr>
        <w:t>われる</w:t>
      </w:r>
      <w:r>
        <w:rPr>
          <w:rFonts w:ascii="Times New Roman" w:hAnsi="Times New Roman" w:eastAsia="Times New Roman" w:cs="Times New Roman"/>
        </w:rPr>
        <w:t>.</w:t>
      </w:r>
      <w:r>
        <w:rPr>
          <w:rFonts w:ascii="MS Gothic" w:hAnsi="MS Gothic" w:eastAsia="MS Gothic" w:cs="MS Gothic"/>
        </w:rPr>
        <w:t>エルサレムに</w:t>
      </w:r>
      <w:r>
        <w:rPr>
          <w:rFonts w:ascii="Microsoft YaHei" w:hAnsi="Microsoft YaHei" w:eastAsia="Microsoft YaHei" w:cs="Microsoft YaHei"/>
        </w:rPr>
        <w:t>優</w:t>
      </w:r>
      <w:r>
        <w:rPr>
          <w:rFonts w:ascii="MS Gothic" w:hAnsi="MS Gothic" w:eastAsia="MS Gothic" w:cs="MS Gothic"/>
        </w:rPr>
        <w:t>しく</w:t>
      </w:r>
      <w:r>
        <w:rPr>
          <w:rFonts w:ascii="Microsoft YaHei" w:hAnsi="Microsoft YaHei" w:eastAsia="Microsoft YaHei" w:cs="Microsoft YaHei"/>
        </w:rPr>
        <w:t>語</w:t>
      </w:r>
      <w:r>
        <w:rPr>
          <w:rFonts w:ascii="MS Gothic" w:hAnsi="MS Gothic" w:eastAsia="MS Gothic" w:cs="MS Gothic"/>
        </w:rPr>
        <w:t>りかけ</w:t>
      </w:r>
      <w:r>
        <w:rPr>
          <w:rFonts w:ascii="Microsoft YaHei" w:hAnsi="Microsoft YaHei" w:eastAsia="Microsoft YaHei" w:cs="Microsoft YaHei"/>
        </w:rPr>
        <w:t>、</w:t>
      </w:r>
      <w:r>
        <w:rPr>
          <w:rFonts w:ascii="MS Gothic" w:hAnsi="MS Gothic" w:eastAsia="MS Gothic" w:cs="MS Gothic"/>
        </w:rPr>
        <w:t>これに</w:t>
      </w:r>
      <w:r>
        <w:rPr>
          <w:rFonts w:ascii="Microsoft YaHei" w:hAnsi="Microsoft YaHei" w:eastAsia="Microsoft YaHei" w:cs="Microsoft YaHei"/>
        </w:rPr>
        <w:t>呼</w:t>
      </w:r>
      <w:r>
        <w:rPr>
          <w:rFonts w:ascii="MS Gothic" w:hAnsi="MS Gothic" w:eastAsia="MS Gothic" w:cs="MS Gothic"/>
        </w:rPr>
        <w:t>ばわって</w:t>
      </w:r>
      <w:r>
        <w:rPr>
          <w:rFonts w:ascii="Microsoft YaHei" w:hAnsi="Microsoft YaHei" w:eastAsia="Microsoft YaHei" w:cs="Microsoft YaHei"/>
        </w:rPr>
        <w:t>告</w:t>
      </w:r>
      <w:r>
        <w:rPr>
          <w:rFonts w:ascii="MS Gothic" w:hAnsi="MS Gothic" w:eastAsia="MS Gothic" w:cs="MS Gothic"/>
        </w:rPr>
        <w:t>げよ</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戦</w:t>
      </w:r>
      <w:r>
        <w:rPr>
          <w:rFonts w:ascii="MS Gothic" w:hAnsi="MS Gothic" w:eastAsia="MS Gothic" w:cs="MS Gothic"/>
        </w:rPr>
        <w:t>いは</w:t>
      </w:r>
      <w:r>
        <w:rPr>
          <w:rFonts w:ascii="Microsoft YaHei" w:hAnsi="Microsoft YaHei" w:eastAsia="Microsoft YaHei" w:cs="Microsoft YaHei"/>
        </w:rPr>
        <w:t>終</w:t>
      </w:r>
      <w:r>
        <w:rPr>
          <w:rFonts w:ascii="MS Gothic" w:hAnsi="MS Gothic" w:eastAsia="MS Gothic" w:cs="MS Gothic"/>
        </w:rPr>
        <w:t>わり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咎</w:t>
      </w:r>
      <w:r>
        <w:rPr>
          <w:rFonts w:ascii="MS Gothic" w:hAnsi="MS Gothic" w:eastAsia="MS Gothic" w:cs="MS Gothic"/>
        </w:rPr>
        <w:t>は</w:t>
      </w:r>
      <w:r>
        <w:rPr>
          <w:rFonts w:ascii="Microsoft YaHei" w:hAnsi="Microsoft YaHei" w:eastAsia="Microsoft YaHei" w:cs="Microsoft YaHei"/>
        </w:rPr>
        <w:t>赦</w:t>
      </w:r>
      <w:r>
        <w:rPr>
          <w:rFonts w:ascii="MS Gothic" w:hAnsi="MS Gothic" w:eastAsia="MS Gothic" w:cs="MS Gothic"/>
        </w:rPr>
        <w:t>された</w:t>
      </w:r>
      <w:r>
        <w:rPr>
          <w:rFonts w:ascii="Microsoft YaHei" w:hAnsi="Microsoft YaHei" w:eastAsia="Microsoft YaHei" w:cs="Microsoft YaHei"/>
        </w:rPr>
        <w:t>、</w:t>
      </w:r>
      <w:r>
        <w:rPr>
          <w:rFonts w:ascii="MS Gothic" w:hAnsi="MS Gothic" w:eastAsia="MS Gothic" w:cs="MS Gothic"/>
        </w:rPr>
        <w:t>と</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御手</w:t>
      </w:r>
      <w:r>
        <w:rPr>
          <w:rFonts w:ascii="MS Gothic" w:hAnsi="MS Gothic" w:eastAsia="MS Gothic" w:cs="MS Gothic"/>
        </w:rPr>
        <w:t>より</w:t>
      </w:r>
      <w:r>
        <w:rPr>
          <w:rFonts w:ascii="Microsoft YaHei" w:hAnsi="Microsoft YaHei" w:eastAsia="Microsoft YaHei" w:cs="Microsoft YaHei"/>
        </w:rPr>
        <w:t>、</w:t>
      </w:r>
      <w:r>
        <w:rPr>
          <w:rFonts w:ascii="MS Gothic" w:hAnsi="MS Gothic" w:eastAsia="MS Gothic" w:cs="MS Gothic"/>
        </w:rPr>
        <w:t>そのすべての</w:t>
      </w:r>
      <w:r>
        <w:rPr>
          <w:rFonts w:ascii="Microsoft YaHei" w:hAnsi="Microsoft YaHei" w:eastAsia="Microsoft YaHei" w:cs="Microsoft YaHei"/>
        </w:rPr>
        <w:t>罪</w:t>
      </w:r>
      <w:r>
        <w:rPr>
          <w:rFonts w:ascii="MS Gothic" w:hAnsi="MS Gothic" w:eastAsia="MS Gothic" w:cs="MS Gothic"/>
        </w:rPr>
        <w:t>のために</w:t>
      </w:r>
      <w:r>
        <w:rPr>
          <w:rFonts w:ascii="Microsoft YaHei" w:hAnsi="Microsoft YaHei" w:eastAsia="Microsoft YaHei" w:cs="Microsoft YaHei"/>
        </w:rPr>
        <w:t>二倍</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けたからである</w:t>
      </w:r>
      <w:r>
        <w:rPr>
          <w:rFonts w:ascii="Times New Roman" w:hAnsi="Times New Roman" w:eastAsia="Times New Roman" w:cs="Times New Roman"/>
        </w:rPr>
        <w:t>.</w:t>
      </w:r>
      <w:r>
        <w:rPr>
          <w:rFonts w:ascii="Microsoft YaHei" w:hAnsi="Microsoft YaHei" w:eastAsia="Microsoft YaHei" w:cs="Microsoft YaHei"/>
        </w:rPr>
        <w:t>荒野</w:t>
      </w:r>
      <w:r>
        <w:rPr>
          <w:rFonts w:ascii="MS Gothic" w:hAnsi="MS Gothic" w:eastAsia="MS Gothic" w:cs="MS Gothic"/>
        </w:rPr>
        <w:t>で</w:t>
      </w:r>
      <w:r>
        <w:rPr>
          <w:rFonts w:ascii="Microsoft YaHei" w:hAnsi="Microsoft YaHei" w:eastAsia="Microsoft YaHei" w:cs="Microsoft YaHei"/>
        </w:rPr>
        <w:t>呼</w:t>
      </w:r>
      <w:r>
        <w:rPr>
          <w:rFonts w:ascii="MS Gothic" w:hAnsi="MS Gothic" w:eastAsia="MS Gothic" w:cs="MS Gothic"/>
        </w:rPr>
        <w:t>ばわる</w:t>
      </w:r>
      <w:r>
        <w:rPr>
          <w:rFonts w:ascii="Microsoft YaHei" w:hAnsi="Microsoft YaHei" w:eastAsia="Microsoft YaHei" w:cs="Microsoft YaHei"/>
        </w:rPr>
        <w:t>者</w:t>
      </w:r>
      <w:r>
        <w:rPr>
          <w:rFonts w:ascii="MS Gothic" w:hAnsi="MS Gothic" w:eastAsia="MS Gothic" w:cs="MS Gothic"/>
        </w:rPr>
        <w:t>の</w:t>
      </w:r>
      <w:r>
        <w:rPr>
          <w:rFonts w:ascii="Microsoft YaHei" w:hAnsi="Microsoft YaHei" w:eastAsia="Microsoft YaHei" w:cs="Microsoft YaHei"/>
        </w:rPr>
        <w:t>声</w:t>
      </w:r>
      <w:r>
        <w:rPr>
          <w:rFonts w:ascii="MS Gothic" w:hAnsi="MS Gothic" w:eastAsia="MS Gothic" w:cs="MS Gothic"/>
        </w:rPr>
        <w:t>がする</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備</w:t>
      </w:r>
      <w:r>
        <w:rPr>
          <w:rFonts w:ascii="MS Gothic" w:hAnsi="MS Gothic" w:eastAsia="MS Gothic" w:cs="MS Gothic"/>
        </w:rPr>
        <w:t>えよ</w:t>
      </w:r>
      <w:r>
        <w:rPr>
          <w:rFonts w:ascii="Microsoft YaHei" w:hAnsi="Microsoft YaHei" w:eastAsia="Microsoft YaHei" w:cs="Microsoft YaHei"/>
        </w:rPr>
        <w:t>、砂漠</w:t>
      </w:r>
      <w:r>
        <w:rPr>
          <w:rFonts w:ascii="MS Gothic" w:hAnsi="MS Gothic" w:eastAsia="MS Gothic" w:cs="MS Gothic"/>
        </w:rPr>
        <w:t>にわれらの</w:t>
      </w:r>
      <w:r>
        <w:rPr>
          <w:rFonts w:ascii="Microsoft YaHei" w:hAnsi="Microsoft YaHei" w:eastAsia="Microsoft YaHei" w:cs="Microsoft YaHei"/>
        </w:rPr>
        <w:t>神</w:t>
      </w:r>
      <w:r>
        <w:rPr>
          <w:rFonts w:ascii="MS Gothic" w:hAnsi="MS Gothic" w:eastAsia="MS Gothic" w:cs="MS Gothic"/>
        </w:rPr>
        <w:t>のために</w:t>
      </w:r>
      <w:r>
        <w:rPr>
          <w:rFonts w:ascii="Microsoft YaHei" w:hAnsi="Microsoft YaHei" w:eastAsia="Microsoft YaHei" w:cs="Microsoft YaHei"/>
        </w:rPr>
        <w:t>大路</w:t>
      </w:r>
      <w:r>
        <w:rPr>
          <w:rFonts w:ascii="MS Gothic" w:hAnsi="MS Gothic" w:eastAsia="MS Gothic" w:cs="MS Gothic"/>
        </w:rPr>
        <w:t>をまっすぐにせよ</w:t>
      </w:r>
      <w:r>
        <w:rPr>
          <w:rFonts w:ascii="Times New Roman" w:hAnsi="Times New Roman" w:eastAsia="Times New Roman" w:cs="Times New Roman"/>
        </w:rPr>
        <w:t>.</w:t>
      </w:r>
      <w:r>
        <w:rPr>
          <w:rFonts w:ascii="MS Gothic" w:hAnsi="MS Gothic" w:eastAsia="MS Gothic" w:cs="MS Gothic"/>
        </w:rPr>
        <w:t>すべての</w:t>
      </w:r>
      <w:r>
        <w:rPr>
          <w:rFonts w:ascii="Microsoft YaHei" w:hAnsi="Microsoft YaHei" w:eastAsia="Microsoft YaHei" w:cs="Microsoft YaHei"/>
        </w:rPr>
        <w:t>谷</w:t>
      </w:r>
      <w:r>
        <w:rPr>
          <w:rFonts w:ascii="MS Gothic" w:hAnsi="MS Gothic" w:eastAsia="MS Gothic" w:cs="MS Gothic"/>
        </w:rPr>
        <w:t>は</w:t>
      </w:r>
      <w:r>
        <w:rPr>
          <w:rFonts w:ascii="Microsoft YaHei" w:hAnsi="Microsoft YaHei" w:eastAsia="Microsoft YaHei" w:cs="Microsoft YaHei"/>
        </w:rPr>
        <w:t>高</w:t>
      </w:r>
      <w:r>
        <w:rPr>
          <w:rFonts w:ascii="MS Gothic" w:hAnsi="MS Gothic" w:eastAsia="MS Gothic" w:cs="MS Gothic"/>
        </w:rPr>
        <w:t>くされ</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山</w:t>
      </w:r>
      <w:r>
        <w:rPr>
          <w:rFonts w:ascii="MS Gothic" w:hAnsi="MS Gothic" w:eastAsia="MS Gothic" w:cs="MS Gothic"/>
        </w:rPr>
        <w:t>と</w:t>
      </w:r>
      <w:r>
        <w:rPr>
          <w:rFonts w:ascii="Microsoft YaHei" w:hAnsi="Microsoft YaHei" w:eastAsia="Microsoft YaHei" w:cs="Microsoft YaHei"/>
        </w:rPr>
        <w:t>丘</w:t>
      </w:r>
      <w:r>
        <w:rPr>
          <w:rFonts w:ascii="MS Gothic" w:hAnsi="MS Gothic" w:eastAsia="MS Gothic" w:cs="MS Gothic"/>
        </w:rPr>
        <w:t>は</w:t>
      </w:r>
      <w:r>
        <w:rPr>
          <w:rFonts w:ascii="Microsoft YaHei" w:hAnsi="Microsoft YaHei" w:eastAsia="Microsoft YaHei" w:cs="Microsoft YaHei"/>
        </w:rPr>
        <w:t>低</w:t>
      </w:r>
      <w:r>
        <w:rPr>
          <w:rFonts w:ascii="MS Gothic" w:hAnsi="MS Gothic" w:eastAsia="MS Gothic" w:cs="MS Gothic"/>
        </w:rPr>
        <w:t>くされ</w:t>
      </w:r>
      <w:r>
        <w:rPr>
          <w:rFonts w:ascii="Microsoft YaHei" w:hAnsi="Microsoft YaHei" w:eastAsia="Microsoft YaHei" w:cs="Microsoft YaHei"/>
        </w:rPr>
        <w:t>、曲</w:t>
      </w:r>
      <w:r>
        <w:rPr>
          <w:rFonts w:ascii="MS Gothic" w:hAnsi="MS Gothic" w:eastAsia="MS Gothic" w:cs="MS Gothic"/>
        </w:rPr>
        <w:t>がったところはまっすぐになり</w:t>
      </w:r>
      <w:r>
        <w:rPr>
          <w:rFonts w:ascii="Microsoft YaHei" w:hAnsi="Microsoft YaHei" w:eastAsia="Microsoft YaHei" w:cs="Microsoft YaHei"/>
        </w:rPr>
        <w:t>、険</w:t>
      </w:r>
      <w:r>
        <w:rPr>
          <w:rFonts w:ascii="MS Gothic" w:hAnsi="MS Gothic" w:eastAsia="MS Gothic" w:cs="MS Gothic"/>
        </w:rPr>
        <w:t>しい</w:t>
      </w:r>
      <w:r>
        <w:rPr>
          <w:rFonts w:ascii="Microsoft YaHei" w:hAnsi="Microsoft YaHei" w:eastAsia="Microsoft YaHei" w:cs="Microsoft YaHei"/>
        </w:rPr>
        <w:t>地</w:t>
      </w:r>
      <w:r>
        <w:rPr>
          <w:rFonts w:ascii="MS Gothic" w:hAnsi="MS Gothic" w:eastAsia="MS Gothic" w:cs="MS Gothic"/>
        </w:rPr>
        <w:t>は</w:t>
      </w:r>
      <w:r>
        <w:rPr>
          <w:rFonts w:ascii="Microsoft YaHei" w:hAnsi="Microsoft YaHei" w:eastAsia="Microsoft YaHei" w:cs="Microsoft YaHei"/>
        </w:rPr>
        <w:t>平</w:t>
      </w:r>
      <w:r>
        <w:rPr>
          <w:rFonts w:ascii="MS Gothic" w:hAnsi="MS Gothic" w:eastAsia="MS Gothic" w:cs="MS Gothic"/>
        </w:rPr>
        <w:t>らになる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イザヤ</w:t>
      </w:r>
      <w:r>
        <w:rPr>
          <w:rFonts w:ascii="Microsoft YaHei" w:hAnsi="Microsoft YaHei" w:eastAsia="Microsoft YaHei" w:cs="Microsoft YaHei"/>
        </w:rPr>
        <w:t>書</w:t>
      </w:r>
      <w:r>
        <w:rPr>
          <w:rFonts w:ascii="Times New Roman" w:hAnsi="Times New Roman" w:eastAsia="Times New Roman" w:cs="Times New Roman"/>
        </w:rPr>
        <w:t xml:space="preserve"> 40:1–4</w:t>
      </w:r>
    </w:p>
    <w:p>
      <w:pPr>
        <w:pStyle w:val="ArticleBody"/>
        <w:jc w:val="left"/>
      </w:pPr>
      <w:r>
        <w:rPr>
          <w:rFonts w:ascii="Times New Roman" w:hAnsi="Times New Roman" w:eastAsia="Times New Roman" w:cs="Times New Roman"/>
        </w:rPr>
        <w:t>La voix vient du désert, symbole de la dispersion des « sept temps ». Cette voix est dans le désert, car Ézéchiel aussi fut conduit dans la vallée des ossements desséchés. Il rendait témoignage depuis la vallée même, et non de loin.</w:t>
      </w:r>
    </w:p>
    <w:p>
      <w:pPr>
        <w:pStyle w:val="ArticleScripture"/>
        <w:jc w:val="left"/>
      </w:pPr>
      <w:r>
        <w:rPr>
          <w:rFonts w:ascii="Times New Roman" w:hAnsi="Times New Roman" w:eastAsia="Times New Roman" w:cs="Times New Roman"/>
        </w:rPr>
        <w:t>La main de l’Éternel fut sur moi, et l’Esprit de l’Éternel me transporta au-dehors et me déposa au milieu de la vallée, laquelle était remplie d’ossements. Ézéchiel 37:1.</w:t>
      </w:r>
    </w:p>
    <w:p>
      <w:pPr>
        <w:pStyle w:val="ArticleBody"/>
        <w:jc w:val="left"/>
      </w:pPr>
      <w:r>
        <w:rPr>
          <w:rFonts w:ascii="Times New Roman" w:hAnsi="Times New Roman" w:eastAsia="Times New Roman" w:cs="Times New Roman"/>
        </w:rPr>
        <w:t>واد</w:t>
      </w:r>
      <w:r>
        <w:rPr>
          <w:rFonts w:ascii="Nirmala UI" w:hAnsi="Nirmala UI" w:eastAsia="Nirmala UI" w:cs="Nirmala UI"/>
        </w:rPr>
        <w:t>ी</w:t>
      </w:r>
      <w:r>
        <w:rPr>
          <w:rFonts w:ascii="Times New Roman" w:hAnsi="Times New Roman" w:eastAsia="Times New Roman" w:cs="Times New Roman"/>
        </w:rPr>
        <w:t>، بیابانِ سه‌ونیم روز است. وعدهٔ آن ندا این است که عصیانِ اورشلیم آمرزیده شده و جنگِ او به پایان رسیده است. این وعده، مُهر شدنِ آن صد و چهل و چهار هزار را که در ایام آخر به انجام می‌رسد، بازمی‌نمایاند. اما آمرزشِ عصیانِ او با این امر مرتبط است که او به‌سبب همهٔ گناهانش «دوچندان» دریافت کرده است. علاجی که موسی عرضه می‌دارد، مستلزمِ اقرار نه تنها به عصیان‌های ایشان، بلکه نیز به عصیان‌های پدران ایشان است. اگر آن فرمان را به‌جا آورند، عصیانِ ایشان آمرزیده خواهد شد.</w:t>
      </w:r>
    </w:p>
    <w:p>
      <w:pPr>
        <w:pStyle w:val="ArticleBody"/>
        <w:jc w:val="left"/>
      </w:pPr>
      <w:r>
        <w:rPr>
          <w:rFonts w:ascii="Times New Roman" w:hAnsi="Times New Roman" w:eastAsia="Times New Roman" w:cs="Times New Roman"/>
        </w:rPr>
        <w:t>Nous poursuivrons ces vérités dans le prochain article.</w:t>
      </w:r>
    </w:p>
    <w:p>
      <w:pPr>
        <w:pStyle w:val="ArticleScripture"/>
        <w:jc w:val="left"/>
      </w:pPr>
      <w:r>
        <w:rPr>
          <w:rFonts w:ascii="Times New Roman" w:hAnsi="Times New Roman" w:eastAsia="Times New Roman" w:cs="Times New Roman"/>
        </w:rPr>
        <w:t>Yes, gjithë Izraeli e ka shkelur ligjin tënd, madje duke u larguar, që të mos i bindeshin zërit tënd; prandaj mallkimi është derdhur mbi ne, dhe betimi që është shkruar në ligjin e Moisiut, shërbëtorit të Perëndisë, sepse kemi mëkatuar kundër tij. Dhe ai i ka vërtetuar fjalët e tij, të cilat i foli kundër nesh dhe kundër gjykatësve tanë që na gjykonin, duke sjellë mbi ne një e keqe të madhe; sepse nën tërë qiellin nuk është bërë siç është bërë mbi Jeruzalemin. Ashtu siç është shkruar në ligjin e Moisiut, gjithë kjo e keqe ka ardhur mbi ne; megjithatë ne nuk ia paraqitëm lutjen tonë Zotit, Perëndisë tonë, që të ktheheshim nga paudhësitë tona dhe të kuptonim të vërtetën tënde. Danieli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Révélation de Jésus-Christ — Numéro seize</dc:title>
  <dc:subject>Ufunuo wa Ngurumo Saba: Uchambuzi wa Kinabii wa Ufunuo na Historia Iliyofichika</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