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bwa Yesu Kristo - Nimero Cumi na Birindwi</w:t>
      </w:r>
    </w:p>
    <w:p>
      <w:pPr>
        <w:pStyle w:val="ArticleSubtitle"/>
        <w:jc w:val="left"/>
      </w:pPr>
      <w:r>
        <w:rPr>
          <w:rFonts w:ascii="Arial" w:hAnsi="Arial" w:eastAsia="Arial" w:cs="Arial"/>
        </w:rPr>
        <w:t>Éveiller les ossements desséchés : un appel à la pureté et à la foi dans le temps de l’attente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ئەو ئێسکە قووڵانەی وشک بوونەوە کە مردوو لە شەقامدا کەوتوون، کاتێک «دەنگ»ی ئەوەی لە چۆڵەوانیدا هاوار دەکات دەبیستن، ئەمە دەکەن چونکە پاراکلێت هاتووە، بە جێهێنانی بەڵێنی عیسادا کە ئەوی دەنێرێت. لە یەکەم نائومێدیی میللەرییەکاندا، میللەرییەکان تێگەیشتن کە لە کاتی دواخستندا بوون وەک لە مەتەڵی پاکیزەکچاندا هاتووە.</w:t>
      </w:r>
    </w:p>
    <w:p>
      <w:pPr>
        <w:pStyle w:val="ArticleScripture"/>
        <w:jc w:val="left"/>
      </w:pPr>
      <w:r>
        <w:rPr>
          <w:rFonts w:ascii="Times New Roman" w:hAnsi="Times New Roman" w:eastAsia="Times New Roman" w:cs="Times New Roman"/>
        </w:rPr>
        <w:t>„Los decepcionados vieron por la Biblia que se hallaban en el tiempo de tardanza, y que debían esperar pacientemente el cumplimiento de la visión. La misma evidencia que los había llevado a esperar a su Señor en 1843, los llevó a esperarlo en 1844.” Spiritual Gifts, tomo 1, 153.</w:t>
      </w:r>
    </w:p>
    <w:p>
      <w:pPr>
        <w:pStyle w:val="ArticleBody"/>
        <w:jc w:val="left"/>
      </w:pPr>
      <w:r>
        <w:rPr>
          <w:rFonts w:ascii="Times New Roman" w:hAnsi="Times New Roman" w:eastAsia="Times New Roman" w:cs="Times New Roman"/>
        </w:rPr>
        <w:t>Aqueles que foram tipificados pelos mileritas repetem a experiência do primeiro desapontamento, e, quando o fazem, devem compreender que também eles se encontram no tempo de demora da parábola das virgens. Somente a influência do Consolador lhes permite ver essa verdade. Esse reconhecimento, produzido pelo Consolador, é representado pela primeira profecia que Ezequiel foi instruído a proclamar ao vale de ossos secos e mortos.</w:t>
      </w:r>
    </w:p>
    <w:p>
      <w:pPr>
        <w:pStyle w:val="ArticleScripture"/>
        <w:jc w:val="left"/>
      </w:pPr>
      <w:r>
        <w:rPr>
          <w:rFonts w:ascii="Times New Roman" w:hAnsi="Times New Roman" w:eastAsia="Times New Roman" w:cs="Times New Roman"/>
        </w:rPr>
        <w:t>Puis il me dit : Prophétise sur ces os, et dis-leur : Ossements desséchés, écoutez la parole de l’Éternel. Ainsi parle le Seigneur, l’Éternel, à ces os : Voici, je vais faire entrer en vous un souffle, et vous vivrez ; je mettrai sur vous des nerfs, je ferai croître sur vous de la chair, je vous couvrirai de peau, je mettrai en vous un souffle, et vous vivrez ; et vous saurez que je suis l’Éternel. Je prophétisai donc selon l’ordre que j’avais reçu ; et comme je prophétisais, il se fit un bruit, et voici, il se produisit un mouvement, et les os s’approchèrent les uns des autres, chaque os selon son os. Je regardai, et voici, des nerfs et de la chair vinrent sur eux, et la peau les couvrit par-dessus ; mais il n’y avait point en eux de souffle. Ézéchiel 37:4–8.</w:t>
      </w:r>
    </w:p>
    <w:p>
      <w:pPr>
        <w:pStyle w:val="ArticleBody"/>
        <w:jc w:val="left"/>
      </w:pPr>
      <w:r>
        <w:rPr>
          <w:rFonts w:ascii="Times New Roman" w:hAnsi="Times New Roman" w:eastAsia="Times New Roman" w:cs="Times New Roman"/>
        </w:rPr>
        <w:t>Le « bruit » représente le Saint-Esprit. À ce moment-là, les vierges doivent reconnaître qu’elles se trouvent dans le temps du retard. Les instructions bibliques concernant ce que les déçus doivent faire lorsqu’ils reconnaissent qu’ils sont dans le temps du retard sont abondantes. Jérémie enseigne qu’ils ne doivent jamais retourner à « l’assemblée des moqueurs », laquelle, dans le message adressé à Philadelphie, est la synagogue de Satan. Ils doivent aussi séparer ce qui est précieux de ce qui est vil. Le précieux, mis en contraste avec le vil, a une double signification.</w:t>
      </w:r>
    </w:p>
    <w:p>
      <w:pPr>
        <w:pStyle w:val="ArticleBody"/>
        <w:jc w:val="left"/>
      </w:pPr>
      <w:r>
        <w:rPr>
          <w:rFonts w:ascii="Times New Roman" w:hAnsi="Times New Roman" w:eastAsia="Times New Roman" w:cs="Times New Roman"/>
        </w:rPr>
        <w:t>Ndzi swi dyondzele hi ndzexe ku hambana loku ka vuprofeta emalembeni lama hundzeke, loko ndzi tirhisa norho wa William Miller. Ndzi hlamusele hi mfanelo maribye ya nkoka tanihi ntiyiso wa rito ra Xikwembu, naswona maribye ya nkoka ya vuxisi tanihi tidyondzo leti onhiweke. Endzhaku ka sweswo, ndzi kombisiwile leswaku James White na yena u endle ku tirhisa ka norho wa William Miller, naswona eka ku tirhisa kakwe, u kombisa maribye ya nkoka tanihi vanhu va Xikwembu vo tshembeka, kutani maribye ya nkoka ya vuxisi tanihi lava tivulaka va ri va ntiyiso hi mavunwa. Loko ndzi kambisisa leswi James White a swi dyondziseke malunghana ni norho lowu, ndzi lemuke leswaku havambirhi a hi ri ntiyiso. Maribye ya nkoka ma nga yimela lavo tshembeka va Xikwembu, naswona maribye ya vuxisi, lava nga tshembekangiki, kambe maribye ya nkoka ma nga tlhela ma yimela ntiyiso wa rito ra Xikwembu, kutani maribye ya vuxisi ma nga va tidyondzo ta mavunwa. James White u tirhise norho wa Miller eka matimu lawa James White a a hanya eka wona hi nkarhi wolowo, kambe mina ndzi tshinele norho lowu tanihi matimu ya masiku yo hetelela. Swi ri swin’we, ku tirhisa loku kambirhi ku kombisa leswaku vanhu va hundzuka leswi va swi pfumelaka, naswona loko vo hlawula ku khoma tidyondzo leti hoxeke, va ta kukuriwa hi fensele hi munhu wa burachi ra thyaka, swin’we ni tidyondzo leti va hlanganisiweke na tona. Hi leswi hi swi dyaka.</w:t>
      </w:r>
    </w:p>
    <w:p>
      <w:pPr>
        <w:pStyle w:val="ArticleBody"/>
        <w:jc w:val="left"/>
      </w:pPr>
      <w:r>
        <w:rPr>
          <w:rFonts w:ascii="Times New Roman" w:hAnsi="Times New Roman" w:eastAsia="Times New Roman" w:cs="Times New Roman"/>
        </w:rPr>
        <w:t>Ka hman lo hriatna nei lote chu an lo awmna chu tarry time a nih tih an hriat chuan, Jeremia sawi angin an tan hian a hlu ber leh a tha lo ber chu hrang hrangin an then ang.</w:t>
      </w:r>
    </w:p>
    <w:p>
      <w:pPr>
        <w:pStyle w:val="ArticleScripture"/>
        <w:jc w:val="left"/>
      </w:pPr>
      <w:r>
        <w:rPr>
          <w:rFonts w:ascii="Times New Roman" w:hAnsi="Times New Roman" w:eastAsia="Times New Roman" w:cs="Times New Roman"/>
        </w:rPr>
        <w:t>“Ni gute abantu bari mu ntambara n’ubutegetsi bw’Imana bashobora kugera ku bwenge bo rimwe na rimwe bagaragaza? Satani ubwe yize mu ngoro zo mu ijuru, kandi afite ubumenyi bw’icyiza kimwe n’ubw’ikibi. Avanga iby’igiciro n’ibiteye ishozi, kandi icyo ni cyo kimuhesha ubushobozi bwo kuyobya. Ariko se, kubera ko Satani yambaye imyambaro y’ubwiza bwo mu ijuru, twamwemera nk’umumarayika w’umucyo? Umushukanyi afite intumwa ze, zize hakurikijwe uburyo bwe, zahumetswe n’umwuka we, kandi zibereye umurimo we. Mbese twakorana na zo? Mbese twakwakira imirimo y’intumwa ze nk’iy’ingenzi kugira ngo umuntu abone uburezi?” Ministry of Healing, 440.</w:t>
      </w:r>
    </w:p>
    <w:p>
      <w:pPr>
        <w:pStyle w:val="ArticleBody"/>
        <w:jc w:val="left"/>
      </w:pPr>
      <w:r>
        <w:rPr>
          <w:rFonts w:ascii="Times New Roman" w:hAnsi="Times New Roman" w:eastAsia="Times New Roman" w:cs="Times New Roman"/>
        </w:rPr>
        <w:t>Ceejiinnii fi jibbamaan dhugaa fi dogoggora bakka bu’u. Akkasumas garee namoota lama bakka bu’a.</w:t>
      </w:r>
    </w:p>
    <w:p>
      <w:pPr>
        <w:pStyle w:val="ArticleScripture"/>
        <w:jc w:val="left"/>
      </w:pPr>
      <w:r>
        <w:rPr>
          <w:rFonts w:ascii="Times New Roman" w:hAnsi="Times New Roman" w:eastAsia="Times New Roman" w:cs="Times New Roman"/>
        </w:rPr>
        <w:t>“‘Jakkolwiek fundament Boży stoi niewzruszenie, mając tę pieczęć: Pan zna tych, którzy są Jego. I: Niech odstąpi od nieprawości każdy, kto wzywa imienia Chrystusowego. Lecz w wielkim domu są nie tylko naczynia złote i srebrne, lecz także drewniane i gliniane; jedne ku czci, drugie ku nieczci.’ ‘Wielki dom’ przedstawia Kościół. W Kościele znajdą się zarówno podli, jak i cenni. Sieć zarzucona w morze zagarnia zarówno dobre, jak i złe.” Review and Herald, 5 lutego 1901.</w:t>
      </w:r>
    </w:p>
    <w:p>
      <w:pPr>
        <w:pStyle w:val="ArticleBody"/>
        <w:jc w:val="left"/>
      </w:pPr>
      <w:r>
        <w:rPr>
          <w:rFonts w:ascii="Nirmala UI" w:hAnsi="Nirmala UI" w:eastAsia="Nirmala UI" w:cs="Nirmala UI"/>
        </w:rPr>
        <w:t>യിരെമ്യാവിനോടു</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കല്പിക്കപ്പെട്ടു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മടങ്ങിവരുവാൻ</w:t>
      </w:r>
      <w:r>
        <w:rPr>
          <w:rFonts w:ascii="Times New Roman" w:hAnsi="Times New Roman" w:eastAsia="Times New Roman" w:cs="Times New Roman"/>
        </w:rPr>
        <w:t xml:space="preserve"> </w:t>
      </w:r>
      <w:r>
        <w:rPr>
          <w:rFonts w:ascii="Nirmala UI" w:hAnsi="Nirmala UI" w:eastAsia="Nirmala UI" w:cs="Nirmala UI"/>
        </w:rPr>
        <w:t>ഇടയാകേണ്ടതിന്നു</w:t>
      </w:r>
      <w:r>
        <w:rPr>
          <w:rFonts w:ascii="Times New Roman" w:hAnsi="Times New Roman" w:eastAsia="Times New Roman" w:cs="Times New Roman"/>
        </w:rPr>
        <w:t xml:space="preserve">, </w:t>
      </w:r>
      <w:r>
        <w:rPr>
          <w:rFonts w:ascii="Nirmala UI" w:hAnsi="Nirmala UI" w:eastAsia="Nirmala UI" w:cs="Nirmala UI"/>
        </w:rPr>
        <w:t>മൂഢകന്യകമാരിൽ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വേർപെടേണ്ടതുണ്ടായിരുന്നു</w:t>
      </w:r>
      <w:r>
        <w:rPr>
          <w:rFonts w:ascii="Times New Roman" w:hAnsi="Times New Roman" w:eastAsia="Times New Roman" w:cs="Times New Roman"/>
        </w:rPr>
        <w:t xml:space="preserve">; </w:t>
      </w:r>
      <w:r>
        <w:rPr>
          <w:rFonts w:ascii="Nirmala UI" w:hAnsi="Nirmala UI" w:eastAsia="Nirmala UI" w:cs="Nirmala UI"/>
        </w:rPr>
        <w:t>മാത്രമല്ല</w:t>
      </w:r>
      <w:r>
        <w:rPr>
          <w:rFonts w:ascii="Times New Roman" w:hAnsi="Times New Roman" w:eastAsia="Times New Roman" w:cs="Times New Roman"/>
        </w:rPr>
        <w:t xml:space="preserve">, </w:t>
      </w:r>
      <w:r>
        <w:rPr>
          <w:rFonts w:ascii="Nirmala UI" w:hAnsi="Nirmala UI" w:eastAsia="Nirmala UI" w:cs="Nirmala UI"/>
        </w:rPr>
        <w:t>മൂഢകന്യകമാരുടെ</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ഉപദേശങ്ങളിൽ</w:t>
      </w:r>
      <w:r>
        <w:rPr>
          <w:rFonts w:ascii="Times New Roman" w:hAnsi="Times New Roman" w:eastAsia="Times New Roman" w:cs="Times New Roman"/>
        </w:rPr>
        <w:t xml:space="preserve"> </w:t>
      </w:r>
      <w:r>
        <w:rPr>
          <w:rFonts w:ascii="Nirmala UI" w:hAnsi="Nirmala UI" w:eastAsia="Nirmala UI" w:cs="Nirmala UI"/>
        </w:rPr>
        <w:t>നിന്നുമവൻ</w:t>
      </w:r>
      <w:r>
        <w:rPr>
          <w:rFonts w:ascii="Times New Roman" w:hAnsi="Times New Roman" w:eastAsia="Times New Roman" w:cs="Times New Roman"/>
        </w:rPr>
        <w:t xml:space="preserve"> </w:t>
      </w:r>
      <w:r>
        <w:rPr>
          <w:rFonts w:ascii="Nirmala UI" w:hAnsi="Nirmala UI" w:eastAsia="Nirmala UI" w:cs="Nirmala UI"/>
        </w:rPr>
        <w:t>വേർപെടേണ്ടതുണ്ടായിരുന്നു</w:t>
      </w:r>
      <w:r>
        <w:rPr>
          <w:rFonts w:ascii="Times New Roman" w:hAnsi="Times New Roman" w:eastAsia="Times New Roman" w:cs="Times New Roman"/>
        </w:rPr>
        <w:t xml:space="preserve">. </w:t>
      </w:r>
      <w:r>
        <w:rPr>
          <w:rFonts w:ascii="Nirmala UI" w:hAnsi="Nirmala UI" w:eastAsia="Nirmala UI" w:cs="Nirmala UI"/>
        </w:rPr>
        <w:t>നൂറ്റിനാല്പത്തിനാലായിരം</w:t>
      </w:r>
      <w:r>
        <w:rPr>
          <w:rFonts w:ascii="Times New Roman" w:hAnsi="Times New Roman" w:eastAsia="Times New Roman" w:cs="Times New Roman"/>
        </w:rPr>
        <w:t xml:space="preserve"> </w:t>
      </w:r>
      <w:r>
        <w:rPr>
          <w:rFonts w:ascii="Nirmala UI" w:hAnsi="Nirmala UI" w:eastAsia="Nirmala UI" w:cs="Nirmala UI"/>
        </w:rPr>
        <w:t>പേർ</w:t>
      </w:r>
      <w:r>
        <w:rPr>
          <w:rFonts w:ascii="Times New Roman" w:hAnsi="Times New Roman" w:eastAsia="Times New Roman" w:cs="Times New Roman"/>
        </w:rPr>
        <w:t xml:space="preserve"> </w:t>
      </w:r>
      <w:r>
        <w:rPr>
          <w:rFonts w:ascii="Nirmala UI" w:hAnsi="Nirmala UI" w:eastAsia="Nirmala UI" w:cs="Nirmala UI"/>
        </w:rPr>
        <w:t>സമ്പൂർണ്ണ</w:t>
      </w:r>
      <w:r>
        <w:rPr>
          <w:rFonts w:ascii="Times New Roman" w:hAnsi="Times New Roman" w:eastAsia="Times New Roman" w:cs="Times New Roman"/>
        </w:rPr>
        <w:t xml:space="preserve"> </w:t>
      </w:r>
      <w:r>
        <w:rPr>
          <w:rFonts w:ascii="Nirmala UI" w:hAnsi="Nirmala UI" w:eastAsia="Nirmala UI" w:cs="Nirmala UI"/>
        </w:rPr>
        <w:t>ഐക്യത്തിലേക്കു</w:t>
      </w:r>
      <w:r>
        <w:rPr>
          <w:rFonts w:ascii="Times New Roman" w:hAnsi="Times New Roman" w:eastAsia="Times New Roman" w:cs="Times New Roman"/>
        </w:rPr>
        <w:t xml:space="preserve"> </w:t>
      </w:r>
      <w:r>
        <w:rPr>
          <w:rFonts w:ascii="Nirmala UI" w:hAnsi="Nirmala UI" w:eastAsia="Nirmala UI" w:cs="Nirmala UI"/>
        </w:rPr>
        <w:t>പ്രവേശിക്കുന്നവരാണ്</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സംസാരിക്കുമ്പോൾ</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വായായി</w:t>
      </w:r>
      <w:r>
        <w:rPr>
          <w:rFonts w:ascii="Times New Roman" w:hAnsi="Times New Roman" w:eastAsia="Times New Roman" w:cs="Times New Roman"/>
        </w:rPr>
        <w:t xml:space="preserve">” </w:t>
      </w:r>
      <w:r>
        <w:rPr>
          <w:rFonts w:ascii="Nirmala UI" w:hAnsi="Nirmala UI" w:eastAsia="Nirmala UI" w:cs="Nirmala UI"/>
        </w:rPr>
        <w:t>ഇരിക്കേണ്ടവരായി</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കാറ്റുകളെക്കുറിച്ചുള്ള</w:t>
      </w:r>
      <w:r>
        <w:rPr>
          <w:rFonts w:ascii="Times New Roman" w:hAnsi="Times New Roman" w:eastAsia="Times New Roman" w:cs="Times New Roman"/>
        </w:rPr>
        <w:t xml:space="preserve"> </w:t>
      </w:r>
      <w:r>
        <w:rPr>
          <w:rFonts w:ascii="Nirmala UI" w:hAnsi="Nirmala UI" w:eastAsia="Nirmala UI" w:cs="Nirmala UI"/>
        </w:rPr>
        <w:t>യെഹെസ്കേലിന്റെ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സന്ദേശത്താൽ</w:t>
      </w:r>
      <w:r>
        <w:rPr>
          <w:rFonts w:ascii="Times New Roman" w:hAnsi="Times New Roman" w:eastAsia="Times New Roman" w:cs="Times New Roman"/>
        </w:rPr>
        <w:t xml:space="preserve"> </w:t>
      </w:r>
      <w:r>
        <w:rPr>
          <w:rFonts w:ascii="Nirmala UI" w:hAnsi="Nirmala UI" w:eastAsia="Nirmala UI" w:cs="Nirmala UI"/>
        </w:rPr>
        <w:t>മുദ്രയിടപ്പെടുവാൻ</w:t>
      </w:r>
      <w:r>
        <w:rPr>
          <w:rFonts w:ascii="Times New Roman" w:hAnsi="Times New Roman" w:eastAsia="Times New Roman" w:cs="Times New Roman"/>
        </w:rPr>
        <w:t xml:space="preserve"> </w:t>
      </w:r>
      <w:r>
        <w:rPr>
          <w:rFonts w:ascii="Nirmala UI" w:hAnsi="Nirmala UI" w:eastAsia="Nirmala UI" w:cs="Nirmala UI"/>
        </w:rPr>
        <w:t>വിളിക്കപ്പെട്ടവർ</w:t>
      </w:r>
      <w:r>
        <w:rPr>
          <w:rFonts w:ascii="Times New Roman" w:hAnsi="Times New Roman" w:eastAsia="Times New Roman" w:cs="Times New Roman"/>
        </w:rPr>
        <w:t xml:space="preserve"> </w:t>
      </w:r>
      <w:r>
        <w:rPr>
          <w:rFonts w:ascii="Nirmala UI" w:hAnsi="Nirmala UI" w:eastAsia="Nirmala UI" w:cs="Nirmala UI"/>
        </w:rPr>
        <w:t>നിർവഹിക്കേണ്ട</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എന്തെന്നതു</w:t>
      </w:r>
      <w:r>
        <w:rPr>
          <w:rFonts w:ascii="Times New Roman" w:hAnsi="Times New Roman" w:eastAsia="Times New Roman" w:cs="Times New Roman"/>
        </w:rPr>
        <w:t xml:space="preserve"> </w:t>
      </w:r>
      <w:r>
        <w:rPr>
          <w:rFonts w:ascii="Nirmala UI" w:hAnsi="Nirmala UI" w:eastAsia="Nirmala UI" w:cs="Nirmala UI"/>
        </w:rPr>
        <w:t>യിരെമ്യാവു</w:t>
      </w:r>
      <w:r>
        <w:rPr>
          <w:rFonts w:ascii="Times New Roman" w:hAnsi="Times New Roman" w:eastAsia="Times New Roman" w:cs="Times New Roman"/>
        </w:rPr>
        <w:t xml:space="preserve"> </w:t>
      </w:r>
      <w:r>
        <w:rPr>
          <w:rFonts w:ascii="Nirmala UI" w:hAnsi="Nirmala UI" w:eastAsia="Nirmala UI" w:cs="Nirmala UI"/>
        </w:rPr>
        <w:t>പ്രതിനിധീകരിച്ചുകൊണ്ടിരിക്കുന്നു</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വന്നെത്തിയപ്പോൾ</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സംസാരിച്ചു</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സംസാരിക്കുമ്പോഴും</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കഷ്ടതയുടെ</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വന്നെത്തുമ്പോഴും</w:t>
      </w:r>
      <w:r>
        <w:rPr>
          <w:rFonts w:ascii="Times New Roman" w:hAnsi="Times New Roman" w:eastAsia="Times New Roman" w:cs="Times New Roman"/>
        </w:rPr>
        <w:t xml:space="preserve"> </w:t>
      </w:r>
      <w:r>
        <w:rPr>
          <w:rFonts w:ascii="Nirmala UI" w:hAnsi="Nirmala UI" w:eastAsia="Nirmala UI" w:cs="Nirmala UI"/>
        </w:rPr>
        <w:t>നൂറ്റിനാല്പത്തിനാലായിരത്തിന്റെ</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സംസാരിക്കുന്നു</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യിരെമ്യാവിനാൽ</w:t>
      </w:r>
      <w:r>
        <w:rPr>
          <w:rFonts w:ascii="Times New Roman" w:hAnsi="Times New Roman" w:eastAsia="Times New Roman" w:cs="Times New Roman"/>
        </w:rPr>
        <w:t xml:space="preserve"> </w:t>
      </w:r>
      <w:r>
        <w:rPr>
          <w:rFonts w:ascii="Nirmala UI" w:hAnsi="Nirmala UI" w:eastAsia="Nirmala UI" w:cs="Nirmala UI"/>
        </w:rPr>
        <w:t>തിരിച്ചറിയപ്പെട്ടിരിക്കുന്ന</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നിർവഹിച്ചവർ</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കാവൽക്കാരായി</w:t>
      </w:r>
      <w:r>
        <w:rPr>
          <w:rFonts w:ascii="Times New Roman" w:hAnsi="Times New Roman" w:eastAsia="Times New Roman" w:cs="Times New Roman"/>
        </w:rPr>
        <w:t xml:space="preserve"> </w:t>
      </w:r>
      <w:r>
        <w:rPr>
          <w:rFonts w:ascii="Nirmala UI" w:hAnsi="Nirmala UI" w:eastAsia="Nirmala UI" w:cs="Nirmala UI"/>
        </w:rPr>
        <w:t>ഉയർത്തപ്പെടുന്നു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Lorsque le Seigneur envoie le Consolateur pour réveiller les déçus de leur mort, Il désigne une œuvre de purification qu’ils doivent accomplir s’ils veulent être Ses porte-parole dans la crise de la loi du dimanche. Ésaïe s’accorde avec le conseil de Jérémie.</w:t>
      </w:r>
    </w:p>
    <w:p>
      <w:pPr>
        <w:pStyle w:val="ArticleScripture"/>
        <w:jc w:val="left"/>
      </w:pPr>
      <w:r>
        <w:rPr>
          <w:rFonts w:ascii="Times New Roman" w:hAnsi="Times New Roman" w:eastAsia="Times New Roman" w:cs="Times New Roman"/>
        </w:rPr>
        <w:t>A ta yaya suke da kyau a kan duwatsu ƙafafun mai kawo labarai masu daɗi, mai shelar salama; mai kawo labarai masu daɗi na alheri, mai shelar ceto; mai cewa wa Sihiyona, Allahnki yana mulki! Masu gadinki za su ɗaga murya; da murya ɗaya za su raira waƙa: gama za su gani ido da ido, sa’ad da Ubangiji zai komo da Sihiyona. Ku ɓarke da farin ciki, ku raira waƙa tare, ya kufaifan wuraren Urushalima: gama Ubangiji ya ta’azantar da mutanensa, ya fanshi Urushalima. Ishaya 52:7–9.</w:t>
      </w:r>
    </w:p>
    <w:p>
      <w:pPr>
        <w:pStyle w:val="ArticleBody"/>
        <w:jc w:val="left"/>
      </w:pPr>
      <w:r>
        <w:rPr>
          <w:rFonts w:ascii="Times New Roman" w:hAnsi="Times New Roman" w:eastAsia="Times New Roman" w:cs="Times New Roman"/>
        </w:rPr>
        <w:t>Wale “wa leta habari njema” na wanao “itangaza amani na wokovu” huinua “sauti zao pamoja,” kwa maana “wataona uso kwa uso.”</w:t>
      </w:r>
    </w:p>
    <w:p>
      <w:pPr>
        <w:pStyle w:val="ArticleScripture"/>
        <w:jc w:val="left"/>
      </w:pPr>
      <w:r>
        <w:rPr>
          <w:rFonts w:ascii="Times New Roman" w:hAnsi="Times New Roman" w:eastAsia="Times New Roman" w:cs="Times New Roman"/>
        </w:rPr>
        <w:t>“Ɔfoforo kakra nso wɔdaa wɔn adi kyerɛɛ me sɛ wɔde wɔn tumi ne wɔn nkɛntɛnso reyɛ baako ne wɔn a maka wɔn ho asɛm no, na wɔn nyinaa boom yɛ nea wobetumi biara de twe afoforo afi nipadua no ho na wɔde basabasa ba; na wɔn nkɛntɛnso de Onyankopɔn nokware no ba animtiaabu mu. Yesu ne abɔfo kronkron no de Onyankopɔn nkurɔfo reba soro na wɔde wɔn reyɛ baako wɔ gyidi koro mu, sɛnea wɔn nyinaa benya adwene koro ne atemmu koro. Na bere a wɔde wɔn reba gyidi no mu nkabom no, na wɔahu adekɛse, aniberesɛm nokware ahorow a ɛfa saa bere yi ho no pɛpɛɛpɛ, Satan reyɛ adwuma de si wɔn nkɔso ano. Yesu nam N’akadeɛfo so reyɛ adwuma de rebɛboaboa ano na waka abom. Satan nso nam n’akadeɛfo so yɛ adwuma de petepete mu na ɛkyekyɛ mu. ‘Na hwɛ, mɛhyɛ mmara, na mayiyi Israel fi nnaman nyinaa mu, sɛnea wɔyiyi atoko mu wɔ kye mu no; nanso aba ketewa biara renhwe ase wɔ asase so.’”</w:t>
      </w:r>
    </w:p>
    <w:p>
      <w:pPr>
        <w:pStyle w:val="ArticleScripture"/>
        <w:jc w:val="left"/>
      </w:pPr>
      <w:r>
        <w:rPr>
          <w:rFonts w:ascii="Times New Roman" w:hAnsi="Times New Roman" w:eastAsia="Times New Roman" w:cs="Times New Roman"/>
        </w:rPr>
        <w:t>«Քանի որ Աստուած այժմ քննում և փորձում է Իր ժողովրդին։ Բնաւորութիւնը մշակւում է։ Հրեշտակները կշռում են բարոյական արժէքը և հաւատարիմ կերպով արձանագրում մարդկանց որդիների բոլոր արարքները։ Աստծու դաւանեալ ժողովրդի մէջ ապականուած սրտեր կան, սակայն նրանք պիտի քննուեն և փորձուեն։ Այն Աստուածը, որ կարդում է ամէն մարդու սիրտը, յայտնի պիտի դարձնի խաւարի ծածուկ բաները այնտեղ, ուր դրանք յաճախ ամենաքիչն են կասկածւում, որպէսզի այն գայթակղութեան քարերը, որոնք խոչընդոտել են ճշմարտութեան առաջընթացին, վերացուեն, և Աստուած ունենայ մաքուր ու սուրբ ժողովուրդ՝ Իր կանոններն ու դատաստանները հռչակելու համար։»</w:t>
      </w:r>
    </w:p>
    <w:p>
      <w:pPr>
        <w:pStyle w:val="ArticleScripture"/>
        <w:jc w:val="left"/>
      </w:pPr>
      <w:r>
        <w:rPr>
          <w:rFonts w:ascii="Times New Roman" w:hAnsi="Times New Roman" w:eastAsia="Times New Roman" w:cs="Times New Roman"/>
        </w:rPr>
        <w:t>„Lederen for vår frelse fører sitt folk frem skritt for skritt, renser og gjør dem skikket til forvandlingen, og lar dem bli tilbake som er tilbøyelige til å trekke seg bort fra legemet, som ikke er villige til å bli ledet, og som er fornøyde med sin egen rettferdighet. ‘Hvis derfor lyset i deg er mørke, hvor stort er da ikke mørket!’ Ingen større villfarelse kan bedra menneskesinnet enn den som får mennesker til å nære en selvsikker ånd, til å tro at de har rett og er i lyset, mens de trekker seg bort fra Guds folk, og deres kjære lys er mørke.“ Testimonies, bind 1, 332, 333.</w:t>
      </w:r>
    </w:p>
    <w:p>
      <w:pPr>
        <w:pStyle w:val="ArticleBody"/>
        <w:jc w:val="left"/>
      </w:pPr>
      <w:r>
        <w:rPr>
          <w:rFonts w:ascii="Nirmala UI" w:hAnsi="Nirmala UI" w:eastAsia="Nirmala UI" w:cs="Nirmala UI"/>
        </w:rPr>
        <w:t>ഈശയ്യാവിന്റെ</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സദ്വാർത്ത</w:t>
      </w:r>
      <w:r>
        <w:rPr>
          <w:rFonts w:ascii="Times New Roman" w:hAnsi="Times New Roman" w:eastAsia="Times New Roman" w:cs="Times New Roman"/>
        </w:rPr>
        <w:t xml:space="preserve"> </w:t>
      </w:r>
      <w:r>
        <w:rPr>
          <w:rFonts w:ascii="Nirmala UI" w:hAnsi="Nirmala UI" w:eastAsia="Nirmala UI" w:cs="Nirmala UI"/>
        </w:rPr>
        <w:t>അറിയിക്കുന്നവൻ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പ്രയോഗം</w:t>
      </w:r>
      <w:r>
        <w:rPr>
          <w:rFonts w:ascii="Times New Roman" w:hAnsi="Times New Roman" w:eastAsia="Times New Roman" w:cs="Times New Roman"/>
        </w:rPr>
        <w:t xml:space="preserve"> </w:t>
      </w:r>
      <w:r>
        <w:rPr>
          <w:rFonts w:ascii="Nirmala UI" w:hAnsi="Nirmala UI" w:eastAsia="Nirmala UI" w:cs="Nirmala UI"/>
        </w:rPr>
        <w:t>രണ്ടുതവണ</w:t>
      </w:r>
      <w:r>
        <w:rPr>
          <w:rFonts w:ascii="Times New Roman" w:hAnsi="Times New Roman" w:eastAsia="Times New Roman" w:cs="Times New Roman"/>
        </w:rPr>
        <w:t xml:space="preserve"> </w:t>
      </w:r>
      <w:r>
        <w:rPr>
          <w:rFonts w:ascii="Nirmala UI" w:hAnsi="Nirmala UI" w:eastAsia="Nirmala UI" w:cs="Nirmala UI"/>
        </w:rPr>
        <w:t>ആവർത്തിക്കപ്പെടുന്നു</w:t>
      </w:r>
      <w:r>
        <w:rPr>
          <w:rFonts w:ascii="Times New Roman" w:hAnsi="Times New Roman" w:eastAsia="Times New Roman" w:cs="Times New Roman"/>
        </w:rPr>
        <w:t xml:space="preserve">; </w:t>
      </w:r>
      <w:r>
        <w:rPr>
          <w:rFonts w:ascii="Nirmala UI" w:hAnsi="Nirmala UI" w:eastAsia="Nirmala UI" w:cs="Nirmala UI"/>
        </w:rPr>
        <w:t>അതുവഴി</w:t>
      </w:r>
      <w:r>
        <w:rPr>
          <w:rFonts w:ascii="Times New Roman" w:hAnsi="Times New Roman" w:eastAsia="Times New Roman" w:cs="Times New Roman"/>
        </w:rPr>
        <w:t xml:space="preserve"> </w:t>
      </w:r>
      <w:r>
        <w:rPr>
          <w:rFonts w:ascii="Nirmala UI" w:hAnsi="Nirmala UI" w:eastAsia="Nirmala UI" w:cs="Nirmala UI"/>
        </w:rPr>
        <w:t>മദ്ധ്യരാത്രിയിലെ</w:t>
      </w:r>
      <w:r>
        <w:rPr>
          <w:rFonts w:ascii="Times New Roman" w:hAnsi="Times New Roman" w:eastAsia="Times New Roman" w:cs="Times New Roman"/>
        </w:rPr>
        <w:t xml:space="preserve"> </w:t>
      </w:r>
      <w:r>
        <w:rPr>
          <w:rFonts w:ascii="Nirmala UI" w:hAnsi="Nirmala UI" w:eastAsia="Nirmala UI" w:cs="Nirmala UI"/>
        </w:rPr>
        <w:t>നിലവിളിയുടെ</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നിഷ്</w:t>
      </w:r>
      <w:r>
        <w:rPr>
          <w:rFonts w:ascii="Times New Roman" w:hAnsi="Times New Roman" w:eastAsia="Times New Roman" w:cs="Times New Roman"/>
        </w:rPr>
        <w:t>‌</w:t>
      </w:r>
      <w:r>
        <w:rPr>
          <w:rFonts w:ascii="Nirmala UI" w:hAnsi="Nirmala UI" w:eastAsia="Nirmala UI" w:cs="Nirmala UI"/>
        </w:rPr>
        <w:t>പ്രയോജനത്തിൽ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വിലയേറിയത്</w:t>
      </w:r>
      <w:r>
        <w:rPr>
          <w:rFonts w:ascii="Times New Roman" w:hAnsi="Times New Roman" w:eastAsia="Times New Roman" w:cs="Times New Roman"/>
        </w:rPr>
        <w:t xml:space="preserve"> </w:t>
      </w:r>
      <w:r>
        <w:rPr>
          <w:rFonts w:ascii="Nirmala UI" w:hAnsi="Nirmala UI" w:eastAsia="Nirmala UI" w:cs="Nirmala UI"/>
        </w:rPr>
        <w:t>വേർതിരിക്കപ്പെടുമ്പോൾ</w:t>
      </w:r>
      <w:r>
        <w:rPr>
          <w:rFonts w:ascii="Times New Roman" w:hAnsi="Times New Roman" w:eastAsia="Times New Roman" w:cs="Times New Roman"/>
        </w:rPr>
        <w:t xml:space="preserve"> </w:t>
      </w:r>
      <w:r>
        <w:rPr>
          <w:rFonts w:ascii="Nirmala UI" w:hAnsi="Nirmala UI" w:eastAsia="Nirmala UI" w:cs="Nirmala UI"/>
        </w:rPr>
        <w:t>സാഫല്യപ്രാപിക്കുന്ന</w:t>
      </w:r>
      <w:r>
        <w:rPr>
          <w:rFonts w:ascii="Times New Roman" w:hAnsi="Times New Roman" w:eastAsia="Times New Roman" w:cs="Times New Roman"/>
        </w:rPr>
        <w:t xml:space="preserve"> </w:t>
      </w:r>
      <w:r>
        <w:rPr>
          <w:rFonts w:ascii="Nirmala UI" w:hAnsi="Nirmala UI" w:eastAsia="Nirmala UI" w:cs="Nirmala UI"/>
        </w:rPr>
        <w:t>ഐക്യത്തെ</w:t>
      </w:r>
      <w:r>
        <w:rPr>
          <w:rFonts w:ascii="Times New Roman" w:hAnsi="Times New Roman" w:eastAsia="Times New Roman" w:cs="Times New Roman"/>
        </w:rPr>
        <w:t xml:space="preserve"> </w:t>
      </w:r>
      <w:r>
        <w:rPr>
          <w:rFonts w:ascii="Nirmala UI" w:hAnsi="Nirmala UI" w:eastAsia="Nirmala UI" w:cs="Nirmala UI"/>
        </w:rPr>
        <w:t>ഈശയ്യാവ്</w:t>
      </w:r>
      <w:r>
        <w:rPr>
          <w:rFonts w:ascii="Times New Roman" w:hAnsi="Times New Roman" w:eastAsia="Times New Roman" w:cs="Times New Roman"/>
        </w:rPr>
        <w:t xml:space="preserve"> </w:t>
      </w:r>
      <w:r>
        <w:rPr>
          <w:rFonts w:ascii="Nirmala UI" w:hAnsi="Nirmala UI" w:eastAsia="Nirmala UI" w:cs="Nirmala UI"/>
        </w:rPr>
        <w:t>വിവരണം</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വാക്യങ്ങൾക്ക്</w:t>
      </w:r>
      <w:r>
        <w:rPr>
          <w:rFonts w:ascii="Times New Roman" w:hAnsi="Times New Roman" w:eastAsia="Times New Roman" w:cs="Times New Roman"/>
        </w:rPr>
        <w:t xml:space="preserve"> </w:t>
      </w:r>
      <w:r>
        <w:rPr>
          <w:rFonts w:ascii="Nirmala UI" w:hAnsi="Nirmala UI" w:eastAsia="Nirmala UI" w:cs="Nirmala UI"/>
        </w:rPr>
        <w:t>മുമ്പിലുള്ള</w:t>
      </w:r>
      <w:r>
        <w:rPr>
          <w:rFonts w:ascii="Times New Roman" w:hAnsi="Times New Roman" w:eastAsia="Times New Roman" w:cs="Times New Roman"/>
        </w:rPr>
        <w:t xml:space="preserve"> </w:t>
      </w:r>
      <w:r>
        <w:rPr>
          <w:rFonts w:ascii="Nirmala UI" w:hAnsi="Nirmala UI" w:eastAsia="Nirmala UI" w:cs="Nirmala UI"/>
        </w:rPr>
        <w:t>വാക്യങ്ങളും</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Réveille-toi, réveille-toi; revêts ta force, ô Sion; revêts tes plus beaux vêtements, ô Jérusalem, ville sainte; car désormais l’incirconcis et l’impur n’entreront plus chez toi. Secoue la poussière; lève-toi, et assieds-toi, ô Jérusalem; détache les liens de ton cou, ô fille captive de Sion. Ésaïe 52:1, 2.</w:t>
      </w:r>
    </w:p>
    <w:p>
      <w:pPr>
        <w:pStyle w:val="ArticleBody"/>
        <w:jc w:val="left"/>
      </w:pPr>
      <w:r>
        <w:rPr>
          <w:rFonts w:ascii="Nirmala UI" w:hAnsi="Nirmala UI" w:eastAsia="Nirmala UI" w:cs="Nirmala UI"/>
        </w:rPr>
        <w:t>जेरमायाह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व्यक्तियों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खतनारहित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Nous approchons rapidement de la fin de l’histoire de cette terre. La fin est tout près, bien plus près que beaucoup ne le supposent, et je me sens pressée d’insister auprès de notre peuple sur la nécessité de rechercher ardemment le Seigneur. Beaucoup sont endormis, et que peut-on dire pour les tirer de leur sommeil charnel ? Le Seigneur veut que son Église soit purifiée, avant que ses jugements ne s’abattent plus manifestement sur le monde. »</w:t>
      </w:r>
    </w:p>
    <w:p>
      <w:pPr>
        <w:pStyle w:val="ArticleScripture"/>
        <w:jc w:val="left"/>
      </w:pPr>
      <w:r>
        <w:rPr>
          <w:rFonts w:ascii="Times New Roman" w:hAnsi="Times New Roman" w:eastAsia="Times New Roman" w:cs="Times New Roman"/>
        </w:rPr>
        <w:t>“‘Nani awezaye kustahimili siku ya kuja kwake? naye ni nani atakayesimama atakapoonekana? kwa maana yeye ni kama moto wa mtakasaji, na kama sabuni ya mfuliaji nguo; naye ataketi kama mtakasaji na msafishaji wa fedha; naye atawatakasa wana wa Lawi, na kuwasafisha kama dhahabu na fedha, ili wamtolee Bwana sadaka katika haki.’</w:t>
      </w:r>
    </w:p>
    <w:p>
      <w:pPr>
        <w:pStyle w:val="ArticleScripture"/>
        <w:jc w:val="left"/>
      </w:pPr>
      <w:r>
        <w:rPr>
          <w:rFonts w:ascii="Times New Roman" w:hAnsi="Times New Roman" w:eastAsia="Times New Roman" w:cs="Times New Roman"/>
        </w:rPr>
        <w:t>«Քրիստոսը կհեռացնի ամեն մի ցուցամոլ քողը։ Ճշմարիտի և կեղծիքի ոչ մի խառնուրդ չի կարող խաբել Նրան։ «Նա նման է զտողի կրակին», որը բաժանում է թանկագինը պիղծից, խարամը՝ ոսկուց։»</w:t>
      </w:r>
    </w:p>
    <w:p>
      <w:pPr>
        <w:pStyle w:val="ArticleScripture"/>
        <w:jc w:val="left"/>
      </w:pPr>
      <w:r>
        <w:rPr>
          <w:rFonts w:ascii="Times New Roman" w:hAnsi="Times New Roman" w:eastAsia="Times New Roman" w:cs="Times New Roman"/>
        </w:rPr>
        <w:t>“Comme les Lévites, le peuple élu de Dieu est mis à part par lui pour son œuvre particulière. Tout véritable chrétien porte les titres du sacerdoce. Il est honoré de la responsabilité sacrée de représenter au monde le caractère de son Père céleste. Il doit prêter une attentive obéissance à ces paroles : « Soyez donc parfaits, comme votre Père qui est dans les cieux est parfait. »</w:t>
      </w:r>
    </w:p>
    <w:p>
      <w:pPr>
        <w:pStyle w:val="ArticleScripture"/>
        <w:jc w:val="left"/>
      </w:pPr>
      <w:r>
        <w:rPr>
          <w:rFonts w:ascii="Times New Roman" w:hAnsi="Times New Roman" w:eastAsia="Times New Roman" w:cs="Times New Roman"/>
        </w:rPr>
        <w:t>« Mais pour vous qui craignez mon nom, le Soleil de justice se lèvera, et la guérison sera sous ses ailes ; vous sortirez, et vous bondirez comme les veaux d’une étable. Et vous foulerez les méchants, car ils seront comme de la cendre sous la plante de vos pieds, au jour où j’accomplirai cela, dit l’Éternel des armées. »</w:t>
      </w:r>
    </w:p>
    <w:p>
      <w:pPr>
        <w:pStyle w:val="ArticleScripture"/>
        <w:jc w:val="left"/>
      </w:pPr>
      <w:r>
        <w:rPr>
          <w:rFonts w:ascii="Times New Roman" w:hAnsi="Times New Roman" w:eastAsia="Times New Roman" w:cs="Times New Roman"/>
        </w:rPr>
        <w:t>“‘Souvenez-vous de la loi de Moïse, mon serviteur, à qui, en Horeb, j’ai prescrit pour tout Israël des statuts et des ordonnances. Voici, je vous enverrai Élie, le prophète, avant la venue du jour grand et redoutable de l’Éternel. Il ramènera le cœur des pères vers les enfants, et le cœur des enfants vers leurs pères, de peur que je ne vienne frapper le pays d’interdit.’” Review and Herald, 8 novembre 1906.</w:t>
      </w:r>
    </w:p>
    <w:p>
      <w:pPr>
        <w:pStyle w:val="ArticleBody"/>
        <w:jc w:val="left"/>
      </w:pPr>
      <w:r>
        <w:rPr>
          <w:rFonts w:ascii="Times New Roman" w:hAnsi="Times New Roman" w:eastAsia="Times New Roman" w:cs="Times New Roman"/>
        </w:rPr>
        <w:t>Les tenants de fausses doctrines seront séparés dans l’histoire qui commence avec la « voix » qui crie dans le désert. Ceux qui refusent de permettre à la puissance créatrice de Dieu de produire une expérience personnelle sanctifiée seront séparés de « l’or » dans l’histoire qui commence avec la « voix » qui crie dans le désert. Ils demeureront des Laodicéens, précisément au point où Laodicée passe en Philadelphie.</w:t>
      </w:r>
    </w:p>
    <w:p>
      <w:pPr>
        <w:pStyle w:val="ArticleBody"/>
        <w:jc w:val="left"/>
      </w:pPr>
      <w:r>
        <w:rPr>
          <w:rFonts w:ascii="Times New Roman" w:hAnsi="Times New Roman" w:eastAsia="Times New Roman" w:cs="Times New Roman"/>
        </w:rPr>
        <w:t>L’ouvrage qui consiste à séparer ce qui est précieux de ce qui est vil est presque entièrement l’œuvre du messager de l’alliance, qui vient soudainement pour purifier les fils de Lévi, mais nous devons y participer.</w:t>
      </w:r>
    </w:p>
    <w:p>
      <w:pPr>
        <w:pStyle w:val="ArticleScripture"/>
        <w:jc w:val="left"/>
      </w:pPr>
      <w:r>
        <w:rPr>
          <w:rFonts w:ascii="Times New Roman" w:hAnsi="Times New Roman" w:eastAsia="Times New Roman" w:cs="Times New Roman"/>
        </w:rPr>
        <w:t>Por lo tanto, amados míos, así como siempre habéis obedecido, no sólo como en mi presencia, sino mucho más ahora en mi ausencia, ocupaos en vuestra salvación con temor y temblor. Porque Dios es el que en vosotros produce así el querer como el hacer, por su buena voluntad. Haced todo sin murmuraciones ni contiendas, para que seáis irreprensibles y sencillos, hijos de Dios sin mancha, en medio de una generación torcida y perversa, entre la cual resplandecéis como luminares en el mundo. Filipenses 2:12–15.</w:t>
      </w:r>
    </w:p>
    <w:p>
      <w:pPr>
        <w:pStyle w:val="ArticleBody"/>
        <w:jc w:val="left"/>
      </w:pPr>
      <w:r>
        <w:rPr>
          <w:rFonts w:ascii="Times New Roman" w:hAnsi="Times New Roman" w:eastAsia="Times New Roman" w:cs="Times New Roman"/>
        </w:rPr>
        <w:t>Jérémie reçut l’ordre de séparer ce qui est précieux de ce qui est vil, s’il désirait être le porte-parole de Dieu dans le jugement à venir. Le fait que Jérémie entendait le conseil que Dieu lui adressait démontrait que la présence du Consolateur était déjà à sa disposition, s’il choisissait d’entreprendre cette œuvre.</w:t>
      </w:r>
    </w:p>
    <w:p>
      <w:pPr>
        <w:pStyle w:val="ArticleScripture"/>
        <w:jc w:val="left"/>
      </w:pPr>
      <w:r>
        <w:rPr>
          <w:rFonts w:ascii="Nirmala UI" w:hAnsi="Nirmala UI" w:eastAsia="Nirmala UI" w:cs="Nirmala UI"/>
        </w:rPr>
        <w:t>ಸಾಲ್ವೇಶನ್</w:t>
      </w:r>
      <w:r>
        <w:rPr>
          <w:rFonts w:ascii="Times New Roman" w:hAnsi="Times New Roman" w:eastAsia="Times New Roman" w:cs="Times New Roman"/>
        </w:rPr>
        <w:t xml:space="preserve">‌ </w:t>
      </w:r>
      <w:r>
        <w:rPr>
          <w:rFonts w:ascii="Nirmala UI" w:hAnsi="Nirmala UI" w:eastAsia="Nirmala UI" w:cs="Nirmala UI"/>
        </w:rPr>
        <w:t>ಅನ್ನು</w:t>
      </w:r>
      <w:r>
        <w:rPr>
          <w:rFonts w:ascii="Times New Roman" w:hAnsi="Times New Roman" w:eastAsia="Times New Roman" w:cs="Times New Roman"/>
        </w:rPr>
        <w:t xml:space="preserve"> </w:t>
      </w:r>
      <w:r>
        <w:rPr>
          <w:rFonts w:ascii="Nirmala UI" w:hAnsi="Nirmala UI" w:eastAsia="Nirmala UI" w:cs="Nirmala UI"/>
        </w:rPr>
        <w:t>ಹೊಂದುವ</w:t>
      </w:r>
      <w:r>
        <w:rPr>
          <w:rFonts w:ascii="Times New Roman" w:hAnsi="Times New Roman" w:eastAsia="Times New Roman" w:cs="Times New Roman"/>
        </w:rPr>
        <w:t xml:space="preserve"> </w:t>
      </w:r>
      <w:r>
        <w:rPr>
          <w:rFonts w:ascii="Nirmala UI" w:hAnsi="Nirmala UI" w:eastAsia="Nirmala UI" w:cs="Nirmala UI"/>
        </w:rPr>
        <w:t>ಕಾರ್ಯವು</w:t>
      </w:r>
      <w:r>
        <w:rPr>
          <w:rFonts w:ascii="Times New Roman" w:hAnsi="Times New Roman" w:eastAsia="Times New Roman" w:cs="Times New Roman"/>
        </w:rPr>
        <w:t xml:space="preserve"> </w:t>
      </w:r>
      <w:r>
        <w:rPr>
          <w:rFonts w:ascii="Nirmala UI" w:hAnsi="Nirmala UI" w:eastAsia="Nirmala UI" w:cs="Nirmala UI"/>
        </w:rPr>
        <w:t>ಸಹಭಾಗಿತ್ವದ</w:t>
      </w:r>
      <w:r>
        <w:rPr>
          <w:rFonts w:ascii="Times New Roman" w:hAnsi="Times New Roman" w:eastAsia="Times New Roman" w:cs="Times New Roman"/>
        </w:rPr>
        <w:t xml:space="preserve"> </w:t>
      </w:r>
      <w:r>
        <w:rPr>
          <w:rFonts w:ascii="Nirmala UI" w:hAnsi="Nirmala UI" w:eastAsia="Nirmala UI" w:cs="Nirmala UI"/>
        </w:rPr>
        <w:t>ಕಾರ್ಯವಾಗಿದ್ದು</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ಕ್ರಿಯೆಯಾಗಿದೆ</w:t>
      </w:r>
      <w:r>
        <w:rPr>
          <w:rFonts w:ascii="Times New Roman" w:hAnsi="Times New Roman" w:eastAsia="Times New Roman" w:cs="Times New Roman"/>
        </w:rPr>
        <w:t xml:space="preserve">. </w:t>
      </w:r>
      <w:r>
        <w:rPr>
          <w:rFonts w:ascii="Nirmala UI" w:hAnsi="Nirmala UI" w:eastAsia="Nirmala UI" w:cs="Nirmala UI"/>
        </w:rPr>
        <w:t>ದೇವರಿಗೂ</w:t>
      </w:r>
      <w:r>
        <w:rPr>
          <w:rFonts w:ascii="Times New Roman" w:hAnsi="Times New Roman" w:eastAsia="Times New Roman" w:cs="Times New Roman"/>
        </w:rPr>
        <w:t xml:space="preserve"> </w:t>
      </w:r>
      <w:r>
        <w:rPr>
          <w:rFonts w:ascii="Nirmala UI" w:hAnsi="Nirmala UI" w:eastAsia="Nirmala UI" w:cs="Nirmala UI"/>
        </w:rPr>
        <w:t>ಪಶ್ಚಾತ್ತಾಪಪಟ್ಟ</w:t>
      </w:r>
      <w:r>
        <w:rPr>
          <w:rFonts w:ascii="Times New Roman" w:hAnsi="Times New Roman" w:eastAsia="Times New Roman" w:cs="Times New Roman"/>
        </w:rPr>
        <w:t xml:space="preserve"> </w:t>
      </w:r>
      <w:r>
        <w:rPr>
          <w:rFonts w:ascii="Nirmala UI" w:hAnsi="Nirmala UI" w:eastAsia="Nirmala UI" w:cs="Nirmala UI"/>
        </w:rPr>
        <w:t>ಪಾಪಿಗೂ</w:t>
      </w:r>
      <w:r>
        <w:rPr>
          <w:rFonts w:ascii="Times New Roman" w:hAnsi="Times New Roman" w:eastAsia="Times New Roman" w:cs="Times New Roman"/>
        </w:rPr>
        <w:t xml:space="preserve"> </w:t>
      </w:r>
      <w:r>
        <w:rPr>
          <w:rFonts w:ascii="Nirmala UI" w:hAnsi="Nirmala UI" w:eastAsia="Nirmala UI" w:cs="Nirmala UI"/>
        </w:rPr>
        <w:t>ಮಧ್ಯೆ</w:t>
      </w:r>
      <w:r>
        <w:rPr>
          <w:rFonts w:ascii="Times New Roman" w:hAnsi="Times New Roman" w:eastAsia="Times New Roman" w:cs="Times New Roman"/>
        </w:rPr>
        <w:t xml:space="preserve"> </w:t>
      </w:r>
      <w:r>
        <w:rPr>
          <w:rFonts w:ascii="Nirmala UI" w:hAnsi="Nirmala UI" w:eastAsia="Nirmala UI" w:cs="Nirmala UI"/>
        </w:rPr>
        <w:t>ಸಹಕಾರ</w:t>
      </w:r>
      <w:r>
        <w:rPr>
          <w:rFonts w:ascii="Times New Roman" w:hAnsi="Times New Roman" w:eastAsia="Times New Roman" w:cs="Times New Roman"/>
        </w:rPr>
        <w:t xml:space="preserve"> </w:t>
      </w:r>
      <w:r>
        <w:rPr>
          <w:rFonts w:ascii="Nirmala UI" w:hAnsi="Nirmala UI" w:eastAsia="Nirmala UI" w:cs="Nirmala UI"/>
        </w:rPr>
        <w:t>ಇರಬೇಕಾಗಿದೆ</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ಸ್ವಭಾವದಲ್ಲಿ</w:t>
      </w:r>
      <w:r>
        <w:rPr>
          <w:rFonts w:ascii="Times New Roman" w:hAnsi="Times New Roman" w:eastAsia="Times New Roman" w:cs="Times New Roman"/>
        </w:rPr>
        <w:t xml:space="preserve"> </w:t>
      </w:r>
      <w:r>
        <w:rPr>
          <w:rFonts w:ascii="Nirmala UI" w:hAnsi="Nirmala UI" w:eastAsia="Nirmala UI" w:cs="Nirmala UI"/>
        </w:rPr>
        <w:t>ಸರಿಯಾದ</w:t>
      </w:r>
      <w:r>
        <w:rPr>
          <w:rFonts w:ascii="Times New Roman" w:hAnsi="Times New Roman" w:eastAsia="Times New Roman" w:cs="Times New Roman"/>
        </w:rPr>
        <w:t xml:space="preserve"> </w:t>
      </w:r>
      <w:r>
        <w:rPr>
          <w:rFonts w:ascii="Nirmala UI" w:hAnsi="Nirmala UI" w:eastAsia="Nirmala UI" w:cs="Nirmala UI"/>
        </w:rPr>
        <w:t>ತತ್ತ್ವಗಳ</w:t>
      </w:r>
      <w:r>
        <w:rPr>
          <w:rFonts w:ascii="Times New Roman" w:hAnsi="Times New Roman" w:eastAsia="Times New Roman" w:cs="Times New Roman"/>
        </w:rPr>
        <w:t xml:space="preserve"> </w:t>
      </w:r>
      <w:r>
        <w:rPr>
          <w:rFonts w:ascii="Nirmala UI" w:hAnsi="Nirmala UI" w:eastAsia="Nirmala UI" w:cs="Nirmala UI"/>
        </w:rPr>
        <w:t>ರೂಪುಗೊಳಿಸುವಿಕೆಗೆ</w:t>
      </w:r>
      <w:r>
        <w:rPr>
          <w:rFonts w:ascii="Times New Roman" w:hAnsi="Times New Roman" w:eastAsia="Times New Roman" w:cs="Times New Roman"/>
        </w:rPr>
        <w:t xml:space="preserve"> </w:t>
      </w:r>
      <w:r>
        <w:rPr>
          <w:rFonts w:ascii="Nirmala UI" w:hAnsi="Nirmala UI" w:eastAsia="Nirmala UI" w:cs="Nirmala UI"/>
        </w:rPr>
        <w:t>ಅಗತ್ಯವಾಗಿದೆ</w:t>
      </w:r>
      <w:r>
        <w:rPr>
          <w:rFonts w:ascii="Times New Roman" w:hAnsi="Times New Roman" w:eastAsia="Times New Roman" w:cs="Times New Roman"/>
        </w:rPr>
        <w:t xml:space="preserve">. </w:t>
      </w:r>
      <w:r>
        <w:rPr>
          <w:rFonts w:ascii="Nirmala UI" w:hAnsi="Nirmala UI" w:eastAsia="Nirmala UI" w:cs="Nirmala UI"/>
        </w:rPr>
        <w:t>ಪರಿಪೂರ್ಣತೆಯನ್ನು</w:t>
      </w:r>
      <w:r>
        <w:rPr>
          <w:rFonts w:ascii="Times New Roman" w:hAnsi="Times New Roman" w:eastAsia="Times New Roman" w:cs="Times New Roman"/>
        </w:rPr>
        <w:t xml:space="preserve"> </w:t>
      </w:r>
      <w:r>
        <w:rPr>
          <w:rFonts w:ascii="Nirmala UI" w:hAnsi="Nirmala UI" w:eastAsia="Nirmala UI" w:cs="Nirmala UI"/>
        </w:rPr>
        <w:t>ಹೊಂದುವುದಕ್ಕೆ</w:t>
      </w:r>
      <w:r>
        <w:rPr>
          <w:rFonts w:ascii="Times New Roman" w:hAnsi="Times New Roman" w:eastAsia="Times New Roman" w:cs="Times New Roman"/>
        </w:rPr>
        <w:t xml:space="preserve"> </w:t>
      </w:r>
      <w:r>
        <w:rPr>
          <w:rFonts w:ascii="Nirmala UI" w:hAnsi="Nirmala UI" w:eastAsia="Nirmala UI" w:cs="Nirmala UI"/>
        </w:rPr>
        <w:t>ತಡೆಗಟ್ಟುವ</w:t>
      </w:r>
      <w:r>
        <w:rPr>
          <w:rFonts w:ascii="Times New Roman" w:hAnsi="Times New Roman" w:eastAsia="Times New Roman" w:cs="Times New Roman"/>
        </w:rPr>
        <w:t xml:space="preserve"> </w:t>
      </w:r>
      <w:r>
        <w:rPr>
          <w:rFonts w:ascii="Nirmala UI" w:hAnsi="Nirmala UI" w:eastAsia="Nirmala UI" w:cs="Nirmala UI"/>
        </w:rPr>
        <w:t>ಸಂಗತಿಗಳನ್ನು</w:t>
      </w:r>
      <w:r>
        <w:rPr>
          <w:rFonts w:ascii="Times New Roman" w:hAnsi="Times New Roman" w:eastAsia="Times New Roman" w:cs="Times New Roman"/>
        </w:rPr>
        <w:t xml:space="preserve"> </w:t>
      </w:r>
      <w:r>
        <w:rPr>
          <w:rFonts w:ascii="Nirmala UI" w:hAnsi="Nirmala UI" w:eastAsia="Nirmala UI" w:cs="Nirmala UI"/>
        </w:rPr>
        <w:t>ಜಯಿಸಲು</w:t>
      </w:r>
      <w:r>
        <w:rPr>
          <w:rFonts w:ascii="Times New Roman" w:hAnsi="Times New Roman" w:eastAsia="Times New Roman" w:cs="Times New Roman"/>
        </w:rPr>
        <w:t xml:space="preserve"> </w:t>
      </w:r>
      <w:r>
        <w:rPr>
          <w:rFonts w:ascii="Nirmala UI" w:hAnsi="Nirmala UI" w:eastAsia="Nirmala UI" w:cs="Nirmala UI"/>
        </w:rPr>
        <w:t>ಮನುಷ್ಯನು</w:t>
      </w:r>
      <w:r>
        <w:rPr>
          <w:rFonts w:ascii="Times New Roman" w:hAnsi="Times New Roman" w:eastAsia="Times New Roman" w:cs="Times New Roman"/>
        </w:rPr>
        <w:t xml:space="preserve"> </w:t>
      </w:r>
      <w:r>
        <w:rPr>
          <w:rFonts w:ascii="Nirmala UI" w:hAnsi="Nirmala UI" w:eastAsia="Nirmala UI" w:cs="Nirmala UI"/>
        </w:rPr>
        <w:t>ಗಂಭೀರ</w:t>
      </w:r>
      <w:r>
        <w:rPr>
          <w:rFonts w:ascii="Times New Roman" w:hAnsi="Times New Roman" w:eastAsia="Times New Roman" w:cs="Times New Roman"/>
        </w:rPr>
        <w:t xml:space="preserve"> </w:t>
      </w:r>
      <w:r>
        <w:rPr>
          <w:rFonts w:ascii="Nirmala UI" w:hAnsi="Nirmala UI" w:eastAsia="Nirmala UI" w:cs="Nirmala UI"/>
        </w:rPr>
        <w:t>ಪ್ರಯತ್ನಗಳನ್ನು</w:t>
      </w:r>
      <w:r>
        <w:rPr>
          <w:rFonts w:ascii="Times New Roman" w:hAnsi="Times New Roman" w:eastAsia="Times New Roman" w:cs="Times New Roman"/>
        </w:rPr>
        <w:t xml:space="preserve"> </w:t>
      </w:r>
      <w:r>
        <w:rPr>
          <w:rFonts w:ascii="Nirmala UI" w:hAnsi="Nirmala UI" w:eastAsia="Nirmala UI" w:cs="Nirmala UI"/>
        </w:rPr>
        <w:t>ಮಾಡಬೇಕಾಗಿದೆ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ಯಶಸ್ಸಿಗಾಗಿ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ಸಂಪೂರ್ಣವಾಗಿ</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ಮೇಲೆಯೇ</w:t>
      </w:r>
      <w:r>
        <w:rPr>
          <w:rFonts w:ascii="Times New Roman" w:hAnsi="Times New Roman" w:eastAsia="Times New Roman" w:cs="Times New Roman"/>
        </w:rPr>
        <w:t xml:space="preserve"> </w:t>
      </w:r>
      <w:r>
        <w:rPr>
          <w:rFonts w:ascii="Nirmala UI" w:hAnsi="Nirmala UI" w:eastAsia="Nirmala UI" w:cs="Nirmala UI"/>
        </w:rPr>
        <w:t>ಅವಲಂಬಿತನಾಗಿದ್ದಾನೆ</w:t>
      </w:r>
      <w:r>
        <w:rPr>
          <w:rFonts w:ascii="Times New Roman" w:hAnsi="Times New Roman" w:eastAsia="Times New Roman" w:cs="Times New Roman"/>
        </w:rPr>
        <w:t xml:space="preserve">. </w:t>
      </w:r>
      <w:r>
        <w:rPr>
          <w:rFonts w:ascii="Nirmala UI" w:hAnsi="Nirmala UI" w:eastAsia="Nirmala UI" w:cs="Nirmala UI"/>
        </w:rPr>
        <w:t>ಮಾನವ</w:t>
      </w:r>
      <w:r>
        <w:rPr>
          <w:rFonts w:ascii="Times New Roman" w:hAnsi="Times New Roman" w:eastAsia="Times New Roman" w:cs="Times New Roman"/>
        </w:rPr>
        <w:t xml:space="preserve"> </w:t>
      </w:r>
      <w:r>
        <w:rPr>
          <w:rFonts w:ascii="Nirmala UI" w:hAnsi="Nirmala UI" w:eastAsia="Nirmala UI" w:cs="Nirmala UI"/>
        </w:rPr>
        <w:t>ಪ್ರಯತ್ನವು</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ಸಾಕಾಗುವುದಿಲ್ಲ</w:t>
      </w:r>
      <w:r>
        <w:rPr>
          <w:rFonts w:ascii="Times New Roman" w:hAnsi="Times New Roman" w:eastAsia="Times New Roman" w:cs="Times New Roman"/>
        </w:rPr>
        <w:t xml:space="preserve">. </w:t>
      </w:r>
      <w:r>
        <w:rPr>
          <w:rFonts w:ascii="Nirmala UI" w:hAnsi="Nirmala UI" w:eastAsia="Nirmala UI" w:cs="Nirmala UI"/>
        </w:rPr>
        <w:t>ದೈವೀ</w:t>
      </w:r>
      <w:r>
        <w:rPr>
          <w:rFonts w:ascii="Times New Roman" w:hAnsi="Times New Roman" w:eastAsia="Times New Roman" w:cs="Times New Roman"/>
        </w:rPr>
        <w:t xml:space="preserve"> </w:t>
      </w:r>
      <w:r>
        <w:rPr>
          <w:rFonts w:ascii="Nirmala UI" w:hAnsi="Nirmala UI" w:eastAsia="Nirmala UI" w:cs="Nirmala UI"/>
        </w:rPr>
        <w:t>ಶಕ್ತಿಯ</w:t>
      </w:r>
      <w:r>
        <w:rPr>
          <w:rFonts w:ascii="Times New Roman" w:hAnsi="Times New Roman" w:eastAsia="Times New Roman" w:cs="Times New Roman"/>
        </w:rPr>
        <w:t xml:space="preserve"> </w:t>
      </w:r>
      <w:r>
        <w:rPr>
          <w:rFonts w:ascii="Nirmala UI" w:hAnsi="Nirmala UI" w:eastAsia="Nirmala UI" w:cs="Nirmala UI"/>
        </w:rPr>
        <w:t>ಸಹಾಯವಿಲ್ಲದೆ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ಯಾವುದಕ್ಕೂ</w:t>
      </w:r>
      <w:r>
        <w:rPr>
          <w:rFonts w:ascii="Times New Roman" w:hAnsi="Times New Roman" w:eastAsia="Times New Roman" w:cs="Times New Roman"/>
        </w:rPr>
        <w:t xml:space="preserve"> </w:t>
      </w:r>
      <w:r>
        <w:rPr>
          <w:rFonts w:ascii="Nirmala UI" w:hAnsi="Nirmala UI" w:eastAsia="Nirmala UI" w:cs="Nirmala UI"/>
        </w:rPr>
        <w:t>ಉಪಯೋಗವಾಗುವುದಿಲ್ಲ</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ಕಾರ್ಯನಿರ್ವಹಿಸುತ್ತಾನೆ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ಮನುಷ್ಯನು</w:t>
      </w:r>
      <w:r>
        <w:rPr>
          <w:rFonts w:ascii="Times New Roman" w:hAnsi="Times New Roman" w:eastAsia="Times New Roman" w:cs="Times New Roman"/>
        </w:rPr>
        <w:t xml:space="preserve"> </w:t>
      </w:r>
      <w:r>
        <w:rPr>
          <w:rFonts w:ascii="Nirmala UI" w:hAnsi="Nirmala UI" w:eastAsia="Nirmala UI" w:cs="Nirmala UI"/>
        </w:rPr>
        <w:t>ಕಾರ್ಯನಿರ್ವಹಿಸುತ್ತಾನೆ</w:t>
      </w:r>
      <w:r>
        <w:rPr>
          <w:rFonts w:ascii="Times New Roman" w:hAnsi="Times New Roman" w:eastAsia="Times New Roman" w:cs="Times New Roman"/>
        </w:rPr>
        <w:t xml:space="preserve">. </w:t>
      </w:r>
      <w:r>
        <w:rPr>
          <w:rFonts w:ascii="Nirmala UI" w:hAnsi="Nirmala UI" w:eastAsia="Nirmala UI" w:cs="Nirmala UI"/>
        </w:rPr>
        <w:t>ಪ್ರಲೋಭನಕ್ಕೆ</w:t>
      </w:r>
      <w:r>
        <w:rPr>
          <w:rFonts w:ascii="Times New Roman" w:hAnsi="Times New Roman" w:eastAsia="Times New Roman" w:cs="Times New Roman"/>
        </w:rPr>
        <w:t xml:space="preserve"> </w:t>
      </w:r>
      <w:r>
        <w:rPr>
          <w:rFonts w:ascii="Nirmala UI" w:hAnsi="Nirmala UI" w:eastAsia="Nirmala UI" w:cs="Nirmala UI"/>
        </w:rPr>
        <w:t>ಪ್ರತಿರೋಧವು</w:t>
      </w:r>
      <w:r>
        <w:rPr>
          <w:rFonts w:ascii="Times New Roman" w:hAnsi="Times New Roman" w:eastAsia="Times New Roman" w:cs="Times New Roman"/>
        </w:rPr>
        <w:t xml:space="preserve"> </w:t>
      </w:r>
      <w:r>
        <w:rPr>
          <w:rFonts w:ascii="Nirmala UI" w:hAnsi="Nirmala UI" w:eastAsia="Nirmala UI" w:cs="Nirmala UI"/>
        </w:rPr>
        <w:t>ಮನುಷ್ಯನಿಂದಲೇ</w:t>
      </w:r>
      <w:r>
        <w:rPr>
          <w:rFonts w:ascii="Times New Roman" w:hAnsi="Times New Roman" w:eastAsia="Times New Roman" w:cs="Times New Roman"/>
        </w:rPr>
        <w:t xml:space="preserve"> </w:t>
      </w:r>
      <w:r>
        <w:rPr>
          <w:rFonts w:ascii="Nirmala UI" w:hAnsi="Nirmala UI" w:eastAsia="Nirmala UI" w:cs="Nirmala UI"/>
        </w:rPr>
        <w:t>ಬರಬೇಕಾಗಿದೆ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ಶಕ್ತಿಯನ್ನು</w:t>
      </w:r>
      <w:r>
        <w:rPr>
          <w:rFonts w:ascii="Times New Roman" w:hAnsi="Times New Roman" w:eastAsia="Times New Roman" w:cs="Times New Roman"/>
        </w:rPr>
        <w:t xml:space="preserve"> </w:t>
      </w:r>
      <w:r>
        <w:rPr>
          <w:rFonts w:ascii="Nirmala UI" w:hAnsi="Nirmala UI" w:eastAsia="Nirmala UI" w:cs="Nirmala UI"/>
        </w:rPr>
        <w:t>ದೇವರಿಂದ</w:t>
      </w:r>
      <w:r>
        <w:rPr>
          <w:rFonts w:ascii="Times New Roman" w:hAnsi="Times New Roman" w:eastAsia="Times New Roman" w:cs="Times New Roman"/>
        </w:rPr>
        <w:t xml:space="preserve"> </w:t>
      </w:r>
      <w:r>
        <w:rPr>
          <w:rFonts w:ascii="Nirmala UI" w:hAnsi="Nirmala UI" w:eastAsia="Nirmala UI" w:cs="Nirmala UI"/>
        </w:rPr>
        <w:t>ಪಡೆಯಬೇಕಾಗಿದೆ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ಕಡೆ</w:t>
      </w:r>
      <w:r>
        <w:rPr>
          <w:rFonts w:ascii="Times New Roman" w:hAnsi="Times New Roman" w:eastAsia="Times New Roman" w:cs="Times New Roman"/>
        </w:rPr>
        <w:t xml:space="preserve"> </w:t>
      </w:r>
      <w:r>
        <w:rPr>
          <w:rFonts w:ascii="Nirmala UI" w:hAnsi="Nirmala UI" w:eastAsia="Nirmala UI" w:cs="Nirmala UI"/>
        </w:rPr>
        <w:t>ಅನಂತ</w:t>
      </w:r>
      <w:r>
        <w:rPr>
          <w:rFonts w:ascii="Times New Roman" w:hAnsi="Times New Roman" w:eastAsia="Times New Roman" w:cs="Times New Roman"/>
        </w:rPr>
        <w:t xml:space="preserve"> </w:t>
      </w:r>
      <w:r>
        <w:rPr>
          <w:rFonts w:ascii="Nirmala UI" w:hAnsi="Nirmala UI" w:eastAsia="Nirmala UI" w:cs="Nirmala UI"/>
        </w:rPr>
        <w:t>ಜ್ಞಾನ</w:t>
      </w:r>
      <w:r>
        <w:rPr>
          <w:rFonts w:ascii="Times New Roman" w:hAnsi="Times New Roman" w:eastAsia="Times New Roman" w:cs="Times New Roman"/>
        </w:rPr>
        <w:t xml:space="preserve">, </w:t>
      </w:r>
      <w:r>
        <w:rPr>
          <w:rFonts w:ascii="Nirmala UI" w:hAnsi="Nirmala UI" w:eastAsia="Nirmala UI" w:cs="Nirmala UI"/>
        </w:rPr>
        <w:t>ಕರುಣೆ</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ಶಕ್ತಿ</w:t>
      </w:r>
      <w:r>
        <w:rPr>
          <w:rFonts w:ascii="Times New Roman" w:hAnsi="Times New Roman" w:eastAsia="Times New Roman" w:cs="Times New Roman"/>
        </w:rPr>
        <w:t xml:space="preserve"> </w:t>
      </w:r>
      <w:r>
        <w:rPr>
          <w:rFonts w:ascii="Nirmala UI" w:hAnsi="Nirmala UI" w:eastAsia="Nirmala UI" w:cs="Nirmala UI"/>
        </w:rPr>
        <w:t>ಇವೆ</w:t>
      </w:r>
      <w:r>
        <w:rPr>
          <w:rFonts w:ascii="Times New Roman" w:hAnsi="Times New Roman" w:eastAsia="Times New Roman" w:cs="Times New Roman"/>
        </w:rPr>
        <w:t xml:space="preserve">; </w:t>
      </w:r>
      <w:r>
        <w:rPr>
          <w:rFonts w:ascii="Nirmala UI" w:hAnsi="Nirmala UI" w:eastAsia="Nirmala UI" w:cs="Nirmala UI"/>
        </w:rPr>
        <w:t>ಇನ್ನೊಂದು</w:t>
      </w:r>
      <w:r>
        <w:rPr>
          <w:rFonts w:ascii="Times New Roman" w:hAnsi="Times New Roman" w:eastAsia="Times New Roman" w:cs="Times New Roman"/>
        </w:rPr>
        <w:t xml:space="preserve"> </w:t>
      </w:r>
      <w:r>
        <w:rPr>
          <w:rFonts w:ascii="Nirmala UI" w:hAnsi="Nirmala UI" w:eastAsia="Nirmala UI" w:cs="Nirmala UI"/>
        </w:rPr>
        <w:t>ಕಡೆ</w:t>
      </w:r>
      <w:r>
        <w:rPr>
          <w:rFonts w:ascii="Times New Roman" w:hAnsi="Times New Roman" w:eastAsia="Times New Roman" w:cs="Times New Roman"/>
        </w:rPr>
        <w:t xml:space="preserve"> </w:t>
      </w:r>
      <w:r>
        <w:rPr>
          <w:rFonts w:ascii="Nirmala UI" w:hAnsi="Nirmala UI" w:eastAsia="Nirmala UI" w:cs="Nirmala UI"/>
        </w:rPr>
        <w:t>ದೌರ್ಬಲ್ಯ</w:t>
      </w:r>
      <w:r>
        <w:rPr>
          <w:rFonts w:ascii="Times New Roman" w:hAnsi="Times New Roman" w:eastAsia="Times New Roman" w:cs="Times New Roman"/>
        </w:rPr>
        <w:t xml:space="preserve">, </w:t>
      </w:r>
      <w:r>
        <w:rPr>
          <w:rFonts w:ascii="Nirmala UI" w:hAnsi="Nirmala UI" w:eastAsia="Nirmala UI" w:cs="Nirmala UI"/>
        </w:rPr>
        <w:t>ಪಾಪಪೂರ್ಣತೆ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ಸಂಪೂರ್ಣ</w:t>
      </w:r>
      <w:r>
        <w:rPr>
          <w:rFonts w:ascii="Times New Roman" w:hAnsi="Times New Roman" w:eastAsia="Times New Roman" w:cs="Times New Roman"/>
        </w:rPr>
        <w:t xml:space="preserve"> </w:t>
      </w:r>
      <w:r>
        <w:rPr>
          <w:rFonts w:ascii="Nirmala UI" w:hAnsi="Nirmala UI" w:eastAsia="Nirmala UI" w:cs="Nirmala UI"/>
        </w:rPr>
        <w:t>ನಿರ್ಗತಿಕತೆ</w:t>
      </w:r>
      <w:r>
        <w:rPr>
          <w:rFonts w:ascii="Times New Roman" w:hAnsi="Times New Roman" w:eastAsia="Times New Roman" w:cs="Times New Roman"/>
        </w:rPr>
        <w:t xml:space="preserve"> </w:t>
      </w:r>
      <w:r>
        <w:rPr>
          <w:rFonts w:ascii="Nirmala UI" w:hAnsi="Nirmala UI" w:eastAsia="Nirmala UI" w:cs="Nirmala UI"/>
        </w:rPr>
        <w:t>ಇವೆ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«God veut que nous ayons la maîtrise de nous-mêmes. Mais Il ne peut nous aider sans notre consentement et notre coopération. L’Esprit divin agit par les pouvoirs et les facultés donnés à l’homme. De nous-mêmes, nous ne sommes pas capables d’amener nos desseins, nos désirs et nos inclinations en harmonie avec la volonté de Dieu; mais si nous sommes “disposés à être rendus disposés”, le Sauveur accomplira cela pour nous, “renversant les raisonnements et toute hauteur qui s’élève contre la connaissance de Dieu, et amenant toute pensée captive à l’obéissance de Christ.” 2 Corinthiens 10:5.» Actes des Apôtres, 482.</w:t>
      </w:r>
    </w:p>
    <w:p>
      <w:pPr>
        <w:pStyle w:val="ArticleBody"/>
        <w:jc w:val="left"/>
      </w:pPr>
      <w:r>
        <w:rPr>
          <w:rFonts w:ascii="Nirmala UI" w:hAnsi="Nirmala UI" w:eastAsia="Nirmala UI" w:cs="Nirmala UI"/>
        </w:rPr>
        <w:t>योहनको</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सुख्खा</w:t>
      </w:r>
      <w:r>
        <w:rPr>
          <w:rFonts w:ascii="Times New Roman" w:hAnsi="Times New Roman" w:eastAsia="Times New Roman" w:cs="Times New Roman"/>
        </w:rPr>
        <w:t xml:space="preserve"> </w:t>
      </w:r>
      <w:r>
        <w:rPr>
          <w:rFonts w:ascii="Nirmala UI" w:hAnsi="Nirmala UI" w:eastAsia="Nirmala UI" w:cs="Nirmala UI"/>
        </w:rPr>
        <w:t>हड्डीहरू</w:t>
      </w:r>
      <w:r>
        <w:rPr>
          <w:rFonts w:ascii="Times New Roman" w:hAnsi="Times New Roman" w:eastAsia="Times New Roman" w:cs="Times New Roman"/>
        </w:rPr>
        <w:t xml:space="preserve"> </w:t>
      </w:r>
      <w:r>
        <w:rPr>
          <w:rFonts w:ascii="Nirmala UI" w:hAnsi="Nirmala UI" w:eastAsia="Nirmala UI" w:cs="Nirmala UI"/>
        </w:rPr>
        <w:t>सडकमा</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उजाडस्थान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उजाडस्थान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छब्बीसका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हजारमध्ये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बोलाइएकाहरूले</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धूलो</w:t>
      </w:r>
      <w:r>
        <w:rPr>
          <w:rFonts w:ascii="Times New Roman" w:hAnsi="Times New Roman" w:eastAsia="Times New Roman" w:cs="Times New Roman"/>
        </w:rPr>
        <w:t xml:space="preserve"> </w:t>
      </w:r>
      <w:r>
        <w:rPr>
          <w:rFonts w:ascii="Nirmala UI" w:hAnsi="Nirmala UI" w:eastAsia="Nirmala UI" w:cs="Nirmala UI"/>
        </w:rPr>
        <w:t>झार्न</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चाहनुहुन्छ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संसारमाथि</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स्पष्टरीतिले</w:t>
      </w:r>
      <w:r>
        <w:rPr>
          <w:rFonts w:ascii="Times New Roman" w:hAnsi="Times New Roman" w:eastAsia="Times New Roman" w:cs="Times New Roman"/>
        </w:rPr>
        <w:t xml:space="preserve"> </w:t>
      </w:r>
      <w:r>
        <w:rPr>
          <w:rFonts w:ascii="Nirmala UI" w:hAnsi="Nirmala UI" w:eastAsia="Nirmala UI" w:cs="Nirmala UI"/>
        </w:rPr>
        <w:t>पर्नुअघि।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Myanmar Text" w:hAnsi="Myanmar Text" w:eastAsia="Myanmar Text" w:cs="Myanmar Text"/>
        </w:rPr>
        <w:t>ဝိညာဉ်ရေးအရ</w:t>
      </w:r>
      <w:r>
        <w:rPr>
          <w:rFonts w:ascii="Times New Roman" w:hAnsi="Times New Roman" w:eastAsia="Times New Roman" w:cs="Times New Roman"/>
        </w:rPr>
        <w:t xml:space="preserve"> </w:t>
      </w:r>
      <w:r>
        <w:rPr>
          <w:rFonts w:ascii="Myanmar Text" w:hAnsi="Myanmar Text" w:eastAsia="Myanmar Text" w:cs="Myanmar Text"/>
        </w:rPr>
        <w:t>သန့်စင်ထားသော</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နှင့်စပ်လျဉ်း၍၊</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အဖိုးတန်သောအရာကို</w:t>
      </w:r>
      <w:r>
        <w:rPr>
          <w:rFonts w:ascii="Times New Roman" w:hAnsi="Times New Roman" w:eastAsia="Times New Roman" w:cs="Times New Roman"/>
        </w:rPr>
        <w:t xml:space="preserve"> </w:t>
      </w:r>
      <w:r>
        <w:rPr>
          <w:rFonts w:ascii="Myanmar Text" w:hAnsi="Myanmar Text" w:eastAsia="Myanmar Text" w:cs="Myanmar Text"/>
        </w:rPr>
        <w:t>အညံ့အဖျင်းသောအရာမှ</w:t>
      </w:r>
      <w:r>
        <w:rPr>
          <w:rFonts w:ascii="Times New Roman" w:hAnsi="Times New Roman" w:eastAsia="Times New Roman" w:cs="Times New Roman"/>
        </w:rPr>
        <w:t xml:space="preserve"> </w:t>
      </w:r>
      <w:r>
        <w:rPr>
          <w:rFonts w:ascii="Myanmar Text" w:hAnsi="Myanmar Text" w:eastAsia="Myanmar Text" w:cs="Myanmar Text"/>
        </w:rPr>
        <w:t>ခွဲထုတ်</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ခွဲခြားသန့်စင်ရေးလုပ်ငန်းစဉ်ကို</w:t>
      </w:r>
      <w:r>
        <w:rPr>
          <w:rFonts w:ascii="Times New Roman" w:hAnsi="Times New Roman" w:eastAsia="Times New Roman" w:cs="Times New Roman"/>
        </w:rPr>
        <w:t xml:space="preserve"> </w:t>
      </w:r>
      <w:r>
        <w:rPr>
          <w:rFonts w:ascii="Myanmar Text" w:hAnsi="Myanmar Text" w:eastAsia="Myanmar Text" w:cs="Myanmar Text"/>
        </w:rPr>
        <w:t>ရည်ညွှန်းထားသည်။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 xml:space="preserve"> </w:t>
      </w:r>
      <w:r>
        <w:rPr>
          <w:rFonts w:ascii="Myanmar Text" w:hAnsi="Myanmar Text" w:eastAsia="Myanmar Text" w:cs="Myanmar Text"/>
        </w:rPr>
        <w:t>နှင့်လည်း</w:t>
      </w:r>
      <w:r>
        <w:rPr>
          <w:rFonts w:ascii="Times New Roman" w:hAnsi="Times New Roman" w:eastAsia="Times New Roman" w:cs="Times New Roman"/>
        </w:rPr>
        <w:t xml:space="preserve"> </w:t>
      </w:r>
      <w:r>
        <w:rPr>
          <w:rFonts w:ascii="Myanmar Text" w:hAnsi="Myanmar Text" w:eastAsia="Myanmar Text" w:cs="Myanmar Text"/>
        </w:rPr>
        <w:t>ဆက်စပ်ထားပြီး၊</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တမန်တော်အတွက်</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တမန်တော်တစ်ပါးအကြောင်း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ထိုတမန်တော်သည်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ဟစ်ကြွေးသော</w:t>
      </w:r>
      <w:r>
        <w:rPr>
          <w:rFonts w:ascii="Times New Roman" w:hAnsi="Times New Roman" w:eastAsia="Times New Roman" w:cs="Times New Roman"/>
        </w:rPr>
        <w:t xml:space="preserve"> </w:t>
      </w:r>
      <w:r>
        <w:rPr>
          <w:rFonts w:ascii="Myanmar Text" w:hAnsi="Myanmar Text" w:eastAsia="Myanmar Text" w:cs="Myanmar Text"/>
        </w:rPr>
        <w:t>အသံ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တမန်တော်မှာ</w:t>
      </w:r>
      <w:r>
        <w:rPr>
          <w:rFonts w:ascii="Times New Roman" w:hAnsi="Times New Roman" w:eastAsia="Times New Roman" w:cs="Times New Roman"/>
        </w:rPr>
        <w:t xml:space="preserve"> </w:t>
      </w:r>
      <w:r>
        <w:rPr>
          <w:rFonts w:ascii="Myanmar Text" w:hAnsi="Myanmar Text" w:eastAsia="Myanmar Text" w:cs="Myanmar Text"/>
        </w:rPr>
        <w:t>ခရစ်တော်ဖြစ်ပြီး၊</w:t>
      </w:r>
      <w:r>
        <w:rPr>
          <w:rFonts w:ascii="Times New Roman" w:hAnsi="Times New Roman" w:eastAsia="Times New Roman" w:cs="Times New Roman"/>
        </w:rPr>
        <w:t xml:space="preserve"> “</w:t>
      </w:r>
      <w:r>
        <w:rPr>
          <w:rFonts w:ascii="Myanmar Text" w:hAnsi="Myanmar Text" w:eastAsia="Myanmar Text" w:cs="Myanmar Text"/>
        </w:rPr>
        <w:t>လေဝိသားတို့ကဲ့သို့</w:t>
      </w:r>
      <w:r>
        <w:rPr>
          <w:rFonts w:ascii="Times New Roman" w:hAnsi="Times New Roman" w:eastAsia="Times New Roman" w:cs="Times New Roman"/>
        </w:rPr>
        <w:t>”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အထူးအမှုတော်အတွက်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သီးသန့်ခွဲထား</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တစ်သိန်းလေးသောင်းလေးထောင်နှင့်</w:t>
      </w:r>
      <w:r>
        <w:rPr>
          <w:rFonts w:ascii="Times New Roman" w:hAnsi="Times New Roman" w:eastAsia="Times New Roman" w:cs="Times New Roman"/>
        </w:rPr>
        <w:t xml:space="preserve"> </w:t>
      </w:r>
      <w:r>
        <w:rPr>
          <w:rFonts w:ascii="Myanmar Text" w:hAnsi="Myanmar Text" w:eastAsia="Myanmar Text" w:cs="Myanmar Text"/>
        </w:rPr>
        <w:t>ပဋိညာဉ်ဖွဲ့ဝင်ရန်</w:t>
      </w:r>
      <w:r>
        <w:rPr>
          <w:rFonts w:ascii="Times New Roman" w:hAnsi="Times New Roman" w:eastAsia="Times New Roman" w:cs="Times New Roman"/>
        </w:rPr>
        <w:t xml:space="preserve"> </w:t>
      </w:r>
      <w:r>
        <w:rPr>
          <w:rFonts w:ascii="Myanmar Text" w:hAnsi="Myanmar Text" w:eastAsia="Myanmar Text" w:cs="Myanmar Text"/>
        </w:rPr>
        <w:t>ပြင်ဆင်လျက်ရှိတော်မူ၏။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ယဇ်ပုရောဟိတ်များဟု</w:t>
      </w:r>
      <w:r>
        <w:rPr>
          <w:rFonts w:ascii="Times New Roman" w:hAnsi="Times New Roman" w:eastAsia="Times New Roman" w:cs="Times New Roman"/>
        </w:rPr>
        <w:t xml:space="preserve"> </w:t>
      </w:r>
      <w:r>
        <w:rPr>
          <w:rFonts w:ascii="Myanmar Text" w:hAnsi="Myanmar Text" w:eastAsia="Myanmar Text" w:cs="Myanmar Text"/>
        </w:rPr>
        <w:t>သတ်မှတ်ဖော်ပြပြီး၊</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ကောင်းကင်ဘုံ၌ရှိတော်မူသော</w:t>
      </w:r>
      <w:r>
        <w:rPr>
          <w:rFonts w:ascii="Times New Roman" w:hAnsi="Times New Roman" w:eastAsia="Times New Roman" w:cs="Times New Roman"/>
        </w:rPr>
        <w:t xml:space="preserve"> </w:t>
      </w:r>
      <w:r>
        <w:rPr>
          <w:rFonts w:ascii="Myanmar Text" w:hAnsi="Myanmar Text" w:eastAsia="Myanmar Text" w:cs="Myanmar Text"/>
        </w:rPr>
        <w:t>အဘသည်</w:t>
      </w:r>
      <w:r>
        <w:rPr>
          <w:rFonts w:ascii="Times New Roman" w:hAnsi="Times New Roman" w:eastAsia="Times New Roman" w:cs="Times New Roman"/>
        </w:rPr>
        <w:t xml:space="preserve"> </w:t>
      </w:r>
      <w:r>
        <w:rPr>
          <w:rFonts w:ascii="Myanmar Text" w:hAnsi="Myanmar Text" w:eastAsia="Myanmar Text" w:cs="Myanmar Text"/>
        </w:rPr>
        <w:t>ပြည့်စုံတော်မူသကဲ့သို့၊</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ပြည့်စုံကြလော့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မိန့်တော်မူသော</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စကားကို</w:t>
      </w:r>
      <w:r>
        <w:rPr>
          <w:rFonts w:ascii="Times New Roman" w:hAnsi="Times New Roman" w:eastAsia="Times New Roman" w:cs="Times New Roman"/>
        </w:rPr>
        <w:t xml:space="preserve"> </w:t>
      </w:r>
      <w:r>
        <w:rPr>
          <w:rFonts w:ascii="Myanmar Text" w:hAnsi="Myanmar Text" w:eastAsia="Myanmar Text" w:cs="Myanmar Text"/>
        </w:rPr>
        <w:t>ကိုးကားထားသည်။</w:t>
      </w:r>
    </w:p>
    <w:p>
      <w:pPr>
        <w:pStyle w:val="ArticleBody"/>
        <w:jc w:val="left"/>
      </w:pPr>
      <w:r>
        <w:rPr>
          <w:rFonts w:ascii="Times New Roman" w:hAnsi="Times New Roman" w:eastAsia="Times New Roman" w:cs="Times New Roman"/>
        </w:rPr>
        <w:t>Il existe un processus de purification qui est marqué à la fin de la période du délai, car le Seigneur a une œuvre spéciale à confier aux cent quarante-quatre mille, et Il aura une Église purifiée avant que « ses jugements ne tombent plus manifestement sur le monde ». Ses jugements sont déjà dans le monde, mais, lors de la loi du dimanche, « les jugements destructeurs de Dieu » commencent à tomber.</w:t>
      </w:r>
    </w:p>
    <w:p>
      <w:pPr>
        <w:pStyle w:val="ArticleBody"/>
        <w:jc w:val="left"/>
      </w:pPr>
      <w:r>
        <w:rPr>
          <w:rFonts w:ascii="Times New Roman" w:hAnsi="Times New Roman" w:eastAsia="Times New Roman" w:cs="Times New Roman"/>
        </w:rPr>
        <w:t>Ces jugements sont un « temps de miséricorde pour ceux qui n’ont jamais connu la vérité ». Mais il n’y a aucune miséricorde dans ces jugements pour ceux qui n’ont pas voulu entrer dans le processus nécessaire de purification. Les « jugements » qui « tombent d’une manière plus marquée » désignent des jugements qui sont des signes. Ils représentent un signal, et le Saint-Esprit se sert du chaos et de la confusion produits par ces jugements pour établir une distinction entre ceux qui observent « le faux jour de repos » et ceux qui « gardent consciencieusement le sabbat du Seigneur », car c’est le seul moyen par lequel « le monde peut être averti ». Les jugements qui sont des signaux constituent l’arrière-plan dont le Saint-Esprit se sert pour conduire les enfants de Dieu qui sont encore à Babylone à reconnaître l’enseigne des cent quarante-quatre mille.</w:t>
      </w:r>
    </w:p>
    <w:p>
      <w:pPr>
        <w:pStyle w:val="ArticleBody"/>
        <w:jc w:val="left"/>
      </w:pPr>
      <w:r>
        <w:rPr>
          <w:rFonts w:ascii="Times New Roman" w:hAnsi="Times New Roman" w:eastAsia="Times New Roman" w:cs="Times New Roman"/>
        </w:rPr>
        <w:t>Ma soeur White ne se contente pas de faire référence au chapitre trois de Malachie; elle inclut aussi les derniers versets du livre de Malachie, au chapitre quatre, et fait de nouveau mention de la « voix » qui devait préparer le chemin pour le messager de l’alliance. Ces derniers versets ne concernent pas la préparation pour le messager de l’alliance; ils concernent le souvenir de la loi de Moïse, ainsi que le retour du cœur des pères vers les enfants et de celui des enfants vers leurs pères. La « voix » prépare d’abord la venue soudaine du Christ, en tant que messager de l’alliance, à Son temple, afin de purifier Son peuple déçu qui a été réveillé, pour qu’il puisse accomplir l’œuvre de l’enseigne. Puis Malachie aborde un autre aspect de l’œuvre de la « voix ».</w:t>
      </w:r>
    </w:p>
    <w:p>
      <w:pPr>
        <w:pStyle w:val="ArticleBody"/>
        <w:jc w:val="left"/>
      </w:pP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পিতৃগণের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পিতৃগণের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ফিরাইবেন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হোরেবে</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ব্যবস্থার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সম্পর্কিতভাবে</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এলিয়</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যিশাইয়ের</w:t>
      </w:r>
      <w:r>
        <w:rPr>
          <w:rFonts w:ascii="Times New Roman" w:hAnsi="Times New Roman" w:eastAsia="Times New Roman" w:cs="Times New Roman"/>
        </w:rPr>
        <w:t xml:space="preserve"> “</w:t>
      </w:r>
      <w:r>
        <w:rPr>
          <w:rFonts w:ascii="Nirmala UI" w:hAnsi="Nirmala UI" w:eastAsia="Nirmala UI" w:cs="Nirmala UI"/>
        </w:rPr>
        <w:t>কণ্ঠস্বর</w:t>
      </w:r>
      <w:r>
        <w:rPr>
          <w:rFonts w:ascii="Times New Roman" w:hAnsi="Times New Roman" w:eastAsia="Times New Roman" w:cs="Times New Roman"/>
        </w:rPr>
        <w:t>”-</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শুদ্ধিকরণ</w:t>
      </w:r>
      <w:r>
        <w:rPr>
          <w:rFonts w:ascii="Times New Roman" w:hAnsi="Times New Roman" w:eastAsia="Times New Roman" w:cs="Times New Roman"/>
        </w:rPr>
        <w:t>-</w:t>
      </w:r>
      <w:r>
        <w:rPr>
          <w:rFonts w:ascii="Nirmala UI" w:hAnsi="Nirmala UI" w:eastAsia="Nirmala UI" w:cs="Nirmala UI"/>
        </w:rPr>
        <w:t>প্রক্রিয়ার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সংজ্ঞা</w:t>
      </w:r>
      <w:r>
        <w:rPr>
          <w:rFonts w:ascii="Times New Roman" w:hAnsi="Times New Roman" w:eastAsia="Times New Roman" w:cs="Times New Roman"/>
        </w:rPr>
        <w:t xml:space="preserve"> </w:t>
      </w:r>
      <w:r>
        <w:rPr>
          <w:rFonts w:ascii="Nirmala UI" w:hAnsi="Nirmala UI" w:eastAsia="Nirmala UI" w:cs="Nirmala UI"/>
        </w:rPr>
        <w:t>একটিই</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হোরেবে</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ব্যবস্থার</w:t>
      </w:r>
      <w:r>
        <w:rPr>
          <w:rFonts w:ascii="Times New Roman" w:hAnsi="Times New Roman" w:eastAsia="Times New Roman" w:cs="Times New Roman"/>
        </w:rPr>
        <w:t xml:space="preserve"> </w:t>
      </w:r>
      <w:r>
        <w:rPr>
          <w:rFonts w:ascii="Nirmala UI" w:hAnsi="Nirmala UI" w:eastAsia="Nirmala UI" w:cs="Nirmala UI"/>
        </w:rPr>
        <w:t>লঙ্ঘন।</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বাপ্তাইস্ত</w:t>
      </w:r>
      <w:r>
        <w:rPr>
          <w:rFonts w:ascii="Times New Roman" w:hAnsi="Times New Roman" w:eastAsia="Times New Roman" w:cs="Times New Roman"/>
        </w:rPr>
        <w:t xml:space="preserve"> </w:t>
      </w:r>
      <w:r>
        <w:rPr>
          <w:rFonts w:ascii="Nirmala UI" w:hAnsi="Nirmala UI" w:eastAsia="Nirmala UI" w:cs="Nirmala UI"/>
        </w:rPr>
        <w:t>এলিয়</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উপাদানটিও</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Scripture"/>
        <w:jc w:val="left"/>
      </w:pPr>
      <w:r>
        <w:rPr>
          <w:rFonts w:ascii="Times New Roman" w:hAnsi="Times New Roman" w:eastAsia="Times New Roman" w:cs="Times New Roman"/>
        </w:rPr>
        <w:t>Sa mga araw na yaon ay dumating si Juan na Tagapagbautismo, na nangangaral sa ilang ng Judea, At nagsasabi, Mangagsisi kayo: sapagkat malapit na ang kaharian ng langit. Sapagkat ito yaong sinalita sa pamamagitan ng propetang si Isaias, na nagsasabi, Ang tinig ng isang sumisigaw sa ilang, Ihanda ninyo ang daan ng Panginoon, tuwirin ninyo ang kaniyang mga landas. At ang si Juan ding yaon ay may kasuutang balahibo ng kamelyo, at may pamigkis na balat sa kaniyang baywang; at ang kaniyang pagkain ay mga balang at pulot-pukyutan. Nang magkagayo’y nagsilabas sa kaniya ang Jerusalem, at ang buong Judea, at ang buong lupaing nasa palibot ng Jordan, At nangabautismuhan sa kaniya sa ilog Jordan, na ipinahahayag ang kanilang mga kasalanan. Datapuwa’t nang makita niyang marami sa mga Fariseo at mga Saduceo ang nagsisiparoon sa kaniyang bautismo, ay sinabi niya sa kanila, O lahi ng mga ulupong, sino ang nagbabala sa inyo upang magsitakas sa galit na darating?</w:t>
      </w:r>
    </w:p>
    <w:p>
      <w:pPr>
        <w:pStyle w:val="ArticleScripture"/>
        <w:jc w:val="left"/>
      </w:pPr>
      <w:r>
        <w:rPr>
          <w:rFonts w:ascii="Times New Roman" w:hAnsi="Times New Roman" w:eastAsia="Times New Roman" w:cs="Times New Roman"/>
        </w:rPr>
        <w:t>Therefore, bring forth fruits worthy of repentance. And do not presume to say within yourselves, “We have Abraham as our father”; for I tell you that God is able from these stones to raise up children to Abraham. And even now the axe is laid to the root of the trees; therefore every tree that does not bear good fruit is cut down and cast into the fire. I indeed baptize you with water unto repentance, but He who comes after me is mightier than I, whose sandals I am not worthy to carry. He will baptize you with the Holy Spirit and with fire. His winnowing fan is in His hand, and He will thoroughly cleanse His threshing floor, and gather His wheat into the garner; but the chaff He will burn up with unquenchable fire. Matthew 3:1–12.</w:t>
      </w:r>
    </w:p>
    <w:p>
      <w:pPr>
        <w:pStyle w:val="ArticleBody"/>
        <w:jc w:val="left"/>
      </w:pPr>
      <w:r>
        <w:rPr>
          <w:rFonts w:ascii="Times New Roman" w:hAnsi="Times New Roman" w:eastAsia="Times New Roman" w:cs="Times New Roman"/>
        </w:rPr>
        <w:t>Yohana Mubatizi yaje mu “butayu” bw’iyo minsi itatu n’igice ivugwa mu Byahishuwe igice cya cumi na kimwe, kuko abahanuzi bose bavuga cyane ku minsi y’imperuka kuruta ku minsi babayemo. Yazanye ubutumwa bwo kwihana ibyaha, kuko ubwami bwo mu ijuru bwari buri hafi, nk’uko no Ibyahishuwe bya Yesu Kristo bifungurwa iyo “igihe kiri hafi.” Yohana Mubatizi agaragaza umurimo w’“ijwi,” kuko, nk’uko Yesu yabivuze, na we yari Eliya wagombaga kuza.</w:t>
      </w:r>
    </w:p>
    <w:p>
      <w:pPr>
        <w:pStyle w:val="ArticleScripture"/>
        <w:jc w:val="left"/>
      </w:pPr>
      <w:r>
        <w:rPr>
          <w:rFonts w:ascii="Times New Roman" w:hAnsi="Times New Roman" w:eastAsia="Times New Roman" w:cs="Times New Roman"/>
        </w:rPr>
        <w:t>Ka dommeŋ en la loi ko bay annabiyaama faa fo tuma faa haŋ Yohanna. Nii eŋ moyi a la, o laŋ Elias min ka naataya. Moolu min be naŋa sii ka mennu, o ye mennu. Matiyu 11:13–15.</w:t>
      </w:r>
    </w:p>
    <w:p>
      <w:pPr>
        <w:pStyle w:val="ArticleBody"/>
        <w:jc w:val="left"/>
      </w:pPr>
      <w:r>
        <w:rPr>
          <w:rFonts w:ascii="Times New Roman" w:hAnsi="Times New Roman" w:eastAsia="Times New Roman" w:cs="Times New Roman"/>
        </w:rPr>
        <w:t>Jisas i tok klia se profetik aedentiti bilong Jon Baptais em i wanpela tes. Em i tok stret, “sapos yupela bai kisim dispela.” Na bihain Jisas i strongim ol disaipel bilong Em long kisim dispela taim Em i tok, “Man i gat yau bilong harim, larim em i harim.” Em i harim wanem? Larim em i harim husat dispela nek i kam long las ples nating bilong Baibel, na i redim rot bilong man bilong bringim kontrak bilong God long redim dispela wan handret na foti-fo tausen long mekim wanpela spesel wok long taim bilong ol makim jasmen bilong God.</w:t>
      </w:r>
    </w:p>
    <w:p>
      <w:pPr>
        <w:pStyle w:val="ArticleBody"/>
        <w:jc w:val="left"/>
      </w:pPr>
      <w:r>
        <w:rPr>
          <w:rFonts w:ascii="Times New Roman" w:hAnsi="Times New Roman" w:eastAsia="Times New Roman" w:cs="Times New Roman"/>
        </w:rPr>
        <w:t>Yahya mengenakan “pakaian dari bulu unta, dan ikat pinggang kulit pada pinggangnya; dan makanannya adalah belalang dan madu hutan.” “Makanannya” adalah pekabaran Islam, sebab kata “belalang” melambangkan Islam, dan madu adalah firman Allah, yang manis di dalam mulutnya. Pekabaran manis yang ia makan itu adalah tentang keledai liar Arab “hutan”, lambang Islam yang paling mula-mula dalam Kitab Suci. Pekabaran manis tentang keledai liar Arab dari Islam, yang juga dilambangkan oleh “belalang”, juga terjalin ke dalam pakaiannya, sebab unta juga merupakan lambang lain dari Islam. Bukanlah suatu pemelintiran atas kata “belalang” jika kata itu dipakai sebagai lambang Islam, sekalipun makanan yang dimakan Yahya itu menunjuk kepada pohon belalang, dan bukan kepada serangga. Kata “belalang” adalah lambang Islam, dan Yahya tidak sedang melambangkan pemakanan makanan jasmani apa pun; makanannya adalah lambang dari pekabaran nubuat yang telah ia makan.</w:t>
      </w:r>
    </w:p>
    <w:p>
      <w:pPr>
        <w:pStyle w:val="ArticleBody"/>
        <w:jc w:val="left"/>
      </w:pPr>
      <w:r>
        <w:rPr>
          <w:rFonts w:ascii="Times New Roman" w:hAnsi="Times New Roman" w:eastAsia="Times New Roman" w:cs="Times New Roman"/>
        </w:rPr>
        <w:t>Son ceinturon était la « prophétie » représentée dans Habacuc. Cette prophétie réunit la première déception, le temps de retard des vierges, et les fondements de l’adventisme tels qu’ils sont représentés sur les cartes sacrées. Habacuc était le ceinturon prophétique qui liait ensemble toutes ces vérités.</w:t>
      </w:r>
    </w:p>
    <w:p>
      <w:pPr>
        <w:pStyle w:val="ArticleScripture"/>
        <w:jc w:val="left"/>
      </w:pPr>
      <w:r>
        <w:rPr>
          <w:rFonts w:ascii="Times New Roman" w:hAnsi="Times New Roman" w:eastAsia="Times New Roman" w:cs="Times New Roman"/>
        </w:rPr>
        <w:t>Car la vision est encore pour un temps fixé; à la fin elle parlera, et ne mentira pas. Si elle tarde, attends-la; car elle s’accomplira certainement, elle ne tardera pas. Voici, son âme enflée d’orgueil n’est pas droite en lui; mais le juste vivra par sa foi. Habacuc 2:3, 4.</w:t>
      </w:r>
    </w:p>
    <w:p>
      <w:pPr>
        <w:pStyle w:val="ArticleBody"/>
        <w:jc w:val="left"/>
      </w:pPr>
      <w:r>
        <w:rPr>
          <w:rFonts w:ascii="Times New Roman" w:hAnsi="Times New Roman" w:eastAsia="Times New Roman" w:cs="Times New Roman"/>
        </w:rPr>
        <w:t>Ujumbe wa kinabii uliounganisha pamoja kama mshipi jumbe zinazounda onyo la “sauti,” ni mfano wa mabikira kuhusiana na njozi iliyokawia, lakini ambayo ingenena. Njozi ya Kilio cha Usiku wa Manane huleta tofauti kati ya waovu, ambao “nafsi yake hujivuna,” na wa thamani, ambao huhesabiwa haki kwa imani. Kuhesabiwa haki kwa imani ndilo mshipi ambao “sauti” huuvaa.</w:t>
      </w:r>
    </w:p>
    <w:p>
      <w:pPr>
        <w:pStyle w:val="ArticleScripture"/>
        <w:jc w:val="left"/>
      </w:pP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სიმართლე</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წელთა</w:t>
      </w:r>
      <w:r>
        <w:rPr>
          <w:rFonts w:ascii="Times New Roman" w:hAnsi="Times New Roman" w:eastAsia="Times New Roman" w:cs="Times New Roman"/>
        </w:rPr>
        <w:t xml:space="preserve"> </w:t>
      </w:r>
      <w:r>
        <w:rPr>
          <w:rFonts w:ascii="Sylfaen" w:hAnsi="Sylfaen" w:eastAsia="Sylfaen" w:cs="Sylfaen"/>
        </w:rPr>
        <w:t>სარტყელი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ერთგულება</w:t>
      </w:r>
      <w:r>
        <w:rPr>
          <w:rFonts w:ascii="Times New Roman" w:hAnsi="Times New Roman" w:eastAsia="Times New Roman" w:cs="Times New Roman"/>
        </w:rPr>
        <w:t xml:space="preserve"> —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თეძოთა</w:t>
      </w:r>
      <w:r>
        <w:rPr>
          <w:rFonts w:ascii="Times New Roman" w:hAnsi="Times New Roman" w:eastAsia="Times New Roman" w:cs="Times New Roman"/>
        </w:rPr>
        <w:t xml:space="preserve"> </w:t>
      </w:r>
      <w:r>
        <w:rPr>
          <w:rFonts w:ascii="Sylfaen" w:hAnsi="Sylfaen" w:eastAsia="Sylfaen" w:cs="Sylfaen"/>
        </w:rPr>
        <w:t>სარტყელი</w:t>
      </w:r>
      <w:r>
        <w:rPr>
          <w:rFonts w:ascii="Times New Roman" w:hAnsi="Times New Roman" w:eastAsia="Times New Roman" w:cs="Times New Roman"/>
        </w:rPr>
        <w:t xml:space="preserve">. </w:t>
      </w:r>
      <w:r>
        <w:rPr>
          <w:rFonts w:ascii="Sylfaen" w:hAnsi="Sylfaen" w:eastAsia="Sylfaen" w:cs="Sylfaen"/>
        </w:rPr>
        <w:t>ესაია</w:t>
      </w:r>
      <w:r>
        <w:rPr>
          <w:rFonts w:ascii="Times New Roman" w:hAnsi="Times New Roman" w:eastAsia="Times New Roman" w:cs="Times New Roman"/>
        </w:rPr>
        <w:t xml:space="preserve"> 11:5.</w:t>
      </w:r>
    </w:p>
    <w:p>
      <w:pPr>
        <w:pStyle w:val="ArticleBody"/>
        <w:jc w:val="left"/>
      </w:pPr>
      <w:r>
        <w:rPr>
          <w:rFonts w:ascii="Leelawadee UI" w:hAnsi="Leelawadee UI" w:eastAsia="Leelawadee UI" w:cs="Leelawadee UI"/>
        </w:rPr>
        <w:t>เมื่อ</w:t>
      </w:r>
      <w:r>
        <w:rPr>
          <w:rFonts w:ascii="Times New Roman" w:hAnsi="Times New Roman" w:eastAsia="Times New Roman" w:cs="Times New Roman"/>
        </w:rPr>
        <w:t xml:space="preserve"> “</w:t>
      </w:r>
      <w:r>
        <w:rPr>
          <w:rFonts w:ascii="Leelawadee UI" w:hAnsi="Leelawadee UI" w:eastAsia="Leelawadee UI" w:cs="Leelawadee UI"/>
        </w:rPr>
        <w:t>เสียงของผู้ร้องในถิ่นทุรกันดาร</w:t>
      </w:r>
      <w:r>
        <w:rPr>
          <w:rFonts w:ascii="Times New Roman" w:hAnsi="Times New Roman" w:eastAsia="Times New Roman" w:cs="Times New Roman"/>
        </w:rPr>
        <w:t xml:space="preserve">” </w:t>
      </w:r>
      <w:r>
        <w:rPr>
          <w:rFonts w:ascii="Leelawadee UI" w:hAnsi="Leelawadee UI" w:eastAsia="Leelawadee UI" w:cs="Leelawadee UI"/>
        </w:rPr>
        <w:t>แห่งความผิดหวังมาถึง</w:t>
      </w:r>
      <w:r>
        <w:rPr>
          <w:rFonts w:ascii="Times New Roman" w:hAnsi="Times New Roman" w:eastAsia="Times New Roman" w:cs="Times New Roman"/>
        </w:rPr>
        <w:t xml:space="preserve"> </w:t>
      </w:r>
      <w:r>
        <w:rPr>
          <w:rFonts w:ascii="Leelawadee UI" w:hAnsi="Leelawadee UI" w:eastAsia="Leelawadee UI" w:cs="Leelawadee UI"/>
        </w:rPr>
        <w:t>ภายหลังความผิดหวังของวันที่</w:t>
      </w:r>
      <w:r>
        <w:rPr>
          <w:rFonts w:ascii="Times New Roman" w:hAnsi="Times New Roman" w:eastAsia="Times New Roman" w:cs="Times New Roman"/>
        </w:rPr>
        <w:t xml:space="preserve"> 18 </w:t>
      </w:r>
      <w:r>
        <w:rPr>
          <w:rFonts w:ascii="Leelawadee UI" w:hAnsi="Leelawadee UI" w:eastAsia="Leelawadee UI" w:cs="Leelawadee UI"/>
        </w:rPr>
        <w:t>กรกฎาคม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2020 </w:t>
      </w:r>
      <w:r>
        <w:rPr>
          <w:rFonts w:ascii="Leelawadee UI" w:hAnsi="Leelawadee UI" w:eastAsia="Leelawadee UI" w:cs="Leelawadee UI"/>
        </w:rPr>
        <w:t>ข่าวสารของเขาก็เป็นข่าวสารเดียวกันกับที่ได้เป็นมาตั้งแต่วันที่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ข่าวสารนั้นจากเอลียาห์ผู้จะมา</w:t>
      </w:r>
      <w:r>
        <w:rPr>
          <w:rFonts w:ascii="Times New Roman" w:hAnsi="Times New Roman" w:eastAsia="Times New Roman" w:cs="Times New Roman"/>
        </w:rPr>
        <w:t xml:space="preserve"> </w:t>
      </w:r>
      <w:r>
        <w:rPr>
          <w:rFonts w:ascii="Leelawadee UI" w:hAnsi="Leelawadee UI" w:eastAsia="Leelawadee UI" w:cs="Leelawadee UI"/>
        </w:rPr>
        <w:t>ซึ่งมีต่อกระดูกแห้งที่ตายแล้วอันกำลังคอยอยู่อย่างผิดหวัง</w:t>
      </w:r>
      <w:r>
        <w:rPr>
          <w:rFonts w:ascii="Times New Roman" w:hAnsi="Times New Roman" w:eastAsia="Times New Roman" w:cs="Times New Roman"/>
        </w:rPr>
        <w:t xml:space="preserve"> </w:t>
      </w:r>
      <w:r>
        <w:rPr>
          <w:rFonts w:ascii="Leelawadee UI" w:hAnsi="Leelawadee UI" w:eastAsia="Leelawadee UI" w:cs="Leelawadee UI"/>
        </w:rPr>
        <w:t>คือว่า</w:t>
      </w:r>
      <w:r>
        <w:rPr>
          <w:rFonts w:ascii="Times New Roman" w:hAnsi="Times New Roman" w:eastAsia="Times New Roman" w:cs="Times New Roman"/>
        </w:rPr>
        <w:t xml:space="preserve"> </w:t>
      </w:r>
      <w:r>
        <w:rPr>
          <w:rFonts w:ascii="Leelawadee UI" w:hAnsi="Leelawadee UI" w:eastAsia="Leelawadee UI" w:cs="Leelawadee UI"/>
        </w:rPr>
        <w:t>อิสลามคือ</w:t>
      </w:r>
      <w:r>
        <w:rPr>
          <w:rFonts w:ascii="Times New Roman" w:hAnsi="Times New Roman" w:eastAsia="Times New Roman" w:cs="Times New Roman"/>
        </w:rPr>
        <w:t xml:space="preserve"> “</w:t>
      </w:r>
      <w:r>
        <w:rPr>
          <w:rFonts w:ascii="Leelawadee UI" w:hAnsi="Leelawadee UI" w:eastAsia="Leelawadee UI" w:cs="Leelawadee UI"/>
        </w:rPr>
        <w:t>การพิพากษาอันเป็นสัญญาณ</w:t>
      </w:r>
      <w:r>
        <w:rPr>
          <w:rFonts w:ascii="Times New Roman" w:hAnsi="Times New Roman" w:eastAsia="Times New Roman" w:cs="Times New Roman"/>
        </w:rPr>
        <w:t xml:space="preserve">” </w:t>
      </w:r>
      <w:r>
        <w:rPr>
          <w:rFonts w:ascii="Leelawadee UI" w:hAnsi="Leelawadee UI" w:eastAsia="Leelawadee UI" w:cs="Leelawadee UI"/>
        </w:rPr>
        <w:t>ซึ่งเป็นฉากหลังสำหรับบุตรคนอื่น</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ของพระเจ้าในบาบิโลน</w:t>
      </w:r>
      <w:r>
        <w:rPr>
          <w:rFonts w:ascii="Times New Roman" w:hAnsi="Times New Roman" w:eastAsia="Times New Roman" w:cs="Times New Roman"/>
        </w:rPr>
        <w:t xml:space="preserve"> </w:t>
      </w:r>
      <w:r>
        <w:rPr>
          <w:rFonts w:ascii="Leelawadee UI" w:hAnsi="Leelawadee UI" w:eastAsia="Leelawadee UI" w:cs="Leelawadee UI"/>
        </w:rPr>
        <w:t>เพื่อจะได้เรียนรู้ความชอบธรรม។</w:t>
      </w:r>
    </w:p>
    <w:p>
      <w:pPr>
        <w:pStyle w:val="ArticleScripture"/>
        <w:jc w:val="left"/>
      </w:pPr>
      <w:r>
        <w:rPr>
          <w:rFonts w:ascii="Times New Roman" w:hAnsi="Times New Roman" w:eastAsia="Times New Roman" w:cs="Times New Roman"/>
        </w:rPr>
        <w:t>Jalan orang benar adalah kelurusan; ya, Engkau, yang Mahalurus, menimbang jalan orang benar. Ya, di jalan penghukuman-Mu, ya TUHAN, kami telah menantikan Engkau; kerinduan jiwa kami tertuju kepada nama-Mu dan kepada peringatan akan Engkau. Dengan jiwaku aku merindukan Engkau pada malam hari; ya, dengan rohku yang ada di dalam diriku aku akan mencari Engkau pada waktu fajar: sebab apabila penghukuman-Mu ada di bumi, penduduk dunia akan belajar kebenaran. Yesaya 26:7–9.</w:t>
      </w:r>
    </w:p>
    <w:p>
      <w:pPr>
        <w:pStyle w:val="ArticleBody"/>
        <w:jc w:val="left"/>
      </w:pPr>
      <w:r>
        <w:rPr>
          <w:rFonts w:ascii="Times New Roman" w:hAnsi="Times New Roman" w:eastAsia="Times New Roman" w:cs="Times New Roman"/>
        </w:rPr>
        <w:t>Yohana Mbatizaji, aliyekuwa Eliya atakayekuja, ndiye “sauti” katika “jangwa” la siku tatu na nusu za Ufunuo sura ya kumi na moja. Kazi yake inajumuisha kuitambua kizazi cha nne na cha mwisho cha Waadventista, ambao nafsi zao zimeinuliwa na ambao wanatumainia urithi wa kiroho wa baba zao, lakini wanatambua kwamba ghadhabu ya Mungu iko karibu kuja. Hao ndio kizazi cha nne, kwa maana wamejidhihirisha kikamilifu kuwa kizazi kilicho kinyume kabisa na Kristo. Wao ni kizazi cha nyoka, lakini bado wanamrejelea baba yao Ibrahimu, ili kubishania kwamba kwa kweli wao ndio kizazi cha Mwana-Kondoo. Kizazi cha Mwana-Kondoo ndicho kizazi kiteule cha Petro; hao ni wale wamfuatao Mwana-Kondoo kila aendako.</w:t>
      </w:r>
    </w:p>
    <w:p>
      <w:pPr>
        <w:pStyle w:val="ArticleBody"/>
        <w:jc w:val="left"/>
      </w:pPr>
      <w:r>
        <w:rPr>
          <w:rFonts w:ascii="Times New Roman" w:hAnsi="Times New Roman" w:eastAsia="Times New Roman" w:cs="Times New Roman"/>
        </w:rPr>
        <w:t>Jean exposa manifestement les péchés de ceux qui venaient entendre son message, car ils se repentirent et furent baptisés. Il les informa aussi qu’il en viendrait Un après lui, qui nettoierait entièrement son aire. Cette Personne est le messager de l’alliance; Il est « l’homme à la brosse pour la poussière » qui balaie par la fenêtre les pièces et les joyaux contrefaits, et rétablit les joyaux originaux, lesquels brillent alors dix fois plus qu’ils ne brillaient lorsque William Miller fut dirigé par des anges dans l’œuvre de rassembler les joyaux originaux, dans le mouvement du premier ange.</w:t>
      </w:r>
    </w:p>
    <w:p>
      <w:pPr>
        <w:pStyle w:val="ArticleBody"/>
        <w:jc w:val="left"/>
      </w:pPr>
      <w:r>
        <w:rPr>
          <w:rFonts w:ascii="Times New Roman" w:hAnsi="Times New Roman" w:eastAsia="Times New Roman" w:cs="Times New Roman"/>
        </w:rPr>
        <w:t>Yohane Mubatiza yari ataziguye mu kwamagana icyizere cy’Umwadivantisiti w’i Lawodikiya mu sekuruza wabo Aburahamu, kuko Eliya ugomba kuza yagombaga guhindura imitima y’ababyeyi iyerekeza ku bana, n’iy’abana ikayerekeza ku babyeyi. Ihame rya Bibiliya ry’ishyirwa mu bikorwa ry’uw’imbere n’uw’imperuka rigaragarira muri uwo murimo; ariko kandi ni na wo muti w’abisanga bari mu mimerere yo gutatanywa, mu gihugu cy’abanzi, bapfiriye mu butayu. Bagomba kwemera ibyaha byabo n’ibyaha bya ba sekuruza babo no kwihana. Bifatanyije no kwemera ibyaha byabo n’ibyaha bya ba sekuruza babo, bagomba no kwemera ko batagendanaga n’Umwami mu gihe cy’ubutayu bw’iminsi itatu n’igice. Ikindi kandi, bagomba kwemera ko Imana itagendanaga na bo muri ayo mateka.</w:t>
      </w:r>
    </w:p>
    <w:p>
      <w:pPr>
        <w:pStyle w:val="ArticleScripture"/>
        <w:jc w:val="left"/>
      </w:pPr>
      <w:r>
        <w:rPr>
          <w:rFonts w:ascii="Times New Roman" w:hAnsi="Times New Roman" w:eastAsia="Times New Roman" w:cs="Times New Roman"/>
        </w:rPr>
        <w:t>Et ceux d’entre vous qui resteront se consumeront à cause de leur iniquité dans les pays de vos ennemis; ils se consumeront aussi avec eux à cause des iniquités de leurs pères. S’ils confessent leur iniquité et l’iniquité de leurs pères, la transgression qu’ils ont commise contre moi, et s’ils reconnaissent aussi qu’ils ont marché en opposition avec moi, et que moi aussi j’ai marché en opposition avec eux, et que je les ai amenés dans le pays de leurs ennemis; si alors leur cœur incirconcis s’humilie, et s’ils acceptent alors la punition de leur iniquité: alors je me souviendrai de mon alliance avec Jacob, et aussi de mon alliance avec Isaac, et aussi de mon alliance avec Abraham je me souviendrai; et je me souviendrai du pays. Lévitique 26:39–42.</w:t>
      </w:r>
    </w:p>
    <w:p>
      <w:pPr>
        <w:pStyle w:val="ArticleBody"/>
        <w:jc w:val="left"/>
      </w:pPr>
      <w:r>
        <w:rPr>
          <w:rFonts w:ascii="Times New Roman" w:hAnsi="Times New Roman" w:eastAsia="Times New Roman" w:cs="Times New Roman"/>
        </w:rPr>
        <w:t>Na minista ay agsipud ta saanda a nalagip dagiti aldaw ti panaginana ti daga.</w:t>
      </w:r>
    </w:p>
    <w:p>
      <w:pPr>
        <w:pStyle w:val="ArticleBody"/>
        <w:jc w:val="left"/>
      </w:pPr>
      <w:r>
        <w:rPr>
          <w:rFonts w:ascii="Times New Roman" w:hAnsi="Times New Roman" w:eastAsia="Times New Roman" w:cs="Times New Roman"/>
        </w:rPr>
        <w:t>Yohane Mubatisi, wari Eliya wari kuzouya, akafananidzira “inzwi” riri murenje remamwe mazuva matatu nehafu eZvakazarurwa gumi neimwe. Aizorayira mapfupa akaoma akafa kuti “ayeuke” murayiro waMozisi paHorebhi, uye kana vakadaro, ipapo mutumwa wesungano “aizoyeuka” sungano yamadzibaba avo. Asi izvi zvaingova chete kana vakareurura zvivi zvavo, zvivi zvamadzibaba avo, uye, zvinonyanya kuvazvininipisa, vaifanira kutsanangura kudarika kwacho “kwavakadarika nako” kuna Mwari.</w:t>
      </w:r>
    </w:p>
    <w:p>
      <w:pPr>
        <w:pStyle w:val="ArticleBody"/>
        <w:jc w:val="left"/>
      </w:pPr>
      <w:r>
        <w:rPr>
          <w:rFonts w:ascii="Times New Roman" w:hAnsi="Times New Roman" w:eastAsia="Times New Roman" w:cs="Times New Roman"/>
        </w:rPr>
        <w:t>Əlavə olaraq etiraf etməli idilər ki, onlar Allaha “zidd” olaraq yeriyiblər və Allah da onlara “zidd” olaraq yeriyib.</w:t>
      </w:r>
    </w:p>
    <w:p>
      <w:pPr>
        <w:pStyle w:val="ArticleBody"/>
        <w:jc w:val="left"/>
      </w:pPr>
      <w:r>
        <w:rPr>
          <w:rFonts w:ascii="Times New Roman" w:hAnsi="Times New Roman" w:eastAsia="Times New Roman" w:cs="Times New Roman"/>
        </w:rPr>
        <w:t>Ils devraient aussi reconnaître qu’ils étaient les ossements desséchés et morts dans la rue d’Apocalypse onze, car il leur fallait admettre que Dieu les avait amenés dans le pays de l’ennemi, et le pays de l’ennemi, c’est la mort.</w:t>
      </w:r>
    </w:p>
    <w:p>
      <w:pPr>
        <w:pStyle w:val="ArticleBody"/>
        <w:jc w:val="left"/>
      </w:pPr>
      <w:r>
        <w:rPr>
          <w:rFonts w:ascii="Times New Roman" w:hAnsi="Times New Roman" w:eastAsia="Times New Roman" w:cs="Times New Roman"/>
        </w:rPr>
        <w:t>Dapre Zan Batis, yo ta bezwen tou reponn kestyon sou kiyès “vwa” k ap rele nan “dezè” a ye, paske Jan te mande: “Ki moun ki avèti nou pou nou kouri chape anba kòlè k ap vini an?”</w:t>
      </w:r>
    </w:p>
    <w:p>
      <w:pPr>
        <w:pStyle w:val="ArticleBody"/>
        <w:jc w:val="left"/>
      </w:pPr>
      <w:r>
        <w:rPr>
          <w:rFonts w:ascii="Times New Roman" w:hAnsi="Times New Roman" w:eastAsia="Times New Roman" w:cs="Times New Roman"/>
        </w:rPr>
        <w:t>Nous poursuivrons ces sujets dans le prochain article.</w:t>
      </w:r>
    </w:p>
    <w:p>
      <w:pPr>
        <w:pStyle w:val="ArticleScripture"/>
        <w:jc w:val="left"/>
      </w:pPr>
      <w:r>
        <w:rPr>
          <w:rFonts w:ascii="Times New Roman" w:hAnsi="Times New Roman" w:eastAsia="Times New Roman" w:cs="Times New Roman"/>
        </w:rPr>
        <w:t>“Ang ministro ng Diyos ay inuutusan: ‘Humiyaw ka nang malakas, huwag kang magpigil, itaas mo ang iyong tinig na parang trumpeta, at ihayag mo sa Aking bayan ang kanilang pagsalangsang, at sa sambahayan ni Jacob ang kanilang mga kasalanan.’ Sinasabi ng Panginoon tungkol sa mga taong ito: ‘Hinahanap nila Ako araw-araw, at kinaluluguran nilang makilala ang Aking mga daan, gaya ng isang bansang gumagawa ng katuwiran.’ Narito ang isang bayang nadadaya ang kanilang sarili, mapag-aaring-matuwid sa sarili, at kampante sa sarili, at ang ministro ay inuutusang humiyaw nang malakas at ihayag sa kanila ang kanilang mga pagsalangsang. Sa lahat ng kapanahunan ang gawang ito ay ginawa para sa bayan ng Diyos, at higit kailanman ay kinakailangan ito ngayon.” Testimonies, volume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bwa Yesu Kristo - Nimero Cumi na Birindwi</dc:title>
  <dc:subject>Éveiller les ossements desséchés : un appel à la pureté et à la foi dans le temps de l’attente</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