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Ufunuo wa Yesu Kristo - Namba Kumi na Nane</w:t>
      </w:r>
    </w:p>
    <w:p>
      <w:pPr>
        <w:pStyle w:val="ArticleSubtitle"/>
        <w:jc w:val="left"/>
      </w:pPr>
      <w:r>
        <w:rPr>
          <w:rFonts w:ascii="Arial" w:hAnsi="Arial" w:eastAsia="Arial" w:cs="Arial"/>
        </w:rPr>
        <w:t>Tha Peacaidhean nan Athraichean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2023-11-19</w:t>
      </w:r>
    </w:p>
    <w:p>
      <w:pPr>
        <w:pStyle w:val="ArticleBody"/>
        <w:jc w:val="left"/>
      </w:pPr>
      <w:r>
        <w:rPr>
          <w:rFonts w:ascii="Times New Roman" w:hAnsi="Times New Roman" w:eastAsia="Times New Roman" w:cs="Times New Roman"/>
        </w:rPr>
        <w:t>En 1856, l’adventisme millérite anciennement philadelphien fut identifié par James et Ellen White comme laodicéen. James White commença alors à promouvoir auprès du mouvement le message de Laodicée par le moyen de la Review and Herald. Dans cette même publication, au cours de la même année, une lumière accrue concernant les « sept temps » de Lévitique vingt-six fut également présentée dans une série de huit articles de Hiram Edson, que les White estimaient si hautement qu’ils donnèrent son nom à leur premier fils. La série se termina sur la promesse qu’elle serait achevée ultérieurement, mais elle ne reparut jamais. Au point de transition du mouvement du premier ange, de Philadelphie à Laodicée, le mouvement trébucha sur les « sept temps » de Lévitique vingt-six, représentant la toute première « prophétie de temps » que les anges de Dieu avaient conduisit William Miller à reconnaître et à proclamer.</w:t>
      </w:r>
    </w:p>
    <w:p>
      <w:pPr>
        <w:pStyle w:val="ArticleBody"/>
        <w:jc w:val="left"/>
      </w:pPr>
      <w:r>
        <w:rPr>
          <w:rFonts w:ascii="Times New Roman" w:hAnsi="Times New Roman" w:eastAsia="Times New Roman" w:cs="Times New Roman"/>
        </w:rPr>
        <w:t>Le « sept temps » était la principale pierre angulaire du fondement du temple millérite. Toute illustration prophétique d’un fondement sacré est une illustration du Christ, car nul autre fondement ne peut être posé que le Christ.</w:t>
      </w:r>
    </w:p>
    <w:p>
      <w:pPr>
        <w:pStyle w:val="ArticleScripture"/>
        <w:jc w:val="left"/>
      </w:pPr>
      <w:r>
        <w:rPr>
          <w:rFonts w:ascii="Times New Roman" w:hAnsi="Times New Roman" w:eastAsia="Times New Roman" w:cs="Times New Roman"/>
        </w:rPr>
        <w:t>Car nul homme ne peut poser un autre fondement que celui qui a été posé, savoir Jésus-Christ. 1 Corinthiens 3:11.</w:t>
      </w:r>
    </w:p>
    <w:p>
      <w:pPr>
        <w:pStyle w:val="ArticleBody"/>
        <w:jc w:val="left"/>
      </w:pPr>
      <w:r>
        <w:rPr>
          <w:rFonts w:ascii="Times New Roman" w:hAnsi="Times New Roman" w:eastAsia="Times New Roman" w:cs="Times New Roman"/>
        </w:rPr>
        <w:t>Non seulement Christ est le fondement, mais il est aussi la pierre de fondation que les bâtisseurs ont rejetée et sur laquelle ils ont ensuite trébuché. Il est la pierre qui devient finalement la pierre angulaire. Dans l’histoire millérite, les « sept temps » étaient le symbole de cette pierre angulaire.</w:t>
      </w:r>
    </w:p>
    <w:p>
      <w:pPr>
        <w:pStyle w:val="ArticleBody"/>
        <w:jc w:val="left"/>
      </w:pPr>
      <w:r>
        <w:rPr>
          <w:rFonts w:ascii="Times New Roman" w:hAnsi="Times New Roman" w:eastAsia="Times New Roman" w:cs="Times New Roman"/>
        </w:rPr>
        <w:t>Christ a confirmé l’alliance avec plusieurs pour une semaine. La structure de la prophétie des « sept temps » contre le royaume du nord d’Israël (qu’Hiram Edson avait identifiée dans les huit articles inachevés) reproduisait la structure identique de la semaine prophétique au cours de laquelle Christ confirma l’alliance, en accomplissement de Daniel, chapitre neuf, verset vingt-sept. La semaine pendant laquelle Christ rassemblait Israël est la structure identique de la semaine pendant laquelle Christ dispersait Israël. La dispersion de l’Israël ancien fut de deux mille cinq cent vingt ans, et le rassemblement de l’Israël spirituel fut de deux mille cinq cent vingt jours. Il rassembla Israël pour confirmer l’alliance, et Il dispersa Israël à cause de la querelle de Son alliance. Identifier les « sept temps » comme la pierre de fondement du temple millérite est en parfait accord avec l’identification de Christ comme la pierre de fondement. Rejeter cette pierre, c’est rejeter Christ.</w:t>
      </w:r>
    </w:p>
    <w:p>
      <w:pPr>
        <w:pStyle w:val="ArticleBody"/>
        <w:jc w:val="left"/>
      </w:pPr>
      <w:r>
        <w:rPr>
          <w:rFonts w:ascii="Times New Roman" w:hAnsi="Times New Roman" w:eastAsia="Times New Roman" w:cs="Times New Roman"/>
        </w:rPr>
        <w:t>Lorsque le Christ, en 1856, pour la toute première fois dans l’histoire chrétienne, se tint à frapper à la porte de Laodicée, Il cherchait à produire un accroissement de connaissance au sujet de la pierre d’achoppement que les bâtisseurs étaient sur le point de rejeter. Sept ans plus tard, ou, si vous préférez, deux mille cinq cent vingt jours symboliques plus tard, l’adventisme laodicéen ferma la porte. Hélas, l’adventisme refusa de voir l’accroissement de connaissance. Une pierre sur laquelle on trébuche est une pierre que l’on ne voit pas, mais elle est néanmoins là.</w:t>
      </w:r>
    </w:p>
    <w:p>
      <w:pPr>
        <w:pStyle w:val="ArticleScripture"/>
        <w:jc w:val="left"/>
      </w:pPr>
      <w:r>
        <w:rPr>
          <w:rFonts w:ascii="Times New Roman" w:hAnsi="Times New Roman" w:eastAsia="Times New Roman" w:cs="Times New Roman"/>
        </w:rPr>
        <w:t>Mon peuple est détruit faute de connaissance; parce que tu as rejeté la connaissance, je te rejetterai aussi, afin que tu ne sois plus mon sacrificateur; puisque tu as oublié la loi de ton Dieu, j’oublierai aussi tes enfants. Osée 4:6.</w:t>
      </w:r>
    </w:p>
    <w:p>
      <w:pPr>
        <w:pStyle w:val="ArticleBody"/>
        <w:jc w:val="left"/>
      </w:pP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शाप</w:t>
      </w:r>
      <w:r>
        <w:rPr>
          <w:rFonts w:ascii="Times New Roman" w:hAnsi="Times New Roman" w:eastAsia="Times New Roman" w:cs="Times New Roman"/>
        </w:rPr>
        <w:t xml:space="preserve"> 677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चौदह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तेईस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22 </w:t>
      </w:r>
      <w:r>
        <w:rPr>
          <w:rFonts w:ascii="Nirmala UI" w:hAnsi="Nirmala UI" w:eastAsia="Nirmala UI" w:cs="Nirmala UI"/>
        </w:rPr>
        <w:t>अक्तूबर</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एडवेंट</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केंद्रीय</w:t>
      </w:r>
      <w:r>
        <w:rPr>
          <w:rFonts w:ascii="Times New Roman" w:hAnsi="Times New Roman" w:eastAsia="Times New Roman" w:cs="Times New Roman"/>
        </w:rPr>
        <w:t xml:space="preserve"> </w:t>
      </w:r>
      <w:r>
        <w:rPr>
          <w:rFonts w:ascii="Nirmala UI" w:hAnsi="Nirmala UI" w:eastAsia="Nirmala UI" w:cs="Nirmala UI"/>
        </w:rPr>
        <w:t>स्तंभ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एडवेंटवाद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केंद्रीय</w:t>
      </w:r>
      <w:r>
        <w:rPr>
          <w:rFonts w:ascii="Times New Roman" w:hAnsi="Times New Roman" w:eastAsia="Times New Roman" w:cs="Times New Roman"/>
        </w:rPr>
        <w:t xml:space="preserve"> </w:t>
      </w:r>
      <w:r>
        <w:rPr>
          <w:rFonts w:ascii="Nirmala UI" w:hAnsi="Nirmala UI" w:eastAsia="Nirmala UI" w:cs="Nirmala UI"/>
        </w:rPr>
        <w:t>स्तंभ</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भविष्यद्वाणियाँ</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तेईस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मलाकी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मत्ती</w:t>
      </w:r>
      <w:r>
        <w:rPr>
          <w:rFonts w:ascii="Times New Roman" w:hAnsi="Times New Roman" w:eastAsia="Times New Roman" w:cs="Times New Roman"/>
        </w:rPr>
        <w:t xml:space="preserve"> </w:t>
      </w:r>
      <w:r>
        <w:rPr>
          <w:rFonts w:ascii="Nirmala UI" w:hAnsi="Nirmala UI" w:eastAsia="Nirmala UI" w:cs="Nirmala UI"/>
        </w:rPr>
        <w:t>पच्चीस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22 </w:t>
      </w:r>
      <w:r>
        <w:rPr>
          <w:rFonts w:ascii="Nirmala UI" w:hAnsi="Nirmala UI" w:eastAsia="Nirmala UI" w:cs="Nirmala UI"/>
        </w:rPr>
        <w:t>अक्तूबर</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22 </w:t>
      </w:r>
      <w:r>
        <w:rPr>
          <w:rFonts w:ascii="Nirmala UI" w:hAnsi="Nirmala UI" w:eastAsia="Nirmala UI" w:cs="Nirmala UI"/>
        </w:rPr>
        <w:t>अक्तूबर</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एडवेंट</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आधारभूत</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p>
    <w:p>
      <w:pPr>
        <w:pStyle w:val="ArticleScripture"/>
        <w:jc w:val="left"/>
      </w:pPr>
      <w:r>
        <w:rPr>
          <w:rFonts w:ascii="Times New Roman" w:hAnsi="Times New Roman" w:eastAsia="Times New Roman" w:cs="Times New Roman"/>
        </w:rPr>
        <w:t>Et l’ange que je vis se tenir sur la mer et sur la terre leva sa main vers le ciel, et jura par celui qui vit aux siècles des siècles, qui a créé le ciel et les choses qui y sont, la terre et les choses qui y sont, et la mer et les choses qui y sont, qu’il n’y aurait plus de temps. Apocalypse 10:5, 6.</w:t>
      </w:r>
    </w:p>
    <w:p>
      <w:pPr>
        <w:pStyle w:val="ArticleBody"/>
        <w:jc w:val="left"/>
      </w:pPr>
      <w:r>
        <w:rPr>
          <w:rFonts w:ascii="Leelawadee UI" w:hAnsi="Leelawadee UI" w:eastAsia="Leelawadee UI" w:cs="Leelawadee UI"/>
        </w:rPr>
        <w:t>ស៊ីស្ទើរ</w:t>
      </w:r>
      <w:r>
        <w:rPr>
          <w:rFonts w:ascii="Times New Roman" w:hAnsi="Times New Roman" w:eastAsia="Times New Roman" w:cs="Times New Roman"/>
        </w:rPr>
        <w:t xml:space="preserve"> </w:t>
      </w:r>
      <w:r>
        <w:rPr>
          <w:rFonts w:ascii="Leelawadee UI" w:hAnsi="Leelawadee UI" w:eastAsia="Leelawadee UI" w:cs="Leelawadee UI"/>
        </w:rPr>
        <w:t>វ៉ៃត៍</w:t>
      </w:r>
      <w:r>
        <w:rPr>
          <w:rFonts w:ascii="Times New Roman" w:hAnsi="Times New Roman" w:eastAsia="Times New Roman" w:cs="Times New Roman"/>
        </w:rPr>
        <w:t xml:space="preserve"> </w:t>
      </w:r>
      <w:r>
        <w:rPr>
          <w:rFonts w:ascii="Leelawadee UI" w:hAnsi="Leelawadee UI" w:eastAsia="Leelawadee UI" w:cs="Leelawadee UI"/>
        </w:rPr>
        <w:t>កំណត់អត្តសញ្ញាណទេវតានៅក្នុង</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១០</w:t>
      </w:r>
      <w:r>
        <w:rPr>
          <w:rFonts w:ascii="Times New Roman" w:hAnsi="Times New Roman" w:eastAsia="Times New Roman" w:cs="Times New Roman"/>
        </w:rPr>
        <w:t xml:space="preserve"> </w:t>
      </w:r>
      <w:r>
        <w:rPr>
          <w:rFonts w:ascii="Leelawadee UI" w:hAnsi="Leelawadee UI" w:eastAsia="Leelawadee UI" w:cs="Leelawadee UI"/>
        </w:rPr>
        <w:t>ដែលឈរលើដី</w:t>
      </w:r>
      <w:r>
        <w:rPr>
          <w:rFonts w:ascii="Times New Roman" w:hAnsi="Times New Roman" w:eastAsia="Times New Roman" w:cs="Times New Roman"/>
        </w:rPr>
        <w:t xml:space="preserve"> </w:t>
      </w:r>
      <w:r>
        <w:rPr>
          <w:rFonts w:ascii="Leelawadee UI" w:hAnsi="Leelawadee UI" w:eastAsia="Leelawadee UI" w:cs="Leelawadee UI"/>
        </w:rPr>
        <w:t>និងសមុទ្រ</w:t>
      </w:r>
      <w:r>
        <w:rPr>
          <w:rFonts w:ascii="Times New Roman" w:hAnsi="Times New Roman" w:eastAsia="Times New Roman" w:cs="Times New Roman"/>
        </w:rPr>
        <w:t xml:space="preserve"> </w:t>
      </w:r>
      <w:r>
        <w:rPr>
          <w:rFonts w:ascii="Leelawadee UI" w:hAnsi="Leelawadee UI" w:eastAsia="Leelawadee UI" w:cs="Leelawadee UI"/>
        </w:rPr>
        <w:t>ថាជាព្រះយេស៊ូវគ្រីស្ទ។</w:t>
      </w:r>
    </w:p>
    <w:p>
      <w:pPr>
        <w:pStyle w:val="ArticleScripture"/>
        <w:jc w:val="left"/>
      </w:pPr>
      <w:r>
        <w:rPr>
          <w:rFonts w:ascii="Times New Roman" w:hAnsi="Times New Roman" w:eastAsia="Times New Roman" w:cs="Times New Roman"/>
        </w:rPr>
        <w:t>«Այն հզոր հրեշտակը, որ խրատեց Հովհաննեսին, ոչ պակաս անձնավորություն էր, քան Հիսուս Քրիստոսը։ Իր աջ ոտքը ծովի վրա, և ձախը՝ ցամաքի վրա դնելը ցույց է տալիս այն դերը, որ Նա կատարում է Սատանայի հետ մեծ պայքարի եզրափակիչ տեսարաններում։ Այս դիրքը նշանավորում է Նրա գերագույն զորությունն ու իշխանությունը ամբողջ երկրի վրա»։ The Seventh-day Adventist Bible Commentary, volume 7, 971.</w:t>
      </w:r>
    </w:p>
    <w:p>
      <w:pPr>
        <w:pStyle w:val="ArticleBody"/>
        <w:jc w:val="left"/>
      </w:pPr>
      <w:r>
        <w:rPr>
          <w:rFonts w:ascii="Times New Roman" w:hAnsi="Times New Roman" w:eastAsia="Times New Roman" w:cs="Times New Roman"/>
        </w:rPr>
        <w:t>Քրիստոսը ծովի և երկրի վրա կանգնելու դիրք ընդունեց՝ ներկայացնելու Իր գերագույն իշխանությունը։ Այնուհետև Նա բարձրացրեց Իր ձեռքը և հրամայեց, որ «ժամանակ այլևս չլինի»։ Քրիստոսը ուխտի մեջ էր մտնում միլլերիտների հետ, և Նա նրանց տվեց մեկ պատվիրան, ճիշտ ինչպես տվեց Աբրահամին, երբ նրա հետ ուխտի մեջ մտավ։ Նա հրամայեց Աբրահամին թլփատել արու զավակներին։ Երբ Նա Մովսեսի պատմության ընթացքում ընտրված ժողովրդի հետ ուխտի մեջ մտավ, տվեց բազմաթիվ պատվիրաններ, և այդ պատվիրանների մեջ մտնում էր նաև այն կարգադրությունը, որ միայն քահանաները կարող էին դիպչել տապանակին։ 1844 թվականի հոկտեմբերի 22-ին Նա բարձրացրեց Իր ձեռքը և երդվեց, որ մարգարեական ժամանակն այլևս չպետք է ներառվի աստվածաշնչյան մարգարեությունների մեջ։ Հիսուսը «ժամանակների և եղանակների» թեմային անդրադարձել էր, երբ հրեշտակների ամպի մեջ երկինք համբարձվեց՝ այդպիսով որպես դրոշմակ ներկայացնելով երկու վկաների համբարձումը։ Այն, ինչ Նա այն ժամանակ պատվիրեց, վերաբերում էր «ժամանակներին և եղանակներին»։</w:t>
      </w:r>
    </w:p>
    <w:p>
      <w:pPr>
        <w:pStyle w:val="ArticleScripture"/>
        <w:jc w:val="left"/>
      </w:pP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एकत्र</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बहाल</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उनसे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अवधियों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जानना</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आएगा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सामर्थ</w:t>
      </w:r>
      <w:r>
        <w:rPr>
          <w:rFonts w:ascii="Times New Roman" w:hAnsi="Times New Roman" w:eastAsia="Times New Roman" w:cs="Times New Roman"/>
        </w:rPr>
        <w:t xml:space="preserve"> </w:t>
      </w:r>
      <w:r>
        <w:rPr>
          <w:rFonts w:ascii="Nirmala UI" w:hAnsi="Nirmala UI" w:eastAsia="Nirmala UI" w:cs="Nirmala UI"/>
        </w:rPr>
        <w:t>पाओगे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यहूदिया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सामरिया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छोर</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प्रेरितों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1:6–8</w:t>
      </w:r>
      <w:r>
        <w:rPr>
          <w:rFonts w:ascii="Nirmala UI" w:hAnsi="Nirmala UI" w:eastAsia="Nirmala UI" w:cs="Nirmala UI"/>
        </w:rPr>
        <w:t>।</w:t>
      </w:r>
    </w:p>
    <w:p>
      <w:pPr>
        <w:pStyle w:val="ArticleBody"/>
        <w:jc w:val="left"/>
      </w:pPr>
      <w:r>
        <w:rPr>
          <w:rFonts w:ascii="Times New Roman" w:hAnsi="Times New Roman" w:eastAsia="Times New Roman" w:cs="Times New Roman"/>
        </w:rPr>
        <w:t>Jésus n’a pas dit qu’il n’y avait ni temps ni saisons, car, parlant par Salomon, il avait confirmé qu’il y a des « temps et des saisons ».</w:t>
      </w:r>
    </w:p>
    <w:p>
      <w:pPr>
        <w:pStyle w:val="ArticleScripture"/>
        <w:jc w:val="left"/>
      </w:pPr>
      <w:r>
        <w:rPr>
          <w:rFonts w:ascii="Times New Roman" w:hAnsi="Times New Roman" w:eastAsia="Times New Roman" w:cs="Times New Roman"/>
        </w:rPr>
        <w:t>Для всего есть своё время, и свой срок — для всякого дела под небом: Екклесиаст 3:1.</w:t>
      </w:r>
    </w:p>
    <w:p>
      <w:pPr>
        <w:pStyle w:val="ArticleBody"/>
        <w:jc w:val="left"/>
      </w:pPr>
      <w:r>
        <w:rPr>
          <w:rFonts w:ascii="Times New Roman" w:hAnsi="Times New Roman" w:eastAsia="Times New Roman" w:cs="Times New Roman"/>
        </w:rPr>
        <w:t>Bibelns geschiedenis bevat “tijden en gelegenheden” die getuigenissen zijn van Palmoni, de “Wonderbare Teller”, maar sinds 22 oktober 1844 is Gods volk bevolen nooit meer een profetische boodschap te verkondigen die aan tijd is opgehangen. De raad van Jezus aan de discipelen vlak voordat Hij opvoer, vertegenwoordigt de geschiedenis vlak voordat Zijn gereinigde volk als een banier wordt verheven in Openbaring hoofdstuk elf, en zij stemt overeen met het bevel dat Hij op 22 oktober 1844 gaf. Op de grondleggende datum van het adventisme gebood Christus dat er geen profetische boodschappen meer op tijd gebaseerd mochten zijn, en bij Zijn hemelvaart, die de hemelvaart van de twee getuigen in Openbaring elf voorafschaduwde, herhaalde Hij dat bevel.</w:t>
      </w:r>
    </w:p>
    <w:p>
      <w:pPr>
        <w:pStyle w:val="ArticleScripture"/>
        <w:jc w:val="left"/>
      </w:pPr>
      <w:r>
        <w:rPr>
          <w:rFonts w:ascii="Times New Roman" w:hAnsi="Times New Roman" w:eastAsia="Times New Roman" w:cs="Times New Roman"/>
        </w:rPr>
        <w:t>“Que todos os nossos irmãos e irmãs se acautelem de qualquer pessoa que queira marcar um tempo para o Senhor cumprir a Sua palavra com respeito à Sua vinda, ou com respeito a qualquer outra promessa que Ele tenha feito de especial significado. ‘Não vos pertence saber os tempos ou as estações que o Pai estabeleceu pelo Seu próprio poder.’ Falsos mestres podem parecer muito zelosos pela obra de Deus e podem despender recursos para levar suas teorias perante o mundo e a igreja; mas, ao misturarem o erro com a verdade, sua mensagem é de engano e conduzirá almas por caminhos falsos. Devem ser enfrentados e combatidos, não porque sejam homens maus, mas porque são mestres da falsidade e estão procurando impor à falsidade o selo da verdade.” Testemunhos para Ministros, 55.</w:t>
      </w:r>
    </w:p>
    <w:p>
      <w:pPr>
        <w:pStyle w:val="ArticleBody"/>
        <w:jc w:val="left"/>
      </w:pPr>
      <w:r>
        <w:rPr>
          <w:rFonts w:ascii="Times New Roman" w:hAnsi="Times New Roman" w:eastAsia="Times New Roman" w:cs="Times New Roman"/>
        </w:rPr>
        <w:t>Kunwarqaq White ersarippoq, piffissamik nalunaarut, immikkut pingaaruteqartumik arlaannik aalajangersaalluni saqqummiussaq, qaqugulluunniit pigissanngikkipput—taanna tassaavoq pinnani kisimik Tikeqqinnissaa. Piffissamik siulittuineq, Millerikkunni peqatigiinnermut sammisaasoq, 22. oktober 1844-mi naavoq, ullorlu tunngaviusoq taanna pillugu peqqussutaasoq kisiartaavoq, piffik Guutip nalunaarutaanik saqqummiussinermi kingorna qaquguluunniit atorneqaqqissanngitsoq.</w:t>
      </w:r>
    </w:p>
    <w:p>
      <w:pPr>
        <w:pStyle w:val="ArticleBody"/>
        <w:jc w:val="left"/>
      </w:pPr>
      <w:r>
        <w:rPr>
          <w:rFonts w:ascii="Times New Roman" w:hAnsi="Times New Roman" w:eastAsia="Times New Roman" w:cs="Times New Roman"/>
        </w:rPr>
        <w:t>Mwanzoni mwa harakati ya malaika wa kwanza, hasa katika hatua ya mpito kutoka Filadelfia kwenda Laodikia, nuru iliyoongezeka ilitolewa juu ya kweli ya msingi ya harakati ya Wamilleri. Miaka saba baadaye, au siku elfu mbili mia tano na ishirini za kiishara baadaye, au “jangwa” moja baadaye, katika mwaka wa 1863, jiwe la msingi la “nyakati saba” liliwekwa kando na wajenzi.</w:t>
      </w:r>
    </w:p>
    <w:p>
      <w:pPr>
        <w:pStyle w:val="ArticleBody"/>
        <w:jc w:val="left"/>
      </w:pPr>
      <w:r>
        <w:rPr>
          <w:rFonts w:ascii="Times New Roman" w:hAnsi="Times New Roman" w:eastAsia="Times New Roman" w:cs="Times New Roman"/>
        </w:rPr>
        <w:t>Dat seevte Boodskup bi dat afslutende Beweging vun de darde Engel, jüst bi dat Obergahn vun Laodicea na Philadelphia, warrt en Prööv geven, de ok en Bekenntnis vun de Sünnen vun de Vaders in sik slut. De Prööv vun de Grundlaag för de Vaders weer de „seven times“, wat ehr Grundsteen weer. Warrt de afslutende Beweging dat eenzige Gebott, dat mit dat grundleggenden Datum verbunnen is, missachten, so as ehr Vaders ehr Grundsteen missacht hebbt?</w:t>
      </w:r>
    </w:p>
    <w:p>
      <w:pPr>
        <w:pStyle w:val="ArticleBody"/>
        <w:jc w:val="left"/>
      </w:pPr>
      <w:r>
        <w:rPr>
          <w:rFonts w:ascii="Times New Roman" w:hAnsi="Times New Roman" w:eastAsia="Times New Roman" w:cs="Times New Roman"/>
        </w:rPr>
        <w:t>Oui. Ils ont très certainement fait cela même. Ils ont répété les péchés de leurs pères.</w:t>
      </w:r>
    </w:p>
    <w:p>
      <w:pPr>
        <w:pStyle w:val="ArticleBody"/>
        <w:jc w:val="left"/>
      </w:pPr>
      <w:r>
        <w:rPr>
          <w:rFonts w:ascii="Times New Roman" w:hAnsi="Times New Roman" w:eastAsia="Times New Roman" w:cs="Times New Roman"/>
        </w:rPr>
        <w:t>Leurs pères n’ont pas péché à la date fondatrice, car, entre autres choses, ils étaient encore Philadelphiens à cette date fondatrice. Leurs pères ont échoué à leur épreuve fondatrice lorsqu’ils se sont transformés en Laodicée et ont rejeté les « sept temps » ainsi que la lumière croissante qui les accompagnait.</w:t>
      </w:r>
    </w:p>
    <w:p>
      <w:pPr>
        <w:pStyle w:val="ArticleBody"/>
        <w:jc w:val="left"/>
      </w:pPr>
      <w:r>
        <w:rPr>
          <w:rFonts w:ascii="Times New Roman" w:hAnsi="Times New Roman" w:eastAsia="Times New Roman" w:cs="Times New Roman"/>
        </w:rPr>
        <w:t xml:space="preserve">1863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ভিত্তিমূলক</w:t>
      </w:r>
      <w:r>
        <w:rPr>
          <w:rFonts w:ascii="Times New Roman" w:hAnsi="Times New Roman" w:eastAsia="Times New Roman" w:cs="Times New Roman"/>
        </w:rPr>
        <w:t xml:space="preserve"> </w:t>
      </w:r>
      <w:r>
        <w:rPr>
          <w:rFonts w:ascii="Nirmala UI" w:hAnsi="Nirmala UI" w:eastAsia="Nirmala UI" w:cs="Nirmala UI"/>
        </w:rPr>
        <w:t>ব্যর্থতার</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ধরে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লাওদিকেয়ীয়</w:t>
      </w:r>
      <w:r>
        <w:rPr>
          <w:rFonts w:ascii="Times New Roman" w:hAnsi="Times New Roman" w:eastAsia="Times New Roman" w:cs="Times New Roman"/>
        </w:rPr>
        <w:t xml:space="preserve"> </w:t>
      </w:r>
      <w:r>
        <w:rPr>
          <w:rFonts w:ascii="Nirmala UI" w:hAnsi="Nirmala UI" w:eastAsia="Nirmala UI" w:cs="Nirmala UI"/>
        </w:rPr>
        <w:t>হৃদয়ের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করাঘাত</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প্রান্তর</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 xml:space="preserve"> 1856 </w:t>
      </w:r>
      <w:r>
        <w:rPr>
          <w:rFonts w:ascii="Nirmala UI" w:hAnsi="Nirmala UI" w:eastAsia="Nirmala UI" w:cs="Nirmala UI"/>
        </w:rPr>
        <w:t>থেকে</w:t>
      </w:r>
      <w:r>
        <w:rPr>
          <w:rFonts w:ascii="Times New Roman" w:hAnsi="Times New Roman" w:eastAsia="Times New Roman" w:cs="Times New Roman"/>
        </w:rPr>
        <w:t xml:space="preserve"> 1863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প্রান্তর</w:t>
      </w:r>
      <w:r>
        <w:rPr>
          <w:rFonts w:ascii="Times New Roman" w:hAnsi="Times New Roman" w:eastAsia="Times New Roman" w:cs="Times New Roman"/>
        </w:rPr>
        <w:t>”-</w:t>
      </w:r>
      <w:r>
        <w:rPr>
          <w:rFonts w:ascii="Nirmala UI" w:hAnsi="Nirmala UI" w:eastAsia="Nirmala UI" w:cs="Nirmala UI"/>
        </w:rPr>
        <w:t>পর্বের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ভিত্তিমূলক</w:t>
      </w:r>
      <w:r>
        <w:rPr>
          <w:rFonts w:ascii="Times New Roman" w:hAnsi="Times New Roman" w:eastAsia="Times New Roman" w:cs="Times New Roman"/>
        </w:rPr>
        <w:t xml:space="preserve"> </w:t>
      </w:r>
      <w:r>
        <w:rPr>
          <w:rFonts w:ascii="Nirmala UI" w:hAnsi="Nirmala UI" w:eastAsia="Nirmala UI" w:cs="Nirmala UI"/>
        </w:rPr>
        <w:t>পরীক্ষায়</w:t>
      </w:r>
      <w:r>
        <w:rPr>
          <w:rFonts w:ascii="Times New Roman" w:hAnsi="Times New Roman" w:eastAsia="Times New Roman" w:cs="Times New Roman"/>
        </w:rPr>
        <w:t xml:space="preserve"> </w:t>
      </w:r>
      <w:r>
        <w:rPr>
          <w:rFonts w:ascii="Nirmala UI" w:hAnsi="Nirmala UI" w:eastAsia="Nirmala UI" w:cs="Nirmala UI"/>
        </w:rPr>
        <w:t>ব্যর্থ</w:t>
      </w:r>
      <w:r>
        <w:rPr>
          <w:rFonts w:ascii="Times New Roman" w:hAnsi="Times New Roman" w:eastAsia="Times New Roman" w:cs="Times New Roman"/>
        </w:rPr>
        <w:t xml:space="preserve"> </w:t>
      </w:r>
      <w:r>
        <w:rPr>
          <w:rFonts w:ascii="Nirmala UI" w:hAnsi="Nirmala UI" w:eastAsia="Nirmala UI" w:cs="Nirmala UI"/>
        </w:rPr>
        <w:t>হয়েছিল।</w:t>
      </w:r>
    </w:p>
    <w:p>
      <w:pPr>
        <w:pStyle w:val="ArticleBody"/>
        <w:jc w:val="left"/>
      </w:pPr>
      <w:r>
        <w:rPr>
          <w:rFonts w:ascii="Microsoft YaHei" w:hAnsi="Microsoft YaHei" w:eastAsia="Microsoft YaHei" w:cs="Microsoft YaHei"/>
        </w:rPr>
        <w:t>在第三位天使运动的第一次失望之中</w:t>
      </w:r>
      <w:r>
        <w:rPr>
          <w:rFonts w:ascii="Times New Roman" w:hAnsi="Times New Roman" w:eastAsia="Times New Roman" w:cs="Times New Roman"/>
        </w:rPr>
        <w:t>,</w:t>
      </w:r>
      <w:r>
        <w:rPr>
          <w:rFonts w:ascii="Microsoft YaHei" w:hAnsi="Microsoft YaHei" w:eastAsia="Microsoft YaHei" w:cs="Microsoft YaHei"/>
        </w:rPr>
        <w:t>上帝的子民犯了罪</w:t>
      </w:r>
      <w:r>
        <w:rPr>
          <w:rFonts w:ascii="Times New Roman" w:hAnsi="Times New Roman" w:eastAsia="Times New Roman" w:cs="Times New Roman"/>
        </w:rPr>
        <w:t>;</w:t>
      </w:r>
      <w:r>
        <w:rPr>
          <w:rFonts w:ascii="Microsoft YaHei" w:hAnsi="Microsoft YaHei" w:eastAsia="Microsoft YaHei" w:cs="Microsoft YaHei"/>
        </w:rPr>
        <w:t>他们拒绝了那唯一与根基性的日期直接相关联的命令</w:t>
      </w:r>
      <w:r>
        <w:rPr>
          <w:rFonts w:ascii="Times New Roman" w:hAnsi="Times New Roman" w:eastAsia="Times New Roman" w:cs="Times New Roman"/>
        </w:rPr>
        <w:t>.</w:t>
      </w:r>
      <w:r>
        <w:rPr>
          <w:rFonts w:ascii="Microsoft YaHei" w:hAnsi="Microsoft YaHei" w:eastAsia="Microsoft YaHei" w:cs="Microsoft YaHei"/>
        </w:rPr>
        <w:t>他们明知不当</w:t>
      </w:r>
      <w:r>
        <w:rPr>
          <w:rFonts w:ascii="Times New Roman" w:hAnsi="Times New Roman" w:eastAsia="Times New Roman" w:cs="Times New Roman"/>
        </w:rPr>
        <w:t>,</w:t>
      </w:r>
      <w:r>
        <w:rPr>
          <w:rFonts w:ascii="Microsoft YaHei" w:hAnsi="Microsoft YaHei" w:eastAsia="Microsoft YaHei" w:cs="Microsoft YaHei"/>
        </w:rPr>
        <w:t>却仍选择将时间预言纳入这先知性的信息之中</w:t>
      </w:r>
      <w:r>
        <w:rPr>
          <w:rFonts w:ascii="Times New Roman" w:hAnsi="Times New Roman" w:eastAsia="Times New Roman" w:cs="Times New Roman"/>
        </w:rPr>
        <w:t>.</w:t>
      </w:r>
      <w:r>
        <w:rPr>
          <w:rFonts w:ascii="Microsoft YaHei" w:hAnsi="Microsoft YaHei" w:eastAsia="Microsoft YaHei" w:cs="Microsoft YaHei"/>
        </w:rPr>
        <w:t>如此行</w:t>
      </w:r>
      <w:r>
        <w:rPr>
          <w:rFonts w:ascii="Times New Roman" w:hAnsi="Times New Roman" w:eastAsia="Times New Roman" w:cs="Times New Roman"/>
        </w:rPr>
        <w:t>,</w:t>
      </w:r>
      <w:r>
        <w:rPr>
          <w:rFonts w:ascii="Microsoft YaHei" w:hAnsi="Microsoft YaHei" w:eastAsia="Microsoft YaHei" w:cs="Microsoft YaHei"/>
        </w:rPr>
        <w:t>他们便重演了摩西的罪</w:t>
      </w:r>
      <w:r>
        <w:rPr>
          <w:rFonts w:ascii="Times New Roman" w:hAnsi="Times New Roman" w:eastAsia="Times New Roman" w:cs="Times New Roman"/>
        </w:rPr>
        <w:t>——</w:t>
      </w:r>
      <w:r>
        <w:rPr>
          <w:rFonts w:ascii="Microsoft YaHei" w:hAnsi="Microsoft YaHei" w:eastAsia="Microsoft YaHei" w:cs="Microsoft YaHei"/>
        </w:rPr>
        <w:t>忽略给他的儿子行割礼</w:t>
      </w:r>
      <w:r>
        <w:rPr>
          <w:rFonts w:ascii="Times New Roman" w:hAnsi="Times New Roman" w:eastAsia="Times New Roman" w:cs="Times New Roman"/>
        </w:rPr>
        <w:t>——</w:t>
      </w:r>
      <w:r>
        <w:rPr>
          <w:rFonts w:ascii="Microsoft YaHei" w:hAnsi="Microsoft YaHei" w:eastAsia="Microsoft YaHei" w:cs="Microsoft YaHei"/>
        </w:rPr>
        <w:t>以及乌撒触摸约柜的罪</w:t>
      </w:r>
      <w:r>
        <w:rPr>
          <w:rFonts w:ascii="Times New Roman" w:hAnsi="Times New Roman" w:eastAsia="Times New Roman" w:cs="Times New Roman"/>
        </w:rPr>
        <w:t>;</w:t>
      </w:r>
      <w:r>
        <w:rPr>
          <w:rFonts w:ascii="Microsoft YaHei" w:hAnsi="Microsoft YaHei" w:eastAsia="Microsoft YaHei" w:cs="Microsoft YaHei"/>
        </w:rPr>
        <w:t>他原知道自己被禁止如此行</w:t>
      </w:r>
      <w:r>
        <w:rPr>
          <w:rFonts w:ascii="Times New Roman" w:hAnsi="Times New Roman" w:eastAsia="Times New Roman" w:cs="Times New Roman"/>
        </w:rPr>
        <w:t>.</w:t>
      </w:r>
      <w:r>
        <w:rPr>
          <w:rFonts w:ascii="Microsoft YaHei" w:hAnsi="Microsoft YaHei" w:eastAsia="Microsoft YaHei" w:cs="Microsoft YaHei"/>
        </w:rPr>
        <w:t>第三位天使的运动行了他们明知不对的事！若有人想要涂抹这一事实</w:t>
      </w:r>
      <w:r>
        <w:rPr>
          <w:rFonts w:ascii="Times New Roman" w:hAnsi="Times New Roman" w:eastAsia="Times New Roman" w:cs="Times New Roman"/>
        </w:rPr>
        <w:t>,</w:t>
      </w:r>
      <w:r>
        <w:rPr>
          <w:rFonts w:ascii="Microsoft YaHei" w:hAnsi="Microsoft YaHei" w:eastAsia="Microsoft YaHei" w:cs="Microsoft YaHei"/>
        </w:rPr>
        <w:t>那么就把其余的油漆也一并用上</w:t>
      </w:r>
      <w:r>
        <w:rPr>
          <w:rFonts w:ascii="Times New Roman" w:hAnsi="Times New Roman" w:eastAsia="Times New Roman" w:cs="Times New Roman"/>
        </w:rPr>
        <w:t>,</w:t>
      </w:r>
      <w:r>
        <w:rPr>
          <w:rFonts w:ascii="Microsoft YaHei" w:hAnsi="Microsoft YaHei" w:eastAsia="Microsoft YaHei" w:cs="Microsoft YaHei"/>
        </w:rPr>
        <w:t>好遮盖这样一个真理：摩西和乌撒二人都犯了罪</w:t>
      </w:r>
      <w:r>
        <w:rPr>
          <w:rFonts w:ascii="Times New Roman" w:hAnsi="Times New Roman" w:eastAsia="Times New Roman" w:cs="Times New Roman"/>
        </w:rPr>
        <w:t>,</w:t>
      </w:r>
      <w:r>
        <w:rPr>
          <w:rFonts w:ascii="Microsoft YaHei" w:hAnsi="Microsoft YaHei" w:eastAsia="Microsoft YaHei" w:cs="Microsoft YaHei"/>
        </w:rPr>
        <w:t>并显明了对上帝旨意的悖逆</w:t>
      </w:r>
      <w:r>
        <w:rPr>
          <w:rFonts w:ascii="Times New Roman" w:hAnsi="Times New Roman" w:eastAsia="Times New Roman" w:cs="Times New Roman"/>
        </w:rPr>
        <w:t>;</w:t>
      </w:r>
      <w:r>
        <w:rPr>
          <w:rFonts w:ascii="Microsoft YaHei" w:hAnsi="Microsoft YaHei" w:eastAsia="Microsoft YaHei" w:cs="Microsoft YaHei"/>
        </w:rPr>
        <w:t>而他们正是预表那一切改革路线中最后之最后者的第一次失望</w:t>
      </w:r>
      <w:r>
        <w:rPr>
          <w:rFonts w:ascii="Times New Roman" w:hAnsi="Times New Roman" w:eastAsia="Times New Roman" w:cs="Times New Roman"/>
        </w:rPr>
        <w:t>——</w:t>
      </w:r>
      <w:r>
        <w:rPr>
          <w:rFonts w:ascii="Microsoft YaHei" w:hAnsi="Microsoft YaHei" w:eastAsia="Microsoft YaHei" w:cs="Microsoft YaHei"/>
        </w:rPr>
        <w:t>那一条一切改革路线都指向其前方的改革路线</w:t>
      </w:r>
      <w:r>
        <w:rPr>
          <w:rFonts w:ascii="Times New Roman" w:hAnsi="Times New Roman" w:eastAsia="Times New Roman" w:cs="Times New Roman"/>
        </w:rPr>
        <w:t>.</w:t>
      </w:r>
      <w:r>
        <w:rPr>
          <w:rFonts w:ascii="Microsoft YaHei" w:hAnsi="Microsoft YaHei" w:eastAsia="Microsoft YaHei" w:cs="Microsoft YaHei"/>
        </w:rPr>
        <w:t>改革路线中第一次失望的这些例证</w:t>
      </w:r>
      <w:r>
        <w:rPr>
          <w:rFonts w:ascii="Times New Roman" w:hAnsi="Times New Roman" w:eastAsia="Times New Roman" w:cs="Times New Roman"/>
        </w:rPr>
        <w:t>,</w:t>
      </w:r>
      <w:r>
        <w:rPr>
          <w:rFonts w:ascii="Microsoft YaHei" w:hAnsi="Microsoft YaHei" w:eastAsia="Microsoft YaHei" w:cs="Microsoft YaHei"/>
        </w:rPr>
        <w:t>带有阿尔法与欧米伽的印记</w:t>
      </w:r>
      <w:r>
        <w:rPr>
          <w:rFonts w:ascii="Times New Roman" w:hAnsi="Times New Roman" w:eastAsia="Times New Roman" w:cs="Times New Roman"/>
        </w:rPr>
        <w:t>;</w:t>
      </w:r>
      <w:r>
        <w:rPr>
          <w:rFonts w:ascii="Microsoft YaHei" w:hAnsi="Microsoft YaHei" w:eastAsia="Microsoft YaHei" w:cs="Microsoft YaHei"/>
        </w:rPr>
        <w:t>其中所留下的记录</w:t>
      </w:r>
      <w:r>
        <w:rPr>
          <w:rFonts w:ascii="Times New Roman" w:hAnsi="Times New Roman" w:eastAsia="Times New Roman" w:cs="Times New Roman"/>
        </w:rPr>
        <w:t>,</w:t>
      </w:r>
      <w:r>
        <w:rPr>
          <w:rFonts w:ascii="Microsoft YaHei" w:hAnsi="Microsoft YaHei" w:eastAsia="Microsoft YaHei" w:cs="Microsoft YaHei"/>
        </w:rPr>
        <w:t>乃是为上帝子民的益处</w:t>
      </w:r>
      <w:r>
        <w:rPr>
          <w:rFonts w:ascii="Times New Roman" w:hAnsi="Times New Roman" w:eastAsia="Times New Roman" w:cs="Times New Roman"/>
        </w:rPr>
        <w:t>,</w:t>
      </w:r>
      <w:r>
        <w:rPr>
          <w:rFonts w:ascii="Microsoft YaHei" w:hAnsi="Microsoft YaHei" w:eastAsia="Microsoft YaHei" w:cs="Microsoft YaHei"/>
        </w:rPr>
        <w:t>即便上帝的子民拒绝因此得益</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An ti pirsong anghel ket naited iti maysa a panawen a pito a tawen, a simbolo ti let-ang dagiti “pito a panawen,” tapno awatenna ti mensahe ti Laodicea a kaduana ti silaw dagiti “pito a panawen.” Ti lunod dagiti “pito a panawen” ket isu ti lunod ti pannakaitudok manipud iti ngiwat ti Apo. Idi 1863, inulitda ti aramid ti panangipatakder-manen iti Jerico, maysa nga aramid a naglaon iti maysa a “lunod.” Dagiti pito a tawen manipud 1856 agingga iti 1863 ket bassit a pagiladawan ti panagrebeldi dagiti ammada iti basol ti nagkauna nga Israel, a nangyeg kadakuada iti lunod dagiti “pito a panawen.” Inulit ti moderna nga Israel dagiti basol dagiti ammada idi 1863.</w:t>
      </w:r>
    </w:p>
    <w:p>
      <w:pPr>
        <w:pStyle w:val="ArticleBody"/>
        <w:jc w:val="left"/>
      </w:pPr>
      <w:r>
        <w:rPr>
          <w:rFonts w:ascii="Leelawadee UI" w:hAnsi="Leelawadee UI" w:eastAsia="Leelawadee UI" w:cs="Leelawadee UI"/>
        </w:rPr>
        <w:t>การเคลื่อนไหวของทูตสวรรค์องค์ที่สามได้ล้มเหลวต่อบททดสอบแห่งความผิดหวังครั้งแรก</w:t>
      </w:r>
      <w:r>
        <w:rPr>
          <w:rFonts w:ascii="Times New Roman" w:hAnsi="Times New Roman" w:eastAsia="Times New Roman" w:cs="Times New Roman"/>
        </w:rPr>
        <w:t xml:space="preserve"> </w:t>
      </w:r>
      <w:r>
        <w:rPr>
          <w:rFonts w:ascii="Leelawadee UI" w:hAnsi="Leelawadee UI" w:eastAsia="Leelawadee UI" w:cs="Leelawadee UI"/>
        </w:rPr>
        <w:t>อย่างแน่นอนเช่นเดียวกับโมเสสและอุสซาห์</w:t>
      </w:r>
      <w:r>
        <w:rPr>
          <w:rFonts w:ascii="Times New Roman" w:hAnsi="Times New Roman" w:eastAsia="Times New Roman" w:cs="Times New Roman"/>
        </w:rPr>
        <w:t xml:space="preserve"> </w:t>
      </w:r>
      <w:r>
        <w:rPr>
          <w:rFonts w:ascii="Leelawadee UI" w:hAnsi="Leelawadee UI" w:eastAsia="Leelawadee UI" w:cs="Leelawadee UI"/>
        </w:rPr>
        <w:t>จากนั้นพวกเขาถูกประหารในถนนทั้งหลายตลอดช่วงเวลา</w:t>
      </w:r>
      <w:r>
        <w:rPr>
          <w:rFonts w:ascii="Times New Roman" w:hAnsi="Times New Roman" w:eastAsia="Times New Roman" w:cs="Times New Roman"/>
        </w:rPr>
        <w:t xml:space="preserve"> “</w:t>
      </w:r>
      <w:r>
        <w:rPr>
          <w:rFonts w:ascii="Leelawadee UI" w:hAnsi="Leelawadee UI" w:eastAsia="Leelawadee UI" w:cs="Leelawadee UI"/>
        </w:rPr>
        <w:t>ถิ่นทุรกันดาร</w:t>
      </w:r>
      <w:r>
        <w:rPr>
          <w:rFonts w:ascii="Times New Roman" w:hAnsi="Times New Roman" w:eastAsia="Times New Roman" w:cs="Times New Roman"/>
        </w:rPr>
        <w:t xml:space="preserve">” </w:t>
      </w:r>
      <w:r>
        <w:rPr>
          <w:rFonts w:ascii="Leelawadee UI" w:hAnsi="Leelawadee UI" w:eastAsia="Leelawadee UI" w:cs="Leelawadee UI"/>
        </w:rPr>
        <w:t>เป็นเวลาสามวันครึ่ง</w:t>
      </w:r>
      <w:r>
        <w:rPr>
          <w:rFonts w:ascii="Times New Roman" w:hAnsi="Times New Roman" w:eastAsia="Times New Roman" w:cs="Times New Roman"/>
        </w:rPr>
        <w:t xml:space="preserve"> </w:t>
      </w:r>
      <w:r>
        <w:rPr>
          <w:rFonts w:ascii="Leelawadee UI" w:hAnsi="Leelawadee UI" w:eastAsia="Leelawadee UI" w:cs="Leelawadee UI"/>
        </w:rPr>
        <w:t>บัดนี้พวกเขากำลังถูกก่อรูปให้เป็นร่างกายต่าง</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โดยเสียงแห่งพระผู้ปลอบประโลม</w:t>
      </w:r>
      <w:r>
        <w:rPr>
          <w:rFonts w:ascii="Times New Roman" w:hAnsi="Times New Roman" w:eastAsia="Times New Roman" w:cs="Times New Roman"/>
        </w:rPr>
        <w:t xml:space="preserve"> </w:t>
      </w:r>
      <w:r>
        <w:rPr>
          <w:rFonts w:ascii="Leelawadee UI" w:hAnsi="Leelawadee UI" w:eastAsia="Leelawadee UI" w:cs="Leelawadee UI"/>
        </w:rPr>
        <w:t>เสียงแห่งพระผู้ปลอบประโลมกำลังถูกส่งผ่านทาง</w:t>
      </w:r>
      <w:r>
        <w:rPr>
          <w:rFonts w:ascii="Times New Roman" w:hAnsi="Times New Roman" w:eastAsia="Times New Roman" w:cs="Times New Roman"/>
        </w:rPr>
        <w:t xml:space="preserve"> “</w:t>
      </w:r>
      <w:r>
        <w:rPr>
          <w:rFonts w:ascii="Leelawadee UI" w:hAnsi="Leelawadee UI" w:eastAsia="Leelawadee UI" w:cs="Leelawadee UI"/>
        </w:rPr>
        <w:t>เสียง</w:t>
      </w:r>
      <w:r>
        <w:rPr>
          <w:rFonts w:ascii="Times New Roman" w:hAnsi="Times New Roman" w:eastAsia="Times New Roman" w:cs="Times New Roman"/>
        </w:rPr>
        <w:t xml:space="preserve">” </w:t>
      </w:r>
      <w:r>
        <w:rPr>
          <w:rFonts w:ascii="Leelawadee UI" w:hAnsi="Leelawadee UI" w:eastAsia="Leelawadee UI" w:cs="Leelawadee UI"/>
        </w:rPr>
        <w:t>ในถิ่นทุรกันดาร</w:t>
      </w:r>
      <w:r>
        <w:rPr>
          <w:rFonts w:ascii="Times New Roman" w:hAnsi="Times New Roman" w:eastAsia="Times New Roman" w:cs="Times New Roman"/>
        </w:rPr>
        <w:t xml:space="preserve"> </w:t>
      </w:r>
      <w:r>
        <w:rPr>
          <w:rFonts w:ascii="Leelawadee UI" w:hAnsi="Leelawadee UI" w:eastAsia="Leelawadee UI" w:cs="Leelawadee UI"/>
        </w:rPr>
        <w:t>และบัดนี้พวกเขากำลังเผชิญกับบททดสอบ</w:t>
      </w:r>
      <w:r>
        <w:rPr>
          <w:rFonts w:ascii="Times New Roman" w:hAnsi="Times New Roman" w:eastAsia="Times New Roman" w:cs="Times New Roman"/>
        </w:rPr>
        <w:t xml:space="preserve"> </w:t>
      </w:r>
      <w:r>
        <w:rPr>
          <w:rFonts w:ascii="Leelawadee UI" w:hAnsi="Leelawadee UI" w:eastAsia="Leelawadee UI" w:cs="Leelawadee UI"/>
        </w:rPr>
        <w:t>มิใช่เรื่องการกำหนดเวลา</w:t>
      </w:r>
      <w:r>
        <w:rPr>
          <w:rFonts w:ascii="Times New Roman" w:hAnsi="Times New Roman" w:eastAsia="Times New Roman" w:cs="Times New Roman"/>
        </w:rPr>
        <w:t xml:space="preserve"> </w:t>
      </w:r>
      <w:r>
        <w:rPr>
          <w:rFonts w:ascii="Leelawadee UI" w:hAnsi="Leelawadee UI" w:eastAsia="Leelawadee UI" w:cs="Leelawadee UI"/>
        </w:rPr>
        <w:t>แต่เป็นเรื่องของ</w:t>
      </w:r>
      <w:r>
        <w:rPr>
          <w:rFonts w:ascii="Times New Roman" w:hAnsi="Times New Roman" w:eastAsia="Times New Roman" w:cs="Times New Roman"/>
        </w:rPr>
        <w:t xml:space="preserve"> “</w:t>
      </w:r>
      <w:r>
        <w:rPr>
          <w:rFonts w:ascii="Leelawadee UI" w:hAnsi="Leelawadee UI" w:eastAsia="Leelawadee UI" w:cs="Leelawadee UI"/>
        </w:rPr>
        <w:t>เจ็ดเวลา</w:t>
      </w:r>
      <w:r>
        <w:rPr>
          <w:rFonts w:ascii="Times New Roman" w:hAnsi="Times New Roman" w:eastAsia="Times New Roman" w:cs="Times New Roman"/>
        </w:rPr>
        <w:t xml:space="preserve">” </w:t>
      </w:r>
      <w:r>
        <w:rPr>
          <w:rFonts w:ascii="Leelawadee UI" w:hAnsi="Leelawadee UI" w:eastAsia="Leelawadee UI" w:cs="Leelawadee UI"/>
        </w:rPr>
        <w:t>พวกเขาได้ล้มเหลวต่อบททดสอบเรื่องการกำหนดเวลาไปแล้ว</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انه‌ها آزموده نمی‌شوند که آیا «هفت زمان» را حقیقتی معتبر باور دارند یا نه، زیرا ایشان پیش‌تر شهادت داده‌اند که «هفت زمان» را نبوتی معتبر می‌پذیرند. آنان اقرار کرده‌اند که به نبوتِ دو هزار و پانصد و بیست سالِ پراکندگی ایمان دارند. اما ممکن است آگاه نباشند که دربارهٔ «هفت زمان» نوری تازه و آزمون‌کننده وجود دارد. ایشان در همان جایگاهی ایستاده‌اند که پدرانشان در سال 1856 ایستاده بودند. نور تازه این است که سه روز و نیمِ مکاشفهٔ یازده، صرفاً معرفِ انقلاب فرانسه نیست، بلکه اکنون حقیقتی حاضرالزمان نیز هست.</w:t>
      </w:r>
    </w:p>
    <w:p>
      <w:pPr>
        <w:pStyle w:val="ArticleBody"/>
        <w:jc w:val="left"/>
      </w:pPr>
      <w:r>
        <w:rPr>
          <w:rFonts w:ascii="Times New Roman" w:hAnsi="Times New Roman" w:eastAsia="Times New Roman" w:cs="Times New Roman"/>
        </w:rPr>
        <w:t>Je, kufunguliwa kwa historia iliyofichika ya ngurumo saba, na kufunguliwa kwa muhuri wa saba, kwa kweli ni mashahidi wawili wanaotambulisha kwamba Ufunuo wa Yesu Kristo sasa unafunguliwa? Ikiwa ndivyo, je, ni kweli kwamba kitabu kizima cha Ufunuo kinanena juu ya siku za mwisho? Ikiwa hilo ni kweli, basi hizo siku tatu na nusu zinawakilisha wakati wa kukawia katika mfano wa wanawali? Ikiwa ndivyo, basi je, dawa ya “nyakati saba” kwa kweli inawakilisha amri ambayo lazima itimizwe na wale walioshiriki katika unabii wa Nashville wa Julai 18, 2020?</w:t>
      </w:r>
    </w:p>
    <w:p>
      <w:pPr>
        <w:pStyle w:val="ArticleBody"/>
        <w:jc w:val="left"/>
      </w:pPr>
      <w:r>
        <w:rPr>
          <w:rFonts w:ascii="Times New Roman" w:hAnsi="Times New Roman" w:eastAsia="Times New Roman" w:cs="Times New Roman"/>
        </w:rPr>
        <w:t>Waow! Hili ni jaribio kwako! Je, wale wanaoamka na kutambua kwamba wako katika wakati wa kukawia, kwa kweli wanapaswa kutubu kwa dhambi zao, na dhambi za baba zao mwishoni mwa zile siku tatu na nusu? Je, kweli ilikuwa dhambi kupuuza amri ya kutotumia wakati katika unabii?</w:t>
      </w:r>
    </w:p>
    <w:p>
      <w:pPr>
        <w:pStyle w:val="ArticleBody"/>
        <w:jc w:val="left"/>
      </w:pPr>
      <w:r>
        <w:rPr>
          <w:rFonts w:ascii="Times New Roman" w:hAnsi="Times New Roman" w:eastAsia="Times New Roman" w:cs="Times New Roman"/>
        </w:rPr>
        <w:t>برای کسانی که این موضع را اختیار کردند که پیشگوییِ نافرجامِ نشویل به‌نحوی مقصودِ ارادیِ خدا بوده است، و پس از آن کوشیده‌اند آن ادعا را استوار نگه دارند، افزون بر گناهِ به‌کار بردنِ زمان در نبوت‌های خدا، ملاحظه‌ای دیگر نیز می‌افزایم. آنچه در پیشگوییِ کاذبِ نشویل رخ داد، صرفاً ظهوری از سرکشی در برابر فرمانِ مسیح در سال 1844 نبود، بلکه عملی بود که به کسانی بیرون از ادونتیسم اعلام می‌کرد که پیشگویی‌های موجود در روح نبوت معیوب‌اند. این مایهٔ ننگی بر نوشته‌های روح نبوت بود. این امر برای اهل جهان گواهی فراهم می‌آورد که نوشته‌های الن وایت به همان اندازه اهمیت دارند که نوشته‌های جوزف اسمیت یا نوستراداموس. سخنان گران‌بهای الن وایت با سخنان پلیدِ سرکشیِ ما فاسد گردید. این تنها سرکشی بر ضد مسیح، که کلمهٔ خداست، نبود، بلکه هم‌زمان سرکشی بر ضد روح نبوت نیز بود. یوحنا در جزیره‌ای که پطمس نامیده می‌شود تحت آزار بود، نه از آن رو که رأی انسانیِ خود را برتر از کتاب‌مقدس و روح نبوت نهاده بود، بلکه از آن رو که از آن دو شاهد اطاعت کرده بود.</w:t>
      </w:r>
    </w:p>
    <w:p>
      <w:pPr>
        <w:pStyle w:val="ArticleScripture"/>
        <w:jc w:val="left"/>
      </w:pPr>
      <w:r>
        <w:rPr>
          <w:rFonts w:ascii="Microsoft YaHei" w:hAnsi="Microsoft YaHei" w:eastAsia="Microsoft YaHei" w:cs="Microsoft YaHei"/>
        </w:rPr>
        <w:t>我约翰就是你们的弟兄</w:t>
      </w:r>
      <w:r>
        <w:rPr>
          <w:rFonts w:ascii="Times New Roman" w:hAnsi="Times New Roman" w:eastAsia="Times New Roman" w:cs="Times New Roman"/>
        </w:rPr>
        <w:t>,</w:t>
      </w:r>
      <w:r>
        <w:rPr>
          <w:rFonts w:ascii="Microsoft YaHei" w:hAnsi="Microsoft YaHei" w:eastAsia="Microsoft YaHei" w:cs="Microsoft YaHei"/>
        </w:rPr>
        <w:t>和你们在耶稣基督的患难、国度、忍耐里一同有分</w:t>
      </w:r>
      <w:r>
        <w:rPr>
          <w:rFonts w:ascii="Times New Roman" w:hAnsi="Times New Roman" w:eastAsia="Times New Roman" w:cs="Times New Roman"/>
        </w:rPr>
        <w:t>;</w:t>
      </w:r>
      <w:r>
        <w:rPr>
          <w:rFonts w:ascii="Microsoft YaHei" w:hAnsi="Microsoft YaHei" w:eastAsia="Microsoft YaHei" w:cs="Microsoft YaHei"/>
        </w:rPr>
        <w:t>我因神的道</w:t>
      </w:r>
      <w:r>
        <w:rPr>
          <w:rFonts w:ascii="Times New Roman" w:hAnsi="Times New Roman" w:eastAsia="Times New Roman" w:cs="Times New Roman"/>
        </w:rPr>
        <w:t>,</w:t>
      </w:r>
      <w:r>
        <w:rPr>
          <w:rFonts w:ascii="Microsoft YaHei" w:hAnsi="Microsoft YaHei" w:eastAsia="Microsoft YaHei" w:cs="Microsoft YaHei"/>
        </w:rPr>
        <w:t>并为耶稣基督的见证</w:t>
      </w:r>
      <w:r>
        <w:rPr>
          <w:rFonts w:ascii="Times New Roman" w:hAnsi="Times New Roman" w:eastAsia="Times New Roman" w:cs="Times New Roman"/>
        </w:rPr>
        <w:t>,</w:t>
      </w:r>
      <w:r>
        <w:rPr>
          <w:rFonts w:ascii="Microsoft YaHei" w:hAnsi="Microsoft YaHei" w:eastAsia="Microsoft YaHei" w:cs="Microsoft YaHei"/>
        </w:rPr>
        <w:t>曾在那名叫拔摩的海岛上</w:t>
      </w:r>
      <w:r>
        <w:rPr>
          <w:rFonts w:ascii="Times New Roman" w:hAnsi="Times New Roman" w:eastAsia="Times New Roman" w:cs="Times New Roman"/>
        </w:rPr>
        <w:t>.</w:t>
      </w:r>
      <w:r>
        <w:rPr>
          <w:rFonts w:ascii="Microsoft YaHei" w:hAnsi="Microsoft YaHei" w:eastAsia="Microsoft YaHei" w:cs="Microsoft YaHei"/>
        </w:rPr>
        <w:t>启示录</w:t>
      </w:r>
      <w:r>
        <w:rPr>
          <w:rFonts w:ascii="Times New Roman" w:hAnsi="Times New Roman" w:eastAsia="Times New Roman" w:cs="Times New Roman"/>
        </w:rPr>
        <w:t xml:space="preserve"> 1:9</w:t>
      </w:r>
    </w:p>
    <w:p>
      <w:pPr>
        <w:pStyle w:val="ArticleBody"/>
        <w:jc w:val="left"/>
      </w:pPr>
      <w:r>
        <w:rPr>
          <w:rFonts w:ascii="Times New Roman" w:hAnsi="Times New Roman" w:eastAsia="Times New Roman" w:cs="Times New Roman"/>
        </w:rPr>
        <w:t>Awa yɛasan ayɛ bɔne a yɛn agya Mose yɛe wɔ yɛn abasamtu a edi kan no mu, na ɛsɛ sɛ yɛka eyi to yɛn ho. Ɛsɛ sɛ yɛka eyi to yɛn ho, efisɛ afei de yɛadu 1856. Afei hann foforo wɔ hɔ fa “mmere ason” no ho, sɛnea na ɛte saa bere no ara pɛ. Afei yɛwɔ nsakrae no mu fi Laodikea rekɔ Filadelfia, sɛnea ahyɛase kuw no nso na ɛwɔ nsakrae no mu fi Filadelfia rekɔ Laodikea wɔ 1856 mu no. Wɔ 1856 mu no, yɛn agyanom gyinaa nimdeɛ nkɔanim a wɔretintim fa “mmere ason” no ho no ano. Ebia yɛrentumi nsiw hann no tintim ano, nanso nokwarem no yebetumi ato yɛn koma apon mu agu saa hann yi anim. Yebetumi ayɛ no sɛnea Seventh-day Adventist adansifo a edi kan no yɛe no, de, yɛbɛyɛ sɛ ɔbo no nna hɔ ankasa, na yɛakɔ so ahintiw wɔ so. Yɛn haw ne sɛ, yenni bɛboro mfeha biako sɛ yɛde yɛn ti bɛkɔ nwea mu, efisɛ atemmu no afi ase dedaw.</w:t>
      </w:r>
    </w:p>
    <w:p>
      <w:pPr>
        <w:pStyle w:val="ArticleBody"/>
        <w:jc w:val="left"/>
      </w:pPr>
      <w:r>
        <w:rPr>
          <w:rFonts w:ascii="Times New Roman" w:hAnsi="Times New Roman" w:eastAsia="Times New Roman" w:cs="Times New Roman"/>
        </w:rPr>
        <w:t>Jekk inħallu lill-Alfa u l-Omega jgħallimna bil-prinċipju li t-tmiem ta’ ħaġa jiġi muri permezz tal-bidu ta’ ħaġa, nistgħu naraw faċilment li l-Alfa u l-Omega qed juri li t-tbassir ta’ Nashville kien ittippifikat minn missirijietna. Meta nagħrfu din il-verità, imbagħad inkunu kkonfrontati bir-realtà li, sa mit-tbassir, kull sforz biex tiġi prodotta xi xorta ta’ loġika umana sabiex jiġi ġġustifikat it-tbassir fallut ma kien xejn ħlief werqa tat-tin. Imbagħad naraw li Alla ma kienx miexi magħna waqt li konna fl-art tal-għadu. Huwa kien hemm, iżda biss fis-sens li kien qed iħabbat fuq il-bibien tal-qlub, ifittex id-dħul. Jekk titneħħa l-werqa tat-tin tal-loġika umana, imbagħad nistgħu wkoll naraw li ċ-ċaħda, jew il-loġika umana difettuża li użajna biex niġġustifikaw it-tbassir ta’ Nashville, hija evidenza li konna mexjin kontra Kristu.</w:t>
      </w:r>
    </w:p>
    <w:p>
      <w:pPr>
        <w:pStyle w:val="ArticleBody"/>
        <w:jc w:val="left"/>
      </w:pPr>
      <w:r>
        <w:rPr>
          <w:rFonts w:ascii="Times New Roman" w:hAnsi="Times New Roman" w:eastAsia="Times New Roman" w:cs="Times New Roman"/>
        </w:rPr>
        <w:t>En 1856, l’adventisme philadelphien se transforma en Laodicée, et ils le savaient. Le Seigneur le confirma par les paroles de la prophétesse et de son mari. Se tenant à la porte de ces cœurs laodicéens, le Christ leur offrit d’entrer et de souper avec eux. La nourriture qu’Il apportait pour ce repas était la pierre angulaire des « sept temps ». Ils refusèrent.</w:t>
      </w:r>
    </w:p>
    <w:p>
      <w:pPr>
        <w:pStyle w:val="ArticleBody"/>
        <w:jc w:val="left"/>
      </w:pPr>
      <w:r>
        <w:rPr>
          <w:rFonts w:ascii="Leelawadee UI" w:hAnsi="Leelawadee UI" w:eastAsia="Leelawadee UI" w:cs="Leelawadee UI"/>
        </w:rPr>
        <w:t>ក្នុងឆ្នាំ</w:t>
      </w:r>
      <w:r>
        <w:rPr>
          <w:rFonts w:ascii="Times New Roman" w:hAnsi="Times New Roman" w:eastAsia="Times New Roman" w:cs="Times New Roman"/>
        </w:rPr>
        <w:t xml:space="preserve"> 2023 </w:t>
      </w:r>
      <w:r>
        <w:rPr>
          <w:rFonts w:ascii="Leelawadee UI" w:hAnsi="Leelawadee UI" w:eastAsia="Leelawadee UI" w:cs="Leelawadee UI"/>
        </w:rPr>
        <w:t>ចលនាចុងក្រោយកំពុងឆ្លងផុតពីឡាវឌីសេ</w:t>
      </w:r>
      <w:r>
        <w:rPr>
          <w:rFonts w:ascii="Times New Roman" w:hAnsi="Times New Roman" w:eastAsia="Times New Roman" w:cs="Times New Roman"/>
        </w:rPr>
        <w:t xml:space="preserve"> </w:t>
      </w:r>
      <w:r>
        <w:rPr>
          <w:rFonts w:ascii="Leelawadee UI" w:hAnsi="Leelawadee UI" w:eastAsia="Leelawadee UI" w:cs="Leelawadee UI"/>
        </w:rPr>
        <w:t>ទៅកាន់ភីឡាដែលភា</w:t>
      </w:r>
      <w:r>
        <w:rPr>
          <w:rFonts w:ascii="Times New Roman" w:hAnsi="Times New Roman" w:eastAsia="Times New Roman" w:cs="Times New Roman"/>
        </w:rPr>
        <w:t xml:space="preserve"> </w:t>
      </w:r>
      <w:r>
        <w:rPr>
          <w:rFonts w:ascii="Leelawadee UI" w:hAnsi="Leelawadee UI" w:eastAsia="Leelawadee UI" w:cs="Leelawadee UI"/>
        </w:rPr>
        <w:t>ពីព្រោះក្រុមជំនុំទីប្រាំបី</w:t>
      </w:r>
      <w:r>
        <w:rPr>
          <w:rFonts w:ascii="Times New Roman" w:hAnsi="Times New Roman" w:eastAsia="Times New Roman" w:cs="Times New Roman"/>
        </w:rPr>
        <w:t xml:space="preserve"> </w:t>
      </w:r>
      <w:r>
        <w:rPr>
          <w:rFonts w:ascii="Leelawadee UI" w:hAnsi="Leelawadee UI" w:eastAsia="Leelawadee UI" w:cs="Leelawadee UI"/>
        </w:rPr>
        <w:t>គឺស្ថិតក្នុងចំណោមក្រុមជំនុំទាំងប្រាំពីរ។</w:t>
      </w:r>
      <w:r>
        <w:rPr>
          <w:rFonts w:ascii="Times New Roman" w:hAnsi="Times New Roman" w:eastAsia="Times New Roman" w:cs="Times New Roman"/>
        </w:rPr>
        <w:t xml:space="preserve"> </w:t>
      </w:r>
      <w:r>
        <w:rPr>
          <w:rFonts w:ascii="Leelawadee UI" w:hAnsi="Leelawadee UI" w:eastAsia="Leelawadee UI" w:cs="Leelawadee UI"/>
        </w:rPr>
        <w:t>ព្រះអម្ចាស់</w:t>
      </w:r>
      <w:r>
        <w:rPr>
          <w:rFonts w:ascii="Times New Roman" w:hAnsi="Times New Roman" w:eastAsia="Times New Roman" w:cs="Times New Roman"/>
        </w:rPr>
        <w:t xml:space="preserve"> </w:t>
      </w:r>
      <w:r>
        <w:rPr>
          <w:rFonts w:ascii="Leelawadee UI" w:hAnsi="Leelawadee UI" w:eastAsia="Leelawadee UI" w:cs="Leelawadee UI"/>
        </w:rPr>
        <w:t>អាល់ផា</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អូមេហ្គា</w:t>
      </w:r>
      <w:r>
        <w:rPr>
          <w:rFonts w:ascii="Times New Roman" w:hAnsi="Times New Roman" w:eastAsia="Times New Roman" w:cs="Times New Roman"/>
        </w:rPr>
        <w:t xml:space="preserve"> </w:t>
      </w:r>
      <w:r>
        <w:rPr>
          <w:rFonts w:ascii="Leelawadee UI" w:hAnsi="Leelawadee UI" w:eastAsia="Leelawadee UI" w:cs="Leelawadee UI"/>
        </w:rPr>
        <w:t>បានបញ្ជាក់ការនេះតាមរយៈព្រះបន្ទូលនៃ</w:t>
      </w:r>
      <w:r>
        <w:rPr>
          <w:rFonts w:ascii="Times New Roman" w:hAnsi="Times New Roman" w:eastAsia="Times New Roman" w:cs="Times New Roman"/>
        </w:rPr>
        <w:t xml:space="preserve"> «</w:t>
      </w:r>
      <w:r>
        <w:rPr>
          <w:rFonts w:ascii="Leelawadee UI" w:hAnsi="Leelawadee UI" w:eastAsia="Leelawadee UI" w:cs="Leelawadee UI"/>
        </w:rPr>
        <w:t>សេចក្តីពិត</w:t>
      </w:r>
      <w:r>
        <w:rPr>
          <w:rFonts w:ascii="Times New Roman" w:hAnsi="Times New Roman" w:eastAsia="Times New Roman" w:cs="Times New Roman"/>
        </w:rPr>
        <w:t xml:space="preserve">» </w:t>
      </w:r>
      <w:r>
        <w:rPr>
          <w:rFonts w:ascii="Leelawadee UI" w:hAnsi="Leelawadee UI" w:eastAsia="Leelawadee UI" w:cs="Leelawadee UI"/>
        </w:rPr>
        <w:t>របស់ទ្រង់។</w:t>
      </w:r>
      <w:r>
        <w:rPr>
          <w:rFonts w:ascii="Times New Roman" w:hAnsi="Times New Roman" w:eastAsia="Times New Roman" w:cs="Times New Roman"/>
        </w:rPr>
        <w:t xml:space="preserve"> </w:t>
      </w:r>
      <w:r>
        <w:rPr>
          <w:rFonts w:ascii="Leelawadee UI" w:hAnsi="Leelawadee UI" w:eastAsia="Leelawadee UI" w:cs="Leelawadee UI"/>
        </w:rPr>
        <w:t>ឥឡូវនេះ</w:t>
      </w:r>
      <w:r>
        <w:rPr>
          <w:rFonts w:ascii="Times New Roman" w:hAnsi="Times New Roman" w:eastAsia="Times New Roman" w:cs="Times New Roman"/>
        </w:rPr>
        <w:t xml:space="preserve"> </w:t>
      </w:r>
      <w:r>
        <w:rPr>
          <w:rFonts w:ascii="Leelawadee UI" w:hAnsi="Leelawadee UI" w:eastAsia="Leelawadee UI" w:cs="Leelawadee UI"/>
        </w:rPr>
        <w:t>ព្រះគ្រីស្ទកំពុងឈរនៅមាត់ទ្វាររបស់ឆ្អឹងស្ងួតដែលទើបតែស្លាប់ទាំងនោះ</w:t>
      </w:r>
      <w:r>
        <w:rPr>
          <w:rFonts w:ascii="Times New Roman" w:hAnsi="Times New Roman" w:eastAsia="Times New Roman" w:cs="Times New Roman"/>
        </w:rPr>
        <w:t xml:space="preserve"> </w:t>
      </w:r>
      <w:r>
        <w:rPr>
          <w:rFonts w:ascii="Leelawadee UI" w:hAnsi="Leelawadee UI" w:eastAsia="Leelawadee UI" w:cs="Leelawadee UI"/>
        </w:rPr>
        <w:t>ដោយផ្តល់អញ្ជើញឲ្យទ្រង់ចូលទៅ</w:t>
      </w:r>
      <w:r>
        <w:rPr>
          <w:rFonts w:ascii="Times New Roman" w:hAnsi="Times New Roman" w:eastAsia="Times New Roman" w:cs="Times New Roman"/>
        </w:rPr>
        <w:t xml:space="preserve"> </w:t>
      </w:r>
      <w:r>
        <w:rPr>
          <w:rFonts w:ascii="Leelawadee UI" w:hAnsi="Leelawadee UI" w:eastAsia="Leelawadee UI" w:cs="Leelawadee UI"/>
        </w:rPr>
        <w:t>និងទទួលទានជាមួយពួកគេ</w:t>
      </w:r>
      <w:r>
        <w:rPr>
          <w:rFonts w:ascii="Times New Roman" w:hAnsi="Times New Roman" w:eastAsia="Times New Roman" w:cs="Times New Roman"/>
        </w:rPr>
        <w:t xml:space="preserve"> </w:t>
      </w:r>
      <w:r>
        <w:rPr>
          <w:rFonts w:ascii="Leelawadee UI" w:hAnsi="Leelawadee UI" w:eastAsia="Leelawadee UI" w:cs="Leelawadee UI"/>
        </w:rPr>
        <w:t>ហើយអាហារដែលទ្រង់ប្រាថ្នាចង់ចែករំលែកជាមួយពួកគេ</w:t>
      </w:r>
      <w:r>
        <w:rPr>
          <w:rFonts w:ascii="Times New Roman" w:hAnsi="Times New Roman" w:eastAsia="Times New Roman" w:cs="Times New Roman"/>
        </w:rPr>
        <w:t xml:space="preserve"> </w:t>
      </w:r>
      <w:r>
        <w:rPr>
          <w:rFonts w:ascii="Leelawadee UI" w:hAnsi="Leelawadee UI" w:eastAsia="Leelawadee UI" w:cs="Leelawadee UI"/>
        </w:rPr>
        <w:t>គឺជាអាហារដដែលបេះបិទនឹងអាហារដែលទ្រង់បានព្យាយាមចែករំលែកជាមួយបុព្វបុរសរបស់ពួកគេនៅឆ្នាំ</w:t>
      </w:r>
      <w:r>
        <w:rPr>
          <w:rFonts w:ascii="Times New Roman" w:hAnsi="Times New Roman" w:eastAsia="Times New Roman" w:cs="Times New Roman"/>
        </w:rPr>
        <w:t xml:space="preserve"> 1856</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វាមិនមែនគ្រាន់តែជាគ្រឿងស្នូលនៃគោលលទ្ធិអំពី</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ប៉ុណ្ណោះទេ</w:t>
      </w:r>
      <w:r>
        <w:rPr>
          <w:rFonts w:ascii="Times New Roman" w:hAnsi="Times New Roman" w:eastAsia="Times New Roman" w:cs="Times New Roman"/>
        </w:rPr>
        <w:t xml:space="preserve"> </w:t>
      </w:r>
      <w:r>
        <w:rPr>
          <w:rFonts w:ascii="Leelawadee UI" w:hAnsi="Leelawadee UI" w:eastAsia="Leelawadee UI" w:cs="Leelawadee UI"/>
        </w:rPr>
        <w:t>ដូចដែលវាជាសម្រាប់បុព្វបុរសរបស់ពួកគេនៅឆ្នាំ</w:t>
      </w:r>
      <w:r>
        <w:rPr>
          <w:rFonts w:ascii="Times New Roman" w:hAnsi="Times New Roman" w:eastAsia="Times New Roman" w:cs="Times New Roman"/>
        </w:rPr>
        <w:t xml:space="preserve"> 1856</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ទេ</w:t>
      </w:r>
      <w:r>
        <w:rPr>
          <w:rFonts w:ascii="Times New Roman" w:hAnsi="Times New Roman" w:eastAsia="Times New Roman" w:cs="Times New Roman"/>
        </w:rPr>
        <w:t xml:space="preserve"> </w:t>
      </w:r>
      <w:r>
        <w:rPr>
          <w:rFonts w:ascii="Leelawadee UI" w:hAnsi="Leelawadee UI" w:eastAsia="Leelawadee UI" w:cs="Leelawadee UI"/>
        </w:rPr>
        <w:t>វាគឺជាឱសថល្វីងនៃ</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ហើយឱសថនោះទាមទារការបន្ទាបខ្លួនប្រភេទមួយ</w:t>
      </w:r>
      <w:r>
        <w:rPr>
          <w:rFonts w:ascii="Times New Roman" w:hAnsi="Times New Roman" w:eastAsia="Times New Roman" w:cs="Times New Roman"/>
        </w:rPr>
        <w:t xml:space="preserve"> </w:t>
      </w:r>
      <w:r>
        <w:rPr>
          <w:rFonts w:ascii="Leelawadee UI" w:hAnsi="Leelawadee UI" w:eastAsia="Leelawadee UI" w:cs="Leelawadee UI"/>
        </w:rPr>
        <w:t>ដែលជាញឹកញាប់ពិបាកលេបយក។</w:t>
      </w:r>
    </w:p>
    <w:p>
      <w:pPr>
        <w:pStyle w:val="ArticleScripture"/>
        <w:jc w:val="left"/>
      </w:pPr>
      <w:r>
        <w:rPr>
          <w:rFonts w:ascii="Times New Roman" w:hAnsi="Times New Roman" w:eastAsia="Times New Roman" w:cs="Times New Roman"/>
        </w:rPr>
        <w:t>Dan mir kam firman TUHAN, demikian: “Hai anak manusia, katakanlah kepada raja Tirus: Beginilah firman Tuhan ALLAH: Oleh karena hatimu menjadi tinggi, dan engkau berkata: Aku adalah Allah, aku duduk di takhta Allah, di tengah-tengah lautan; padahal engkau adalah manusia dan bukan Allah, walaupun engkau menaruh hatimu sama seperti hati Allah. Sesungguhnya, engkau lebih berhikmat daripada Daniel; tidak ada rahasia yang tersembunyi bagimu.” Yehezkiel 28:1–3.</w:t>
      </w:r>
    </w:p>
    <w:p>
      <w:pPr>
        <w:pStyle w:val="ArticleBody"/>
        <w:jc w:val="left"/>
      </w:pPr>
      <w:r>
        <w:rPr>
          <w:rFonts w:ascii="Times New Roman" w:hAnsi="Times New Roman" w:eastAsia="Times New Roman" w:cs="Times New Roman"/>
        </w:rPr>
        <w:t>Kanske är vi som deltog i förutsägelsen om Nashville visare än Daniel?</w:t>
      </w:r>
    </w:p>
    <w:p>
      <w:pPr>
        <w:pStyle w:val="ArticleScripture"/>
        <w:jc w:val="left"/>
      </w:pPr>
      <w:r>
        <w:rPr>
          <w:rFonts w:ascii="Times New Roman" w:hAnsi="Times New Roman" w:eastAsia="Times New Roman" w:cs="Times New Roman"/>
        </w:rPr>
        <w:t>מִתְּחִלַּת שְׁנַת מַלְכוּתוֹ אֲנִי דָּנִיֵּאל הֲבִינוֹתִי בַּסְּפָרִים אֶת־מִסְפַּר הַשָּׁנִים אֲשֶׁר הָיָה דְּבַר־יְהוָה אֶל־יִרְמְיָה הַנָּבִיא עֲלֵיהֶן, לְמַלֹּאת שִׁבְעִים שָׁנָה לְחָרְבוֹת יְרוּשָׁלִָם. וָאֶתְּנָה אֶת־פָּנַי אֶל־אֲדֹנָי הָאֱלֹהִים לְבַקֵּשׁ תְּפִלָּה וְתַחֲנוּנִים בְּצוֹם וְשַׂק וָאֵפֶר. וָאֶתְפַּלְלָה אֶל־יְהוָה אֱלֹהַי וָאֶתְוַדֶּה וָאֹמְרָה, אָנָּא אֲדֹנָי, הָאֵל הַגָּדוֹל וְהַנּוֹרָא, שֹׁמֵר הַבְּרִית וְהַחֶסֶד לְאֹהֲבָיו וּלְשֹׁמְרֵי מִצְוֺתָיו. חָטָאנוּ וְעָוִינוּ וְהִרְשַׁעְנוּ וּמָרָדְנוּ, וְסוּר מִמִּצְוֺתֶיךָ וּמִמִּשְׁפָּטֶיךָ. וְלֹא שָׁמַעְנוּ אֶל־עֲבָדֶיךָ הַנְּבִיאִים אֲשֶׁר דִּבְּרוּ בִשְׁמֶךָ אֶל־מְלָכֵינוּ שָׂרֵינוּ וַאֲבֹתֵינוּ וְאֶל־כָּל־עַם הָאָרֶץ. לְךָ אֲדֹנָי הַצְּדָקָה, וְלָנוּ בֹּשֶׁת הַפָּנִים כַּיּוֹם הַזֶּה, לְאִישׁ יְהוּדָה וּלְיוֹשְׁבֵי יְרוּשָׁלִַם וּלְכָל־יִשְׂרָאֵל, הַקְּרֹבִים וְהָרְחֹקִים, בְּכָל־הָאֲרָצוֹת אֲשֶׁר הִדַּחְתָּם שָׁם, בְּמַעֲלָם אֲשֶׁר מָעֲלוּ בָךְ. יְהוָה, לָנוּ בֹּשֶׁת הַפָּנִים, לִמְלָכֵינוּ לְשָׂרֵינוּ וְלַאֲבֹתֵינוּ, כִּי חָטָאנוּ לָךְ. לַאדֹנָי אֱלֹהֵינוּ הָרַחֲמִים וְהַסְּלִחוֹת, כִּי מָרַדְנוּ בוֹ. וְלֹא שָׁמַעְנוּ בְּקוֹל יְהוָה אֱלֹהֵינוּ לָלֶכֶת בְּתוֹרֹתָיו אֲשֶׁר נָתַן לְפָנֵינוּ בְּיַד עֲבָדָיו הַנְּבִיאִים. וְכָל־יִשְׂרָאֵל עָבְרוּ אֶת־תּוֹרָתֶךָ, וְסוֹר לְבִלְתִּי שְׁמֹעַ בְּקוֹלֶךָ; וַתִּתַּךְ עָלֵינוּ הָאָלָה וְהַשְּׁבֻעָה אֲשֶׁר כְּתוּבָה בְּתוֹרַת מֹשֶׁה עֶבֶד הָאֱלֹהִים, כִּי חָטָאנוּ לוֹ. וַיָּקֶם אֶת־דְּבָרָיו אֲשֶׁר דִּבֶּר עָלֵינוּ וְעַל שֹׁפְטֵינוּ אֲשֶׁר שְׁפָטוּנוּ, לְהָבִיא עָלֵינוּ רָעָה גְדֹלָה; אֲשֶׁר לֹא־נֶעֶשְׂתָה תַחַת כָּל־הַשָּׁמַיִם כַּאֲשֶׁר נֶעֶשְׂתָה בִּירוּשָׁלִָם.</w:t>
      </w:r>
    </w:p>
    <w:p>
      <w:pPr>
        <w:pStyle w:val="ArticleScripture"/>
        <w:jc w:val="left"/>
      </w:pPr>
      <w:r>
        <w:rPr>
          <w:rFonts w:ascii="Times New Roman" w:hAnsi="Times New Roman" w:eastAsia="Times New Roman" w:cs="Times New Roman"/>
        </w:rPr>
        <w:t>Comme il est écrit dans la loi de Moïse, tout ce mal est venu sur nous; et nous n’avons pas imploré l’Éternel, notre Dieu, afin de nous détourner de nos iniquités et de comprendre ta vérité. C’est pourquoi l’Éternel a veillé sur ce malheur et l’a fait venir sur nous; car l’Éternel, notre Dieu, est juste dans toutes les œuvres qu’il accomplit, et nous n’avons pas obéi à sa voix. Et maintenant, Seigneur, notre Dieu, toi qui as fait sortir ton peuple du pays d’Égypte par une main puissante, et qui t’es acquis un renom tel qu’il subsiste aujourd’hui, nous avons péché, nous avons commis l’iniquité. Seigneur, selon toute ta justice, je t’en supplie, que ta colère et ta fureur se détournent de ta ville, Jérusalem, de ta montagne sainte; car à cause de nos péchés et des iniquités de nos pères, Jérusalem et ton peuple sont devenus un objet d’opprobre pour tous ceux qui nous entourent. Maintenant donc, ô notre Dieu, écoute la prière de ton serviteur et ses supplications, et fais luire ta face sur ton sanctuaire dévasté, à cause du Seigneur. Mon Dieu, prête l’oreille et écoute; ouvre les yeux et regarde nos désolations, et la ville qui est appelée de ton nom; car ce n’est pas en raison de nos justices que nous déposons devant toi nos supplications, mais à cause de tes grandes compassions. Seigneur, écoute; Seigneur, pardonne; Seigneur, sois attentif et agis; ne tarde pas, par égard pour toi-même, ô mon Dieu; car ta ville et ton peuple sont appelés de ton nom. Comme je parlais encore, priant et confessant mon péché et le péché de mon peuple d’Israël, et présentant ma supplication devant l’Éternel, mon Dieu, pour la sainte montagne de mon Dieu; oui, comme je parlais encore dans ma prière, l’homme Gabriel, que j’avais vu auparavant dans la vision, s’approcha de moi d’un vol rapide, vers le temps de l’oblation du soir. Il m’instruisit, s’entretint avec moi, et dit: Daniel, je suis maintenant sorti pour t’ouvrir l’intelligence et te donner la compréhension. Daniel 9:2–22.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Ufunuo wa Yesu Kristo - Namba Kumi na Nane</dc:title>
  <dc:subject>Tha Peacaidhean nan Athraichean</dc:subject>
  <dc:creator>Jeff Pippenger</dc:creator>
  <cp:keywords/>
  <dc:description>Generated by ArticleDigger from revelation\18_revelation.json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