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Qu’est-ce que la vérité ? - Numéro deux</w:t>
      </w:r>
    </w:p>
    <w:p>
      <w:pPr>
        <w:pStyle w:val="ArticleSubtitle"/>
        <w:jc w:val="left"/>
      </w:pPr>
      <w:r>
        <w:rPr>
          <w:rFonts w:ascii="Arial" w:hAnsi="Arial" w:eastAsia="Arial" w:cs="Arial"/>
        </w:rPr>
        <w:t>Siigela Kvulo Yentambululo y’Encola Eci.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11 </w:t>
      </w:r>
      <w:r>
        <w:rPr>
          <w:rFonts w:ascii="Nirmala UI" w:hAnsi="Nirmala UI" w:eastAsia="Nirmala UI" w:cs="Nirmala UI"/>
        </w:rPr>
        <w:t>ઑગસ્ટ</w:t>
      </w:r>
      <w:r>
        <w:rPr>
          <w:rFonts w:ascii="Times New Roman" w:hAnsi="Times New Roman" w:eastAsia="Times New Roman" w:cs="Times New Roman"/>
        </w:rPr>
        <w:t xml:space="preserve">, 1840 </w:t>
      </w:r>
      <w:r>
        <w:rPr>
          <w:rFonts w:ascii="Nirmala UI" w:hAnsi="Nirmala UI" w:eastAsia="Nirmala UI" w:cs="Nirmala UI"/>
        </w:rPr>
        <w:t>થી</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xml:space="preserve">, 1844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ગર્જનાઓ</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અનુગ્રહકાળના</w:t>
      </w:r>
      <w:r>
        <w:rPr>
          <w:rFonts w:ascii="Times New Roman" w:hAnsi="Times New Roman" w:eastAsia="Times New Roman" w:cs="Times New Roman"/>
        </w:rPr>
        <w:t xml:space="preserve"> </w:t>
      </w:r>
      <w:r>
        <w:rPr>
          <w:rFonts w:ascii="Nirmala UI" w:hAnsi="Nirmala UI" w:eastAsia="Nirmala UI" w:cs="Nirmala UI"/>
        </w:rPr>
        <w:t>સમાપનના</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મોહરબદ્ધ</w:t>
      </w:r>
      <w:r>
        <w:rPr>
          <w:rFonts w:ascii="Times New Roman" w:hAnsi="Times New Roman" w:eastAsia="Times New Roman" w:cs="Times New Roman"/>
        </w:rPr>
        <w:t xml:space="preserve"> </w:t>
      </w:r>
      <w:r>
        <w:rPr>
          <w:rFonts w:ascii="Nirmala UI" w:hAnsi="Nirmala UI" w:eastAsia="Nirmala UI" w:cs="Nirmala UI"/>
        </w:rPr>
        <w:t>રાખવામાં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લેખમાં</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ગર્જનાઓના</w:t>
      </w:r>
      <w:r>
        <w:rPr>
          <w:rFonts w:ascii="Times New Roman" w:hAnsi="Times New Roman" w:eastAsia="Times New Roman" w:cs="Times New Roman"/>
        </w:rPr>
        <w:t xml:space="preserve"> </w:t>
      </w:r>
      <w:r>
        <w:rPr>
          <w:rFonts w:ascii="Nirmala UI" w:hAnsi="Nirmala UI" w:eastAsia="Nirmala UI" w:cs="Nirmala UI"/>
        </w:rPr>
        <w:t>પ્રતીકવાદ</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કાઢેલાં</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મુદ્દાઓનું</w:t>
      </w:r>
      <w:r>
        <w:rPr>
          <w:rFonts w:ascii="Times New Roman" w:hAnsi="Times New Roman" w:eastAsia="Times New Roman" w:cs="Times New Roman"/>
        </w:rPr>
        <w:t xml:space="preserve"> </w:t>
      </w:r>
      <w:r>
        <w:rPr>
          <w:rFonts w:ascii="Nirmala UI" w:hAnsi="Nirmala UI" w:eastAsia="Nirmala UI" w:cs="Nirmala UI"/>
        </w:rPr>
        <w:t>પુનરાવલોકન</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શરૂઆત</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ઇતિહાસિક</w:t>
      </w:r>
      <w:r>
        <w:rPr>
          <w:rFonts w:ascii="Times New Roman" w:hAnsi="Times New Roman" w:eastAsia="Times New Roman" w:cs="Times New Roman"/>
        </w:rPr>
        <w:t xml:space="preserve"> </w:t>
      </w:r>
      <w:r>
        <w:rPr>
          <w:rFonts w:ascii="Nirmala UI" w:hAnsi="Nirmala UI" w:eastAsia="Nirmala UI" w:cs="Nirmala UI"/>
        </w:rPr>
        <w:t>રેખાઓ</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ઇતિહાસિક</w:t>
      </w:r>
      <w:r>
        <w:rPr>
          <w:rFonts w:ascii="Times New Roman" w:hAnsi="Times New Roman" w:eastAsia="Times New Roman" w:cs="Times New Roman"/>
        </w:rPr>
        <w:t xml:space="preserve"> </w:t>
      </w:r>
      <w:r>
        <w:rPr>
          <w:rFonts w:ascii="Nirmala UI" w:hAnsi="Nirmala UI" w:eastAsia="Nirmala UI" w:cs="Nirmala UI"/>
        </w:rPr>
        <w:t>રેખાઓનો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11 </w:t>
      </w:r>
      <w:r>
        <w:rPr>
          <w:rFonts w:ascii="Nirmala UI" w:hAnsi="Nirmala UI" w:eastAsia="Nirmala UI" w:cs="Nirmala UI"/>
        </w:rPr>
        <w:t>ઑગસ્ટ</w:t>
      </w:r>
      <w:r>
        <w:rPr>
          <w:rFonts w:ascii="Times New Roman" w:hAnsi="Times New Roman" w:eastAsia="Times New Roman" w:cs="Times New Roman"/>
        </w:rPr>
        <w:t xml:space="preserve">, 1840 </w:t>
      </w:r>
      <w:r>
        <w:rPr>
          <w:rFonts w:ascii="Nirmala UI" w:hAnsi="Nirmala UI" w:eastAsia="Nirmala UI" w:cs="Nirmala UI"/>
        </w:rPr>
        <w:t>થી</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xml:space="preserve">, 1844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સહિત</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પ્રભવાણીય</w:t>
      </w:r>
      <w:r>
        <w:rPr>
          <w:rFonts w:ascii="Times New Roman" w:hAnsi="Times New Roman" w:eastAsia="Times New Roman" w:cs="Times New Roman"/>
        </w:rPr>
        <w:t xml:space="preserve"> </w:t>
      </w:r>
      <w:r>
        <w:rPr>
          <w:rFonts w:ascii="Nirmala UI" w:hAnsi="Nirmala UI" w:eastAsia="Nirmala UI" w:cs="Nirmala UI"/>
        </w:rPr>
        <w:t>માર્ગચિહ્નો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સશક્તીકરણ</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નિરાશા</w:t>
      </w:r>
      <w:r>
        <w:rPr>
          <w:rFonts w:ascii="Times New Roman" w:hAnsi="Times New Roman" w:eastAsia="Times New Roman" w:cs="Times New Roman"/>
        </w:rPr>
        <w:t xml:space="preserve">, </w:t>
      </w:r>
      <w:r>
        <w:rPr>
          <w:rFonts w:ascii="Nirmala UI" w:hAnsi="Nirmala UI" w:eastAsia="Nirmala UI" w:cs="Nirmala UI"/>
        </w:rPr>
        <w:t>મધ્યરાત્રિની</w:t>
      </w:r>
      <w:r>
        <w:rPr>
          <w:rFonts w:ascii="Times New Roman" w:hAnsi="Times New Roman" w:eastAsia="Times New Roman" w:cs="Times New Roman"/>
        </w:rPr>
        <w:t xml:space="preserve"> </w:t>
      </w:r>
      <w:r>
        <w:rPr>
          <w:rFonts w:ascii="Nirmala UI" w:hAnsi="Nirmala UI" w:eastAsia="Nirmala UI" w:cs="Nirmala UI"/>
        </w:rPr>
        <w:t>હાકલ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નિરાશા</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សីហា</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ត្រូវបានតំណាងជាមុនដោយលោកម៉ូសេនៅឯព្រៃដែលកំពុងឆេះ។</w:t>
      </w:r>
      <w:r>
        <w:rPr>
          <w:rFonts w:ascii="Times New Roman" w:hAnsi="Times New Roman" w:eastAsia="Times New Roman" w:cs="Times New Roman"/>
        </w:rPr>
        <w:t xml:space="preserve"> </w:t>
      </w:r>
      <w:r>
        <w:rPr>
          <w:rFonts w:ascii="Leelawadee UI" w:hAnsi="Leelawadee UI" w:eastAsia="Leelawadee UI" w:cs="Leelawadee UI"/>
        </w:rPr>
        <w:t>ការខកចិត្តលើកដំបូងនៅនិទាឃរដូវ</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ត្រូវបានតំណាងជាមុនដោយស៊ីព៉ូរ៉ា</w:t>
      </w:r>
      <w:r>
        <w:rPr>
          <w:rFonts w:ascii="Times New Roman" w:hAnsi="Times New Roman" w:eastAsia="Times New Roman" w:cs="Times New Roman"/>
        </w:rPr>
        <w:t xml:space="preserve"> </w:t>
      </w:r>
      <w:r>
        <w:rPr>
          <w:rFonts w:ascii="Leelawadee UI" w:hAnsi="Leelawadee UI" w:eastAsia="Leelawadee UI" w:cs="Leelawadee UI"/>
        </w:rPr>
        <w:t>ភរិយារបស់លោកម៉ូសេ</w:t>
      </w:r>
      <w:r>
        <w:rPr>
          <w:rFonts w:ascii="Times New Roman" w:hAnsi="Times New Roman" w:eastAsia="Times New Roman" w:cs="Times New Roman"/>
        </w:rPr>
        <w:t xml:space="preserve"> </w:t>
      </w:r>
      <w:r>
        <w:rPr>
          <w:rFonts w:ascii="Leelawadee UI" w:hAnsi="Leelawadee UI" w:eastAsia="Leelawadee UI" w:cs="Leelawadee UI"/>
        </w:rPr>
        <w:t>នៅពេលនាងបានកាត់ស្បែកកូនប្រុសរបស់ពួកគេដោយទុក្ខព្រួយ</w:t>
      </w:r>
      <w:r>
        <w:rPr>
          <w:rFonts w:ascii="Times New Roman" w:hAnsi="Times New Roman" w:eastAsia="Times New Roman" w:cs="Times New Roman"/>
        </w:rPr>
        <w:t xml:space="preserve"> </w:t>
      </w:r>
      <w:r>
        <w:rPr>
          <w:rFonts w:ascii="Leelawadee UI" w:hAnsi="Leelawadee UI" w:eastAsia="Leelawadee UI" w:cs="Leelawadee UI"/>
        </w:rPr>
        <w:t>និងដោយការភ័យខ្លាច។</w:t>
      </w:r>
      <w:r>
        <w:rPr>
          <w:rFonts w:ascii="Times New Roman" w:hAnsi="Times New Roman" w:eastAsia="Times New Roman" w:cs="Times New Roman"/>
        </w:rPr>
        <w:t xml:space="preserve"> </w:t>
      </w:r>
      <w:r>
        <w:rPr>
          <w:rFonts w:ascii="Leelawadee UI" w:hAnsi="Leelawadee UI" w:eastAsia="Leelawadee UI" w:cs="Leelawadee UI"/>
        </w:rPr>
        <w:t>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ដែលបានចាប់ផ្ដើមនៅកិច្ចប្រជុំជំរំ</w:t>
      </w:r>
      <w:r>
        <w:rPr>
          <w:rFonts w:ascii="Times New Roman" w:hAnsi="Times New Roman" w:eastAsia="Times New Roman" w:cs="Times New Roman"/>
        </w:rPr>
        <w:t xml:space="preserve"> Exeter </w:t>
      </w:r>
      <w:r>
        <w:rPr>
          <w:rFonts w:ascii="Leelawadee UI" w:hAnsi="Leelawadee UI" w:eastAsia="Leelawadee UI" w:cs="Leelawadee UI"/>
        </w:rPr>
        <w:t>ចាប់ពីថ្ងៃទី</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សីហា</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ត្រូវបានតំណាងជាមុនដោយការមកដល់របស់លោកម៉ូសេនៅប្រទេសអេស៊ីប</w:t>
      </w:r>
      <w:r>
        <w:rPr>
          <w:rFonts w:ascii="Times New Roman" w:hAnsi="Times New Roman" w:eastAsia="Times New Roman" w:cs="Times New Roman"/>
        </w:rPr>
        <w:t xml:space="preserve"> </w:t>
      </w:r>
      <w:r>
        <w:rPr>
          <w:rFonts w:ascii="Leelawadee UI" w:hAnsi="Leelawadee UI" w:eastAsia="Leelawadee UI" w:cs="Leelawadee UI"/>
        </w:rPr>
        <w:t>និងការព្រមានដំបូងរបស់លោកអំពីសេចក្តីស្លាប់នៃកូនច្បងរបស់អេស៊ីប។</w:t>
      </w:r>
      <w:r>
        <w:rPr>
          <w:rFonts w:ascii="Times New Roman" w:hAnsi="Times New Roman" w:eastAsia="Times New Roman" w:cs="Times New Roman"/>
        </w:rPr>
        <w:t xml:space="preserve"> </w:t>
      </w:r>
      <w:r>
        <w:rPr>
          <w:rFonts w:ascii="Leelawadee UI" w:hAnsi="Leelawadee UI" w:eastAsia="Leelawadee UI" w:cs="Leelawadee UI"/>
        </w:rPr>
        <w:t>ការខកចិត្តដ៏ធំ</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តុលា</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ត្រូវបានតំណាងជាមុនដោយពួកហេប្រឺនៅសមុទ្រក្រហម។</w:t>
      </w:r>
    </w:p>
    <w:p>
      <w:pPr>
        <w:pStyle w:val="ArticleBody"/>
        <w:jc w:val="left"/>
      </w:pPr>
      <w:r>
        <w:rPr>
          <w:rFonts w:ascii="Times New Roman" w:hAnsi="Times New Roman" w:eastAsia="Times New Roman" w:cs="Times New Roman"/>
        </w:rPr>
        <w:t>يېتۇۋى پادىشاھ داۋۇتنىڭ دەۋرىدە 1840-يىلى 11-ئاۋغۇست فىلىستىيلەرنىڭ خۇدانىڭ ئەھدى ساندۇقىنى قايتۇرۇپ كېلىشى بىلەن تىپ قىلىنغان ئىدى. 1844-يىلى باھاردىكى بىرىنچى ئۈمىدسىزلىنىش ئۇززاخنىڭ خۇدانىڭ ئەھدى ساندۇقىغا قول تەگكۈزۈشى بىلەن تىپ قىلىنغان ئىدى. 8-ئاينىڭ 12-كۈنىدىن 17-كۈنىگىچە Exeter لاگېر يىغىنىدا باشلانغان يېرىم كېچە نىداسى داۋۇتنىڭ ئەھدى ساندۇقىنى يېرۇسالېمغا ئېلىپ كىرىشى بىلەن تىپ قىلىنغان ئىدى. 1844-يىلى 22-ئۆكتەبىردىكى چوڭ ئۈمىدسىزلىنىش داۋۇتنىڭ ئايالى مىكالنىڭ، داۋۇتنىڭ ئەھدى ساندۇقى بىلەن يېرۇسالېمغا كىرگەنلىكى ئۈچۈن ئۇنى كۆزگە ئىلمىغانلىقى بىلەن تىپ قىلىنغان ئىدى.</w:t>
      </w:r>
    </w:p>
    <w:p>
      <w:pPr>
        <w:pStyle w:val="ArticleBody"/>
        <w:jc w:val="left"/>
      </w:pPr>
      <w:r>
        <w:rPr>
          <w:rFonts w:ascii="Times New Roman" w:hAnsi="Times New Roman" w:eastAsia="Times New Roman" w:cs="Times New Roman"/>
        </w:rPr>
        <w:t>Le 11 août 1840 était typifié par le baptême du Christ. La première déception, au printemps de 1844, était typifiée par la déception causée par la mort de Lazare. Le Cri de Minuit, qui commença lors de la réunion de camp à Exeter du 12 au 17 août, était typifié par l’Entrée triomphale du Christ à Jérusalem. La Grande Déception du 22 octobre 1844 était typifiée par la déception de la croix.</w:t>
      </w:r>
    </w:p>
    <w:p>
      <w:pPr>
        <w:pStyle w:val="ArticleBody"/>
        <w:jc w:val="left"/>
      </w:pPr>
      <w:r>
        <w:rPr>
          <w:rFonts w:ascii="Times New Roman" w:hAnsi="Times New Roman" w:eastAsia="Times New Roman" w:cs="Times New Roman"/>
        </w:rPr>
        <w:t>Nous avons souligné que ces quatre balises ne représentent qu’un segment partiel de la structure complète de tout mouvement de réforme. Nous identifions les quatre balises comme des témoins de l’histoire qui a commencé le 11 septembre 2001. L’une des caractéristiques prophétiques de chacune des quatre lignes est que les balises de chaque ligne possèdent le même thème.</w:t>
      </w:r>
    </w:p>
    <w:p>
      <w:pPr>
        <w:pStyle w:val="ArticleBody"/>
        <w:jc w:val="left"/>
      </w:pPr>
      <w:r>
        <w:rPr>
          <w:rFonts w:ascii="Times New Roman" w:hAnsi="Times New Roman" w:eastAsia="Times New Roman" w:cs="Times New Roman"/>
        </w:rPr>
        <w:t>Kwa Mose, alama zote nne za njia zilihusu kazi ya Mungu ya kuingia katika agano na watu waliochaguliwa, kwa utimilifu wa unabii wa Ibrahimu. Katika mstari wa matengenezo wa Mfalme Daudi, alama zote nne za njia zilihusishwa na sanduku la Mungu. Katika mstari wa Kristo, alama zote nne za njia zilihusishwa na kifo na ufufuo.</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គឺជាការបញ្ជាក់អំពីគោលការណ៍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ការខកចិត្តលើកដំបូងនៅរដូវនិទាឃរាជ</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បានកើតឡើងដោយសារការអនុវត្តគោលការណ៍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 xml:space="preserve">» </w:t>
      </w:r>
      <w:r>
        <w:rPr>
          <w:rFonts w:ascii="Leelawadee UI" w:hAnsi="Leelawadee UI" w:eastAsia="Leelawadee UI" w:cs="Leelawadee UI"/>
        </w:rPr>
        <w:t>ដែលបរាជ័យ។</w:t>
      </w:r>
      <w:r>
        <w:rPr>
          <w:rFonts w:ascii="Times New Roman" w:hAnsi="Times New Roman" w:eastAsia="Times New Roman" w:cs="Times New Roman"/>
        </w:rPr>
        <w:t xml:space="preserve"> </w:t>
      </w:r>
      <w:r>
        <w:rPr>
          <w:rFonts w:ascii="Leelawadee UI" w:hAnsi="Leelawadee UI" w:eastAsia="Leelawadee UI" w:cs="Leelawadee UI"/>
        </w:rPr>
        <w:t>សាររបស់</w:t>
      </w:r>
      <w:r>
        <w:rPr>
          <w:rFonts w:ascii="Times New Roman" w:hAnsi="Times New Roman" w:eastAsia="Times New Roman" w:cs="Times New Roman"/>
        </w:rPr>
        <w:t xml:space="preserve"> Samuel Snow </w:t>
      </w:r>
      <w:r>
        <w:rPr>
          <w:rFonts w:ascii="Leelawadee UI" w:hAnsi="Leelawadee UI" w:eastAsia="Leelawadee UI" w:cs="Leelawadee UI"/>
        </w:rPr>
        <w:t>ស្តីពី</w:t>
      </w:r>
      <w:r>
        <w:rPr>
          <w:rFonts w:ascii="Times New Roman" w:hAnsi="Times New Roman" w:eastAsia="Times New Roman" w:cs="Times New Roman"/>
        </w:rPr>
        <w:t xml:space="preserve"> Midnight Cry </w:t>
      </w:r>
      <w:r>
        <w:rPr>
          <w:rFonts w:ascii="Leelawadee UI" w:hAnsi="Leelawadee UI" w:eastAsia="Leelawadee UI" w:cs="Leelawadee UI"/>
        </w:rPr>
        <w:t>គឺជាការកែតម្រូវ</w:t>
      </w:r>
      <w:r>
        <w:rPr>
          <w:rFonts w:ascii="Times New Roman" w:hAnsi="Times New Roman" w:eastAsia="Times New Roman" w:cs="Times New Roman"/>
        </w:rPr>
        <w:t xml:space="preserve"> </w:t>
      </w:r>
      <w:r>
        <w:rPr>
          <w:rFonts w:ascii="Leelawadee UI" w:hAnsi="Leelawadee UI" w:eastAsia="Leelawadee UI" w:cs="Leelawadee UI"/>
        </w:rPr>
        <w:t>និងជាការធ្វើឲ្យការអនុវត្តគោលការណ៍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 xml:space="preserve">» </w:t>
      </w:r>
      <w:r>
        <w:rPr>
          <w:rFonts w:ascii="Leelawadee UI" w:hAnsi="Leelawadee UI" w:eastAsia="Leelawadee UI" w:cs="Leelawadee UI"/>
        </w:rPr>
        <w:t>ដែលបានបរាជ័យនោះ</w:t>
      </w:r>
      <w:r>
        <w:rPr>
          <w:rFonts w:ascii="Times New Roman" w:hAnsi="Times New Roman" w:eastAsia="Times New Roman" w:cs="Times New Roman"/>
        </w:rPr>
        <w:t xml:space="preserve"> </w:t>
      </w:r>
      <w:r>
        <w:rPr>
          <w:rFonts w:ascii="Leelawadee UI" w:hAnsi="Leelawadee UI" w:eastAsia="Leelawadee UI" w:cs="Leelawadee UI"/>
        </w:rPr>
        <w:t>គ្រប់លក្ខណ៍ពេញលេញ។</w:t>
      </w:r>
      <w:r>
        <w:rPr>
          <w:rFonts w:ascii="Times New Roman" w:hAnsi="Times New Roman" w:eastAsia="Times New Roman" w:cs="Times New Roman"/>
        </w:rPr>
        <w:t xml:space="preserve"> </w:t>
      </w:r>
      <w:r>
        <w:rPr>
          <w:rFonts w:ascii="Leelawadee UI" w:hAnsi="Leelawadee UI" w:eastAsia="Leelawadee UI" w:cs="Leelawadee UI"/>
        </w:rPr>
        <w:t>សារដែលបានកែតម្រូវនោះ</w:t>
      </w:r>
      <w:r>
        <w:rPr>
          <w:rFonts w:ascii="Times New Roman" w:hAnsi="Times New Roman" w:eastAsia="Times New Roman" w:cs="Times New Roman"/>
        </w:rPr>
        <w:t xml:space="preserve"> </w:t>
      </w:r>
      <w:r>
        <w:rPr>
          <w:rFonts w:ascii="Leelawadee UI" w:hAnsi="Leelawadee UI" w:eastAsia="Leelawadee UI" w:cs="Leelawadee UI"/>
        </w:rPr>
        <w:t>មានមូលដ្ឋានលើគោលការណ៍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 xml:space="preserve">» </w:t>
      </w:r>
      <w:r>
        <w:rPr>
          <w:rFonts w:ascii="Leelawadee UI" w:hAnsi="Leelawadee UI" w:eastAsia="Leelawadee UI" w:cs="Leelawadee UI"/>
        </w:rPr>
        <w:t>ហើយបានសម្រេចបំពេញនៅថ្ងៃទី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សញ្ញាសម្គាល់ទាំងបួន</w:t>
      </w:r>
      <w:r>
        <w:rPr>
          <w:rFonts w:ascii="Times New Roman" w:hAnsi="Times New Roman" w:eastAsia="Times New Roman" w:cs="Times New Roman"/>
        </w:rPr>
        <w:t xml:space="preserve"> </w:t>
      </w:r>
      <w:r>
        <w:rPr>
          <w:rFonts w:ascii="Leelawadee UI" w:hAnsi="Leelawadee UI" w:eastAsia="Leelawadee UI" w:cs="Leelawadee UI"/>
        </w:rPr>
        <w:t>កំពុងកំណត់អត្តសញ្ញាណគោលការណ៍</w:t>
      </w:r>
      <w:r>
        <w:rPr>
          <w:rFonts w:ascii="Times New Roman" w:hAnsi="Times New Roman" w:eastAsia="Times New Roman" w:cs="Times New Roman"/>
        </w:rPr>
        <w:t xml:space="preserve"> «</w:t>
      </w:r>
      <w:r>
        <w:rPr>
          <w:rFonts w:ascii="Leelawadee UI" w:hAnsi="Leelawadee UI" w:eastAsia="Leelawadee UI" w:cs="Leelawadee UI"/>
        </w:rPr>
        <w:t>មួយថ្ងៃស្មើមួយឆ្នាំ</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Sœur White nous informe que les sept tonnerres représentent les événements qui se sont déroulés durant les messages du premier et du second ange ; mais elle enseigne aussi que les sept tonnerres représentent « des événements futurs qui seront révélés en leur ordre ». Les sept tonnerres représentent quatre événements prophétiques qui commencèrent le 11 août 1840 et s’achevèrent le 22 octobre 1844, et ces quatre balises seront répétées dans notre histoire dans le même ordre.</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ហើយកាលបរិច្ឆេទទាំងពីរនេះសុទ្ធតែពាក់ព័ន្ធនឹងសាសនាអ៊ីស្លាម</w:t>
      </w:r>
      <w:r>
        <w:rPr>
          <w:rFonts w:ascii="Times New Roman" w:hAnsi="Times New Roman" w:eastAsia="Times New Roman" w:cs="Times New Roman"/>
        </w:rPr>
        <w:t xml:space="preserve"> </w:t>
      </w:r>
      <w:r>
        <w:rPr>
          <w:rFonts w:ascii="Leelawadee UI" w:hAnsi="Leelawadee UI" w:eastAsia="Leelawadee UI" w:cs="Leelawadee UI"/>
        </w:rPr>
        <w:t>ដូច្នេះបានភ្ជាប់ការចាប់ផ្ដើមនៃអាដវិន្ទិស្ត៍ជាមួយនឹងចុងបញ្ចប់នៃអាដវិន្ទិស្ត៍។</w:t>
      </w:r>
      <w:r>
        <w:rPr>
          <w:rFonts w:ascii="Times New Roman" w:hAnsi="Times New Roman" w:eastAsia="Times New Roman" w:cs="Times New Roman"/>
        </w:rPr>
        <w:t xml:space="preserve"> </w:t>
      </w:r>
      <w:r>
        <w:rPr>
          <w:rFonts w:ascii="Leelawadee UI" w:hAnsi="Leelawadee UI" w:eastAsia="Leelawadee UI" w:cs="Leelawadee UI"/>
        </w:rPr>
        <w:t>ទាំងថ្ងៃទី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និងថ្ងៃទី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សុទ្ធតែជាការបញ្ជាក់នៃច្បាប់ទំនាយសំខាន់បំផុតក្នុងប្រវត្តិសាស្ត្ររៀងៗខ្លួន។</w:t>
      </w:r>
    </w:p>
    <w:p>
      <w:pPr>
        <w:pStyle w:val="ArticleBody"/>
        <w:jc w:val="left"/>
      </w:pPr>
      <w:r>
        <w:rPr>
          <w:rFonts w:ascii="Times New Roman" w:hAnsi="Times New Roman" w:eastAsia="Times New Roman" w:cs="Times New Roman"/>
        </w:rPr>
        <w:t>Ni September 11, 2001, angel blong Revelation 18 i bin daon, mo long August 11, 1840, angel blong Revelation 10 i bin daon. Fasfala disappointment blong Future for America i wan prediction we i no kamtru long saed blong Islam long July 18, 2020. Mesij ya we oli unseal-em, stret olsem Midnight Cry long Exeter long summer blong 1844, hem i wan correction blong failed prediction we oli bin givim finis bifo. Long saed blong olketa Millerite, correction ya i stap long relasen wetem previous failed application blong day-for-a-year principle we i identify-em 1843 olsem taem blong kambak blong Lod. Tede, correction ya we Millerite Midnight Cry message i represent-em, i mas wan waymark we i represent-em Islam, olsem tufala previous waymark tu i bin mekem. Correction ya we wok blong Samuel Snow i typify-em, i no blong putumsaed previous failed prediction ya, be blong faen-tunem prediction ya we i bin fail bifo.</w:t>
      </w:r>
    </w:p>
    <w:p>
      <w:pPr>
        <w:pStyle w:val="ArticleScripture"/>
        <w:jc w:val="left"/>
      </w:pPr>
      <w:r>
        <w:rPr>
          <w:rFonts w:ascii="Times New Roman" w:hAnsi="Times New Roman" w:eastAsia="Times New Roman" w:cs="Times New Roman"/>
        </w:rPr>
        <w:t>”Den besvikna skaran såg i Skrifterna att de befann sig i dröjsmålets tid och att de tålmodigt måste invänta synens uppfyllelse. Samma bevisning som hade lett dem att vänta sin Herre år 1843, ledde dem till att förvänta honom år 1844.” Early Writings, 247.</w:t>
      </w:r>
    </w:p>
    <w:p>
      <w:pPr>
        <w:pStyle w:val="ArticleBody"/>
        <w:jc w:val="left"/>
      </w:pPr>
      <w:r>
        <w:rPr>
          <w:rFonts w:ascii="Times New Roman" w:hAnsi="Times New Roman" w:eastAsia="Times New Roman" w:cs="Times New Roman"/>
        </w:rPr>
        <w:t>Lelo ujumbe unaowakilishwa kwa mfano na ujumbe uliotoka katika mkutano wa kambi wa Exeter utakuwa ukamilisho wa utabiri wa awali ulioshindwa. Kukatishwa Tamaa Kukuu katika historia ya Wamillerite kunawakilisha kukatishwa tamaa kukuu kunakotokea wakati wa sheria ya Jumapili, lakini kutakuwa katika muktadha wa utabiri kuhusu Uislamu. Ujumbe wa Samuel Snow ulikuwa utambuzi wa tarehe kamili. Ilikuwa tarehe sahihi, lakini tukio lisilo sahihi. Ujumbe wa leo unaowakilishwa na ujumbe wa Snow utakuwa ujumbe kuhusu Uislamu ambao ni ukamilisho wa ujumbe ulioshindwa katika kukatishwa tamaa kwa kwanza la Julai 18, 2020.</w:t>
      </w:r>
    </w:p>
    <w:p>
      <w:pPr>
        <w:pStyle w:val="ArticleBody"/>
        <w:jc w:val="left"/>
      </w:pPr>
      <w:r>
        <w:rPr>
          <w:rFonts w:ascii="Times New Roman" w:hAnsi="Times New Roman" w:eastAsia="Times New Roman" w:cs="Times New Roman"/>
        </w:rPr>
        <w:t>Ha ho sa na linako kapa matsatsi a behiloeng tse amehang hona joale, hobane ho tloha ka la 22 Mphalane, 1844, ho beha linako ha e sa tla hlola e e-ba karolo ea molaetsa oa boprofeta oa Molimo.</w:t>
      </w:r>
    </w:p>
    <w:p>
      <w:pPr>
        <w:pStyle w:val="ArticleScripture"/>
        <w:jc w:val="left"/>
      </w:pPr>
      <w:r>
        <w:rPr>
          <w:rFonts w:ascii="Times New Roman" w:hAnsi="Times New Roman" w:eastAsia="Times New Roman" w:cs="Times New Roman"/>
        </w:rPr>
        <w:t>“Bwana amenionyesha kwamba ujumbe wa malaika wa tatu lazima uende, na kutangazwa kwa watoto wa Bwana waliotawanyika, na kwamba haupaswi kutegemezwa juu ya wakati; kwa maana wakati hautakuwa tena jaribio kamwe. Nikaona kwamba baadhi walikuwa wakipata msisimko wa uongo utokanao na kuhubiri wakati; kwamba ujumbe wa malaika wa tatu ulikuwa na nguvu kuliko wakati unavyoweza kuwa. Nikaona kwamba ujumbe huu unaweza kusimama juu ya msingi wake wenyewe, na kwamba hauhitaji wakati kuutia nguvu, na kwamba utaenda kwa uwezo mkuu, na kufanya kazi yake, na utakatishwa katika haki.” Experience and Views, 48, 49.</w:t>
      </w:r>
    </w:p>
    <w:p>
      <w:pPr>
        <w:pStyle w:val="ArticleBody"/>
        <w:jc w:val="left"/>
      </w:pPr>
      <w:r>
        <w:rPr>
          <w:rFonts w:ascii="Times New Roman" w:hAnsi="Times New Roman" w:eastAsia="Times New Roman" w:cs="Times New Roman"/>
        </w:rPr>
        <w:t>De fjärde vägmärket i vår historia måste vara söndagslagen, ty de heliga historieskildringarna från alla reformlinjer, lagda samman rad på rad, i förening med den inspirerade kommentaren till dessa historier genom Profetians Ande, är avgörande bevis för att söndagslagen är det fjärde vägmärket efter att den mäktige ängeln stiger ned i vår historia. Det fjärde vägmärket i de sju dundrens historia, vilka är ”framtida händelser som kommer att uppenbaras i sin ordning”, måste vara förbundet med islam, grundat på det faktum att samma tema alltid förekommer i samma fyra vägmärken i varje reformatorisk rörelse.</w:t>
      </w:r>
    </w:p>
    <w:p>
      <w:pPr>
        <w:pStyle w:val="ArticleBody"/>
        <w:jc w:val="left"/>
      </w:pPr>
      <w:r>
        <w:rPr>
          <w:rFonts w:ascii="Times New Roman" w:hAnsi="Times New Roman" w:eastAsia="Times New Roman" w:cs="Times New Roman"/>
        </w:rPr>
        <w:t>الإسلام سيكون جزءًا من الأحداث النبوية عند قانون الأحد لسببٍ ثانٍ. لقد أخذ يسوع، الأسد الذي من سبط يهوذا، على وجه التحديد تاريخ هذه الأحداث الأربعة وعرَّفه بوصفه رمزًا قائمًا بذاته. وذلك الرمز هو الرعود السبعة. وهناك معالم أخرى في كل حركة إصلاحية توجد قبل هذه المعالم الأربعة وبعدها، التي يحدِّدها الأسد الذي من سبط يهوذا بأنها الرعود السبعة. وباعتبارها رمزًا قائمًا بذاته، فإن المعلم الأول في التاريخ الرمزي الذي يشتمل على هذه المعالم الأربعة قد مثَّل هجوم الإسلام على الولايات المتحدة في 11 سبتمبر 2001. وإن حقيقة أن الألف والياء يحدِّدان النهاية بالبداية تُثبت وجود الإسلام عند قانون الأحد، لأنه لما كان أول تلك المعالم الأربعة هو هجوم الإسلام في 11 سبتمبر 2001، فلا بد أن يكون المعلم الرابع والأخير أيضًا هجومًا من الإسلام على الولايات المتحدة.</w:t>
      </w:r>
    </w:p>
    <w:p>
      <w:pPr>
        <w:pStyle w:val="ArticleBody"/>
        <w:jc w:val="left"/>
      </w:pPr>
      <w:r>
        <w:rPr>
          <w:rFonts w:ascii="Times New Roman" w:hAnsi="Times New Roman" w:eastAsia="Times New Roman" w:cs="Times New Roman"/>
        </w:rPr>
        <w:t>Mai tre chiara giè che la legge domenicale è un altro attacco dell’Islam contro New York City, e ciò corrisponderebbe a una fine identificata dal principio; ma, come minimo, sarà un attacco dell’Islam, come fu predetto il 18 luglio 2020.</w:t>
      </w:r>
    </w:p>
    <w:p>
      <w:pPr>
        <w:pStyle w:val="ArticleBody"/>
        <w:jc w:val="left"/>
      </w:pPr>
      <w:r>
        <w:rPr>
          <w:rFonts w:ascii="Times New Roman" w:hAnsi="Times New Roman" w:eastAsia="Times New Roman" w:cs="Times New Roman"/>
        </w:rPr>
        <w:t>Nous avons également montré que l’Alpha et l’Oméga avaient dissimulé une histoire au sein de ces quatre histoires. En réalité, cette histoire interne cachée constitue une révélation primordiale qui est maintenant mise en lumière en rapport avec l’ordre de « ne pas sceller les paroles de la prophétie du livre de l’Apocalypse ». Cette histoire interne cachée est reconnue lorsque nous voyons, dans les quatre jalons représentés par les sept tonnerres, qu’il existe une période à l’intérieur de ces quatre jalons qui commence par une déception et s’achève par une déception. Depuis l’arrivée du deuxième ange jusqu’à l’arrivée du troisième dans l’histoire millérite, il y a une histoire particulière qui représente un symbole en elle-même. Elle commence par le message d’un ange qui doit être mangé, marquant ainsi le temps de retardement dans la parabole des dix vierges. Elle identifie ensuite le Cri de Minuit, qui est aussi un message devant être mangé, puis conduit à l’arrivée du troisième message qui doit être mangé.</w:t>
      </w:r>
    </w:p>
    <w:p>
      <w:pPr>
        <w:pStyle w:val="ArticleBody"/>
        <w:jc w:val="left"/>
      </w:pPr>
      <w:r>
        <w:rPr>
          <w:rFonts w:ascii="Times New Roman" w:hAnsi="Times New Roman" w:eastAsia="Times New Roman" w:cs="Times New Roman"/>
        </w:rPr>
        <w:t>Ngimpi ya kati, iliyofichika ndani ya mfululizo wa ngurumo saba, inathibitishwa kinabii si tu kwa kuwa mwanzo wake unawakilisha kukatishwa tamaa, na kwa kuja kwa malaika pamoja na ujumbe wa kula, ambao baadaye unarudiwa wakati wa kukatishwa tamaa kukuu, bali pia inathibitishwa na “kweli.”</w:t>
      </w:r>
    </w:p>
    <w:p>
      <w:pPr>
        <w:pStyle w:val="ArticleBody"/>
        <w:jc w:val="left"/>
      </w:pPr>
      <w:r>
        <w:rPr>
          <w:rFonts w:ascii="Times New Roman" w:hAnsi="Times New Roman" w:eastAsia="Times New Roman" w:cs="Times New Roman"/>
        </w:rPr>
        <w:t>Kata Ibrani “‘ĕmeṯ” yang diterjemahkan sebagai “kebenaran” dalam Perjanjian Lama dibentuk oleh Sang Ahli Bahasa yang ajaib dengan menggunakan huruf pertama dari alfabet Ibrani, kemudian huruf ketiga belas dari alfabet itu, dan akhirnya ditutup dengan huruf terakhir dari alfabet itu untuk membentuk kata yang diterjemahkan sebagai kebenaran. Kita telah menunjukkan bahwa huruf-huruf itu melambangkan prinsip kaidah penyebutan pertama, prinsip yang mengenali kesudahan sejak permulaan. Huruf yang pertama adalah huruf “alfa”. Huruf yang di tengah adalah huruf ketiga belas dari alfabet Ibrani dan melambangkan pemberontakan. Huruf yang terakhir adalah yang terakhir, yaitu kesudahan, omega. Kita telah menunjukkan bahwa ketiga huruf ini melambangkan tiga langkah Injil yang kekal sebagaimana diteguhkan oleh beberapa garis nubuatan.</w:t>
      </w:r>
    </w:p>
    <w:p>
      <w:pPr>
        <w:pStyle w:val="ArticleBody"/>
        <w:jc w:val="left"/>
      </w:pPr>
      <w:r>
        <w:rPr>
          <w:rFonts w:ascii="Times New Roman" w:hAnsi="Times New Roman" w:eastAsia="Times New Roman" w:cs="Times New Roman"/>
        </w:rPr>
        <w:t>La signification de ces trois lettres correspond à celle de chacun des messages des trois anges. La signification de ces trois lettres correspond au processus de purification des sages et des méchants dans Daniel douze, verset dix, qui sont purifiés, blanchis et éprouvés. Les trois lettres hébraïques qui ont été réunies pour former le mot « vérité » portent la signature de l’Alpha et de l’Oméga, et les trois étapes qu’elles désignent dans le message du premier ange sont appelées l’Évangile éternel. Les trois étapes représentées par ces lettres représentent aussi l’œuvre du Saint-Esprit telle qu’elle est exposée dans Jean seize.</w:t>
      </w:r>
    </w:p>
    <w:p>
      <w:pPr>
        <w:pStyle w:val="ArticleScripture"/>
        <w:jc w:val="left"/>
      </w:pPr>
      <w:r>
        <w:rPr>
          <w:rFonts w:ascii="Times New Roman" w:hAnsi="Times New Roman" w:eastAsia="Times New Roman" w:cs="Times New Roman"/>
        </w:rPr>
        <w:t>Et quand il sera venu, il convaincra le monde en ce qui concerne le péché, la justice et le jugement : en ce qui concerne le péché, parce qu’ils ne croient pas en moi ; en ce qui concerne la justice, parce que je m’en vais à mon Père, et que vous ne me voyez plus ; en ce qui concerne le jugement, parce que le prince de ce monde est jugé. Jean 16:8–11.</w:t>
      </w:r>
    </w:p>
    <w:p>
      <w:pPr>
        <w:pStyle w:val="ArticleBody"/>
        <w:jc w:val="left"/>
      </w:pPr>
      <w:r>
        <w:rPr>
          <w:rFonts w:ascii="Times New Roman" w:hAnsi="Times New Roman" w:eastAsia="Times New Roman" w:cs="Times New Roman"/>
        </w:rPr>
        <w:t>Den første skuffelsen fremstilles som synd, slik det er illustrert ved Moses, Ussa, Maria og Marta, og millerittene; for slik Johannes seksten beskriver Den Hellige Ånds gjerning i å overbevise om «synd», var det fordi «de ikke tror». Hvert av symbolene vi nettopp har vist til, representerer den første skuffelsen, og hver av deres historier vitner om at skuffelsen ble forårsaket av den synd ikke å tro noe som tidligere var blitt åpenbart for dem. Det første skrittet er overbevisningen om synd. Det første skrittet er den første bokstaven i det hebraiske alfabetet.</w:t>
      </w:r>
    </w:p>
    <w:p>
      <w:pPr>
        <w:pStyle w:val="ArticleBody"/>
        <w:jc w:val="left"/>
      </w:pP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এখানেই</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আর্তনাদের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বহনকারীদের</w:t>
      </w:r>
      <w:r>
        <w:rPr>
          <w:rFonts w:ascii="Times New Roman" w:hAnsi="Times New Roman" w:eastAsia="Times New Roman" w:cs="Times New Roman"/>
        </w:rPr>
        <w:t xml:space="preserve"> </w:t>
      </w:r>
      <w:r>
        <w:rPr>
          <w:rFonts w:ascii="Nirmala UI" w:hAnsi="Nirmala UI" w:eastAsia="Nirmala UI" w:cs="Nirmala UI"/>
        </w:rPr>
        <w:t>ধার্মিকতার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প্রতিভাত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বিলম্বসময়ের</w:t>
      </w:r>
      <w:r>
        <w:rPr>
          <w:rFonts w:ascii="Times New Roman" w:hAnsi="Times New Roman" w:eastAsia="Times New Roman" w:cs="Times New Roman"/>
        </w:rPr>
        <w:t xml:space="preserve"> </w:t>
      </w:r>
      <w:r>
        <w:rPr>
          <w:rFonts w:ascii="Nirmala UI" w:hAnsi="Nirmala UI" w:eastAsia="Nirmala UI" w:cs="Nirmala UI"/>
        </w:rPr>
        <w:t>উপসংহারে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ষোলো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গিয়েছিলেন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খ্রিস্টকে</w:t>
      </w:r>
      <w:r>
        <w:rPr>
          <w:rFonts w:ascii="Times New Roman" w:hAnsi="Times New Roman" w:eastAsia="Times New Roman" w:cs="Times New Roman"/>
        </w:rPr>
        <w:t xml:space="preserve"> </w:t>
      </w:r>
      <w:r>
        <w:rPr>
          <w:rFonts w:ascii="Nirmala UI" w:hAnsi="Nirmala UI" w:eastAsia="Nirmala UI" w:cs="Nirmala UI"/>
        </w:rPr>
        <w:t>দেখল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ধার্মিকতার</w:t>
      </w:r>
      <w:r>
        <w:rPr>
          <w:rFonts w:ascii="Times New Roman" w:hAnsi="Times New Roman" w:eastAsia="Times New Roman" w:cs="Times New Roman"/>
        </w:rPr>
        <w:t xml:space="preserve"> </w:t>
      </w:r>
      <w:r>
        <w:rPr>
          <w:rFonts w:ascii="Nirmala UI" w:hAnsi="Nirmala UI" w:eastAsia="Nirmala UI" w:cs="Nirmala UI"/>
        </w:rPr>
        <w:t>প্রকাশের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বিলম্ব</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মিলারীয়দের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নিলেন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ভুলটি</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সংশোধিত</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বিষয়বস্তু</w:t>
      </w:r>
      <w:r>
        <w:rPr>
          <w:rFonts w:ascii="Times New Roman" w:hAnsi="Times New Roman" w:eastAsia="Times New Roman" w:cs="Times New Roman"/>
        </w:rPr>
        <w:t xml:space="preserve"> </w:t>
      </w:r>
      <w:r>
        <w:rPr>
          <w:rFonts w:ascii="Nirmala UI" w:hAnsi="Nirmala UI" w:eastAsia="Nirmala UI" w:cs="Nirmala UI"/>
        </w:rPr>
        <w:t>উপাসকদের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বর্ণমালার</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অক্ষর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p>
    <w:p>
      <w:pPr>
        <w:pStyle w:val="ArticleScripture"/>
        <w:jc w:val="left"/>
      </w:pPr>
      <w:r>
        <w:rPr>
          <w:rFonts w:ascii="Times New Roman" w:hAnsi="Times New Roman" w:eastAsia="Times New Roman" w:cs="Times New Roman"/>
        </w:rPr>
        <w:t>«Les oints qui se tiennent auprès du Seigneur de toute la terre occupent la position autrefois accordée à Satan comme chérubin protecteur. Par les êtres saints qui entourent son trône, le Seigneur maintient une communication constante avec les habitants de la terre. L’huile d’or représente la grâce par laquelle Dieu pourvoit continuellement aux lampes des croyants, afin qu’elles ne vacillent pas et ne s’éteignent pas. Si cette huile sainte n’était pas répandue du ciel par les messages de l’Esprit de Dieu, les puissances du mal exerceraient sur les hommes un contrôle absolu. »</w:t>
      </w:r>
    </w:p>
    <w:p>
      <w:pPr>
        <w:pStyle w:val="ArticleScripture"/>
        <w:jc w:val="left"/>
      </w:pPr>
      <w:r>
        <w:rPr>
          <w:rFonts w:ascii="Times New Roman" w:hAnsi="Times New Roman" w:eastAsia="Times New Roman" w:cs="Times New Roman"/>
        </w:rPr>
        <w:t>“Gerið vanheiðran sýnda Guði, þegar vér tökum ekki við þeim boðskap, sem hann sendir oss. Þannig höfnum vér þeirri gullnu olíu, sem hann vildi úthella í sálir vorar, til þess að henni yrði miðlað til þeirra, sem eru í myrkri. Þegar kallið mun heyrast: ‘Sjá, brúðguminn kemur; farið út á móti honum,’ munu þeir, sem ekki hafa tekið við hinni helgu olíu, sem ekki hafa varðveitt náð Krists í hjörtum sínum, komast að raun um, líkt og heimsku meyjarnar, að þeir eru ekki reiðubúnir til að mæta Drottni sínum. Þeir hafa ekki í sjálfum sér mátt til að afla olíunnar, og líf þeirra fer í rúst. En ef beðið er um heilagan anda Guðs, ef vér biðjum í ákafa, eins og Móse gerði: ‘Sýn mér dýrð þína,’ þá mun kærleikur Guðs úthellast í hjörtu vor. Fyrir hinar gullnu pípur mun gullna olían berast oss. ‘Ekki með afli né krafti, heldur fyrir anda minn, segir Drottinn allsherjar.’ Með því að taka við hinum björtu geislum sólar réttlætisins skína börn Guðs sem ljós í heiminum.” Review and Herald, 20. júlí 1897.</w:t>
      </w:r>
    </w:p>
    <w:p>
      <w:pPr>
        <w:pStyle w:val="ArticleBody"/>
        <w:jc w:val="left"/>
      </w:pPr>
      <w:r>
        <w:rPr>
          <w:rFonts w:ascii="Times New Roman" w:hAnsi="Times New Roman" w:eastAsia="Times New Roman" w:cs="Times New Roman"/>
        </w:rPr>
        <w:t>Pran nòt sa yo ki resevwa mesaj Rèl Minwi a te prefigire pa Moyiz nan twou wòch Oreb la, pandan li t ap sipliye Bondye pou montre li glwa Li. De gwoup sa yo te fin fikse karaktè yo anvan Rèl Minwi a, pandan tan reta a.</w:t>
      </w:r>
    </w:p>
    <w:p>
      <w:pPr>
        <w:pStyle w:val="ArticleScripture"/>
        <w:jc w:val="left"/>
      </w:pPr>
      <w:r>
        <w:rPr>
          <w:rFonts w:ascii="Times New Roman" w:hAnsi="Times New Roman" w:eastAsia="Times New Roman" w:cs="Times New Roman"/>
        </w:rPr>
        <w:t>“Yeroo ammaa yeroo hamaa guddaa keessa jiraanna, keessaa keenya keessaa eenyu iyyuu dhufaatii Kiristoosiif qophii barbaaduu keessatti harkifachuu hin qabu. Namni tokko iyyuu fakkeenya durboota gowwootaa hin hordofin, yeroo rakkinni sun dhufu dura qophii amala yeroo sana dhaabachuuf barbaachisu argachuuf eeguun nagaa akka ta’e hin yaadin. Yeroo keessummoonni waamamanii qoramanitti qajeelummaa Kiristoos barbaaduuf baay’ee keessa dabree ta’a. Amma yeroo qajeelummaa Kiristoos uffachuudha,—uffata fuudhaaf heerumaa kan cidha Irreechaa Hoolichaa seenuuf si mijeeffatu. Fakkeenya keessatti, durboonni gowwoon zayitii kadhachaa akka argatan agarsiifaman; garuu akka gaaffii isaaniitti hin arganne mul’ata. Kunis warra yeroo rakkoo keessatti dhaabachuuf amala of keessatti guddisuudhaan of hin qopheessine kan agarsiisudha.” The Youth’s Instructor, January 16, 1896.</w:t>
      </w:r>
    </w:p>
    <w:p>
      <w:pPr>
        <w:pStyle w:val="ArticleBody"/>
        <w:jc w:val="left"/>
      </w:pPr>
      <w:r>
        <w:rPr>
          <w:rFonts w:ascii="Nirmala UI" w:hAnsi="Nirmala UI" w:eastAsia="Nirmala UI" w:cs="Nirmala UI"/>
        </w:rPr>
        <w:t>ଅର୍ଧରାତ୍ରିର</w:t>
      </w:r>
      <w:r>
        <w:rPr>
          <w:rFonts w:ascii="Times New Roman" w:hAnsi="Times New Roman" w:eastAsia="Times New Roman" w:cs="Times New Roman"/>
        </w:rPr>
        <w:t xml:space="preserve"> </w:t>
      </w:r>
      <w:r>
        <w:rPr>
          <w:rFonts w:ascii="Nirmala UI" w:hAnsi="Nirmala UI" w:eastAsia="Nirmala UI" w:cs="Nirmala UI"/>
        </w:rPr>
        <w:t>ଆହ୍ୱାନ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ଶ୍ରେଣୀ</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ଆବଶ୍ୟକ</w:t>
      </w:r>
      <w:r>
        <w:rPr>
          <w:rFonts w:ascii="Times New Roman" w:hAnsi="Times New Roman" w:eastAsia="Times New Roman" w:cs="Times New Roman"/>
        </w:rPr>
        <w:t xml:space="preserve"> </w:t>
      </w:r>
      <w:r>
        <w:rPr>
          <w:rFonts w:ascii="Nirmala UI" w:hAnsi="Nirmala UI" w:eastAsia="Nirmala UI" w:cs="Nirmala UI"/>
        </w:rPr>
        <w:t>ତେଲ</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ଶ୍ରେଣୀ</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ନଥିଲା।</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ପଦକ୍ଷେପ</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ଧର୍ମିକତା</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ଅଧର୍ମିକତାର</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w:t>
      </w:r>
      <w:r>
        <w:rPr>
          <w:rFonts w:ascii="Nirmala UI" w:hAnsi="Nirmala UI" w:eastAsia="Nirmala UI" w:cs="Nirmala UI"/>
        </w:rPr>
        <w:t>ପିତାଙ୍କ</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ଦେଖିବ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ପଦକ୍ଷେପ</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ଇବ୍ରୀୟ</w:t>
      </w:r>
      <w:r>
        <w:rPr>
          <w:rFonts w:ascii="Times New Roman" w:hAnsi="Times New Roman" w:eastAsia="Times New Roman" w:cs="Times New Roman"/>
        </w:rPr>
        <w:t xml:space="preserve"> </w:t>
      </w:r>
      <w:r>
        <w:rPr>
          <w:rFonts w:ascii="Nirmala UI" w:hAnsi="Nirmala UI" w:eastAsia="Nirmala UI" w:cs="Nirmala UI"/>
        </w:rPr>
        <w:t>ବର୍ଣ୍ଣମାଳାର</w:t>
      </w:r>
      <w:r>
        <w:rPr>
          <w:rFonts w:ascii="Times New Roman" w:hAnsi="Times New Roman" w:eastAsia="Times New Roman" w:cs="Times New Roman"/>
        </w:rPr>
        <w:t xml:space="preserve"> </w:t>
      </w:r>
      <w:r>
        <w:rPr>
          <w:rFonts w:ascii="Nirmala UI" w:hAnsi="Nirmala UI" w:eastAsia="Nirmala UI" w:cs="Nirmala UI"/>
        </w:rPr>
        <w:t>ତ୍ରୟୋଦଶ</w:t>
      </w:r>
      <w:r>
        <w:rPr>
          <w:rFonts w:ascii="Times New Roman" w:hAnsi="Times New Roman" w:eastAsia="Times New Roman" w:cs="Times New Roman"/>
        </w:rPr>
        <w:t xml:space="preserve"> </w:t>
      </w:r>
      <w:r>
        <w:rPr>
          <w:rFonts w:ascii="Nirmala UI" w:hAnsi="Nirmala UI" w:eastAsia="Nirmala UI" w:cs="Nirmala UI"/>
        </w:rPr>
        <w:t>ଅକ୍ଷର।</w:t>
      </w:r>
      <w:r>
        <w:rPr>
          <w:rFonts w:ascii="Times New Roman" w:hAnsi="Times New Roman" w:eastAsia="Times New Roman" w:cs="Times New Roman"/>
        </w:rPr>
        <w:t xml:space="preserve"> </w:t>
      </w:r>
      <w:r>
        <w:rPr>
          <w:rFonts w:ascii="Nirmala UI" w:hAnsi="Nirmala UI" w:eastAsia="Nirmala UI" w:cs="Nirmala UI"/>
        </w:rPr>
        <w:t>ଗୁପ୍ତ</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ପଦକ୍ଷେପ</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ନିରାଶା</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ବର୍ଣ୍ଣମାଳାର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ଅକ୍ଷର।</w:t>
      </w:r>
    </w:p>
    <w:p>
      <w:pPr>
        <w:pStyle w:val="ArticleBody"/>
        <w:jc w:val="left"/>
      </w:pPr>
      <w:r>
        <w:rPr>
          <w:rFonts w:ascii="Times New Roman" w:hAnsi="Times New Roman" w:eastAsia="Times New Roman" w:cs="Times New Roman"/>
        </w:rPr>
        <w:t>Nalane e patiloeng ka har’a lialuma tse supileng e pakoa ke lentsoe “’nete,” ke ho soetseha ha qalong ho supang ho soetseha ha ho qetela, le ke lengeloi le tlang le molaetsa qalong le qetellong. Nalane e patiloeng e tla tsejoa feela ke ba amohetseng melao ea thuto ea Bibele e fanoeng ke matla a phahameng ka ho fetisisa. Melao ea Miller qalong le Linotlolo tsa Boprofeta qetellong.</w:t>
      </w:r>
    </w:p>
    <w:p>
      <w:pPr>
        <w:pStyle w:val="ArticleBody"/>
        <w:jc w:val="left"/>
      </w:pP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አሁኑ</w:t>
      </w:r>
      <w:r>
        <w:rPr>
          <w:rFonts w:ascii="Times New Roman" w:hAnsi="Times New Roman" w:eastAsia="Times New Roman" w:cs="Times New Roman"/>
        </w:rPr>
        <w:t xml:space="preserve"> </w:t>
      </w:r>
      <w:r>
        <w:rPr>
          <w:rFonts w:ascii="Ebrima" w:hAnsi="Ebrima" w:eastAsia="Ebrima" w:cs="Ebrima"/>
        </w:rPr>
        <w:t>ገለጻችን</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ሊደገምና</w:t>
      </w:r>
      <w:r>
        <w:rPr>
          <w:rFonts w:ascii="Times New Roman" w:hAnsi="Times New Roman" w:eastAsia="Times New Roman" w:cs="Times New Roman"/>
        </w:rPr>
        <w:t xml:space="preserve"> </w:t>
      </w:r>
      <w:r>
        <w:rPr>
          <w:rFonts w:ascii="Ebrima" w:hAnsi="Ebrima" w:eastAsia="Ebrima" w:cs="Ebrima"/>
        </w:rPr>
        <w:t>ሊታሰብ</w:t>
      </w:r>
      <w:r>
        <w:rPr>
          <w:rFonts w:ascii="Times New Roman" w:hAnsi="Times New Roman" w:eastAsia="Times New Roman" w:cs="Times New Roman"/>
        </w:rPr>
        <w:t xml:space="preserve"> </w:t>
      </w:r>
      <w:r>
        <w:rPr>
          <w:rFonts w:ascii="Ebrima" w:hAnsi="Ebrima" w:eastAsia="Ebrima" w:cs="Ebrima"/>
        </w:rPr>
        <w:t>የሚገባ</w:t>
      </w:r>
      <w:r>
        <w:rPr>
          <w:rFonts w:ascii="Times New Roman" w:hAnsi="Times New Roman" w:eastAsia="Times New Roman" w:cs="Times New Roman"/>
        </w:rPr>
        <w:t xml:space="preserve"> </w:t>
      </w:r>
      <w:r>
        <w:rPr>
          <w:rFonts w:ascii="Ebrima" w:hAnsi="Ebrima" w:eastAsia="Ebrima" w:cs="Ebrima"/>
        </w:rPr>
        <w:t>አጽንኦት</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በእያንዳንዱ</w:t>
      </w:r>
      <w:r>
        <w:rPr>
          <w:rFonts w:ascii="Times New Roman" w:hAnsi="Times New Roman" w:eastAsia="Times New Roman" w:cs="Times New Roman"/>
        </w:rPr>
        <w:t xml:space="preserve"> </w:t>
      </w:r>
      <w:r>
        <w:rPr>
          <w:rFonts w:ascii="Ebrima" w:hAnsi="Ebrima" w:eastAsia="Ebrima" w:cs="Ebrima"/>
        </w:rPr>
        <w:t>የተሐድሶ</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ቅሬታ</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የተመሠረተውን</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መናቅ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የአብርሃም</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የሚያመለክተው</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እንደነበረ፣</w:t>
      </w:r>
      <w:r>
        <w:rPr>
          <w:rFonts w:ascii="Times New Roman" w:hAnsi="Times New Roman" w:eastAsia="Times New Roman" w:cs="Times New Roman"/>
        </w:rPr>
        <w:t xml:space="preserve"> </w:t>
      </w:r>
      <w:r>
        <w:rPr>
          <w:rFonts w:ascii="Ebrima" w:hAnsi="Ebrima" w:eastAsia="Ebrima" w:cs="Ebrima"/>
        </w:rPr>
        <w:t>ልጁን</w:t>
      </w:r>
      <w:r>
        <w:rPr>
          <w:rFonts w:ascii="Times New Roman" w:hAnsi="Times New Roman" w:eastAsia="Times New Roman" w:cs="Times New Roman"/>
        </w:rPr>
        <w:t xml:space="preserve"> </w:t>
      </w:r>
      <w:r>
        <w:rPr>
          <w:rFonts w:ascii="Ebrima" w:hAnsi="Ebrima" w:eastAsia="Ebrima" w:cs="Ebrima"/>
        </w:rPr>
        <w:t>መገረዝ</w:t>
      </w:r>
      <w:r>
        <w:rPr>
          <w:rFonts w:ascii="Times New Roman" w:hAnsi="Times New Roman" w:eastAsia="Times New Roman" w:cs="Times New Roman"/>
        </w:rPr>
        <w:t xml:space="preserve"> </w:t>
      </w:r>
      <w:r>
        <w:rPr>
          <w:rFonts w:ascii="Ebrima" w:hAnsi="Ebrima" w:eastAsia="Ebrima" w:cs="Ebrima"/>
        </w:rPr>
        <w:t>ረሳ።</w:t>
      </w:r>
      <w:r>
        <w:rPr>
          <w:rFonts w:ascii="Times New Roman" w:hAnsi="Times New Roman" w:eastAsia="Times New Roman" w:cs="Times New Roman"/>
        </w:rPr>
        <w:t xml:space="preserve"> </w:t>
      </w:r>
      <w:r>
        <w:rPr>
          <w:rFonts w:ascii="Ebrima" w:hAnsi="Ebrima" w:eastAsia="Ebrima" w:cs="Ebrima"/>
        </w:rPr>
        <w:t>ኡዛ</w:t>
      </w:r>
      <w:r>
        <w:rPr>
          <w:rFonts w:ascii="Times New Roman" w:hAnsi="Times New Roman" w:eastAsia="Times New Roman" w:cs="Times New Roman"/>
        </w:rPr>
        <w:t xml:space="preserve"> </w:t>
      </w:r>
      <w:r>
        <w:rPr>
          <w:rFonts w:ascii="Ebrima" w:hAnsi="Ebrima" w:eastAsia="Ebrima" w:cs="Ebrima"/>
        </w:rPr>
        <w:t>ታቦቱን</w:t>
      </w:r>
      <w:r>
        <w:rPr>
          <w:rFonts w:ascii="Times New Roman" w:hAnsi="Times New Roman" w:eastAsia="Times New Roman" w:cs="Times New Roman"/>
        </w:rPr>
        <w:t xml:space="preserve"> </w:t>
      </w:r>
      <w:r>
        <w:rPr>
          <w:rFonts w:ascii="Ebrima" w:hAnsi="Ebrima" w:eastAsia="Ebrima" w:cs="Ebrima"/>
        </w:rPr>
        <w:t>ሊነካ</w:t>
      </w:r>
      <w:r>
        <w:rPr>
          <w:rFonts w:ascii="Times New Roman" w:hAnsi="Times New Roman" w:eastAsia="Times New Roman" w:cs="Times New Roman"/>
        </w:rPr>
        <w:t xml:space="preserve"> </w:t>
      </w:r>
      <w:r>
        <w:rPr>
          <w:rFonts w:ascii="Ebrima" w:hAnsi="Ebrima" w:eastAsia="Ebrima" w:cs="Ebrima"/>
        </w:rPr>
        <w:t>የሚችለው</w:t>
      </w:r>
      <w:r>
        <w:rPr>
          <w:rFonts w:ascii="Times New Roman" w:hAnsi="Times New Roman" w:eastAsia="Times New Roman" w:cs="Times New Roman"/>
        </w:rPr>
        <w:t xml:space="preserve"> </w:t>
      </w:r>
      <w:r>
        <w:rPr>
          <w:rFonts w:ascii="Ebrima" w:hAnsi="Ebrima" w:eastAsia="Ebrima" w:cs="Ebrima"/>
        </w:rPr>
        <w:t>ካህናት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ረሳ።</w:t>
      </w:r>
      <w:r>
        <w:rPr>
          <w:rFonts w:ascii="Times New Roman" w:hAnsi="Times New Roman" w:eastAsia="Times New Roman" w:cs="Times New Roman"/>
        </w:rPr>
        <w:t xml:space="preserve"> </w:t>
      </w:r>
      <w:r>
        <w:rPr>
          <w:rFonts w:ascii="Ebrima" w:hAnsi="Ebrima" w:eastAsia="Ebrima" w:cs="Ebrima"/>
        </w:rPr>
        <w:t>ማርያምና</w:t>
      </w:r>
      <w:r>
        <w:rPr>
          <w:rFonts w:ascii="Times New Roman" w:hAnsi="Times New Roman" w:eastAsia="Times New Roman" w:cs="Times New Roman"/>
        </w:rPr>
        <w:t xml:space="preserve"> </w:t>
      </w:r>
      <w:r>
        <w:rPr>
          <w:rFonts w:ascii="Ebrima" w:hAnsi="Ebrima" w:eastAsia="Ebrima" w:cs="Ebrima"/>
        </w:rPr>
        <w:t>ኤልሳቤጥ</w:t>
      </w:r>
      <w:r>
        <w:rPr>
          <w:rFonts w:ascii="Times New Roman" w:hAnsi="Times New Roman" w:eastAsia="Times New Roman" w:cs="Times New Roman"/>
        </w:rPr>
        <w:t xml:space="preserve"> </w:t>
      </w:r>
      <w:r>
        <w:rPr>
          <w:rFonts w:ascii="Ebrima" w:hAnsi="Ebrima" w:eastAsia="Ebrima" w:cs="Ebrima"/>
        </w:rPr>
        <w:t>በአልዓዛር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የትንሣኤ</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እንዳላቸው</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ይሰጣሉ።</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1843 </w:t>
      </w:r>
      <w:r>
        <w:rPr>
          <w:rFonts w:ascii="Ebrima" w:hAnsi="Ebrima" w:eastAsia="Ebrima" w:cs="Ebrima"/>
        </w:rPr>
        <w:t>ሰሌዳ</w:t>
      </w:r>
      <w:r>
        <w:rPr>
          <w:rFonts w:ascii="Times New Roman" w:hAnsi="Times New Roman" w:eastAsia="Times New Roman" w:cs="Times New Roman"/>
        </w:rPr>
        <w:t xml:space="preserve"> </w:t>
      </w:r>
      <w:r>
        <w:rPr>
          <w:rFonts w:ascii="Ebrima" w:hAnsi="Ebrima" w:eastAsia="Ebrima" w:cs="Ebrima"/>
        </w:rPr>
        <w:t>በተዘጋጀ</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መሪዎቹ</w:t>
      </w:r>
      <w:r>
        <w:rPr>
          <w:rFonts w:ascii="Times New Roman" w:hAnsi="Times New Roman" w:eastAsia="Times New Roman" w:cs="Times New Roman"/>
        </w:rPr>
        <w:t xml:space="preserve"> (</w:t>
      </w:r>
      <w:r>
        <w:rPr>
          <w:rFonts w:ascii="Ebrima" w:hAnsi="Ebrima" w:eastAsia="Ebrima" w:cs="Ebrima"/>
        </w:rPr>
        <w:t>የእኩዮች</w:t>
      </w:r>
      <w:r>
        <w:rPr>
          <w:rFonts w:ascii="Times New Roman" w:hAnsi="Times New Roman" w:eastAsia="Times New Roman" w:cs="Times New Roman"/>
        </w:rPr>
        <w:t xml:space="preserve"> </w:t>
      </w:r>
      <w:r>
        <w:rPr>
          <w:rFonts w:ascii="Ebrima" w:hAnsi="Ebrima" w:eastAsia="Ebrima" w:cs="Ebrima"/>
        </w:rPr>
        <w:t>ግፊት</w:t>
      </w:r>
      <w:r>
        <w:rPr>
          <w:rFonts w:ascii="Times New Roman" w:hAnsi="Times New Roman" w:eastAsia="Times New Roman" w:cs="Times New Roman"/>
        </w:rPr>
        <w:t xml:space="preserve">) </w:t>
      </w:r>
      <w:r>
        <w:rPr>
          <w:rFonts w:ascii="Ebrima" w:hAnsi="Ebrima" w:eastAsia="Ebrima" w:cs="Ebrima"/>
        </w:rPr>
        <w:t>አባት</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1843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ይናገረው</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እንዲተው</w:t>
      </w:r>
      <w:r>
        <w:rPr>
          <w:rFonts w:ascii="Times New Roman" w:hAnsi="Times New Roman" w:eastAsia="Times New Roman" w:cs="Times New Roman"/>
        </w:rPr>
        <w:t xml:space="preserve"> </w:t>
      </w:r>
      <w:r>
        <w:rPr>
          <w:rFonts w:ascii="Ebrima" w:hAnsi="Ebrima" w:eastAsia="Ebrima" w:cs="Ebrima"/>
        </w:rPr>
        <w:t>ጫና</w:t>
      </w:r>
      <w:r>
        <w:rPr>
          <w:rFonts w:ascii="Times New Roman" w:hAnsi="Times New Roman" w:eastAsia="Times New Roman" w:cs="Times New Roman"/>
        </w:rPr>
        <w:t xml:space="preserve"> </w:t>
      </w:r>
      <w:r>
        <w:rPr>
          <w:rFonts w:ascii="Ebrima" w:hAnsi="Ebrima" w:eastAsia="Ebrima" w:cs="Ebrima"/>
        </w:rPr>
        <w:t>አደረጉበት።</w:t>
      </w:r>
      <w:r>
        <w:rPr>
          <w:rFonts w:ascii="Times New Roman" w:hAnsi="Times New Roman" w:eastAsia="Times New Roman" w:cs="Times New Roman"/>
        </w:rPr>
        <w:t xml:space="preserve"> </w:t>
      </w:r>
      <w:r>
        <w:rPr>
          <w:rFonts w:ascii="Ebrima" w:hAnsi="Ebrima" w:eastAsia="Ebrima" w:cs="Ebrima"/>
        </w:rPr>
        <w:t>ለሁለት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መቶው</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1843</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ለመተንበይ</w:t>
      </w:r>
      <w:r>
        <w:rPr>
          <w:rFonts w:ascii="Times New Roman" w:hAnsi="Times New Roman" w:eastAsia="Times New Roman" w:cs="Times New Roman"/>
        </w:rPr>
        <w:t xml:space="preserve"> </w:t>
      </w:r>
      <w:r>
        <w:rPr>
          <w:rFonts w:ascii="Ebrima" w:hAnsi="Ebrima" w:eastAsia="Ebrima" w:cs="Ebrima"/>
        </w:rPr>
        <w:t>ትንሽ</w:t>
      </w:r>
      <w:r>
        <w:rPr>
          <w:rFonts w:ascii="Times New Roman" w:hAnsi="Times New Roman" w:eastAsia="Times New Roman" w:cs="Times New Roman"/>
        </w:rPr>
        <w:t xml:space="preserve"> </w:t>
      </w:r>
      <w:r>
        <w:rPr>
          <w:rFonts w:ascii="Ebrima" w:hAnsi="Ebrima" w:eastAsia="Ebrima" w:cs="Ebrima"/>
        </w:rPr>
        <w:t>የመተርጎም</w:t>
      </w:r>
      <w:r>
        <w:rPr>
          <w:rFonts w:ascii="Times New Roman" w:hAnsi="Times New Roman" w:eastAsia="Times New Roman" w:cs="Times New Roman"/>
        </w:rPr>
        <w:t xml:space="preserve"> </w:t>
      </w:r>
      <w:r>
        <w:rPr>
          <w:rFonts w:ascii="Ebrima" w:hAnsi="Ebrima" w:eastAsia="Ebrima" w:cs="Ebrima"/>
        </w:rPr>
        <w:t>ክፍተት</w:t>
      </w:r>
      <w:r>
        <w:rPr>
          <w:rFonts w:ascii="Times New Roman" w:hAnsi="Times New Roman" w:eastAsia="Times New Roman" w:cs="Times New Roman"/>
        </w:rPr>
        <w:t xml:space="preserve"> </w:t>
      </w:r>
      <w:r>
        <w:rPr>
          <w:rFonts w:ascii="Ebrima" w:hAnsi="Ebrima" w:eastAsia="Ebrima" w:cs="Ebrima"/>
        </w:rPr>
        <w:t>የሚፈቅድለትን</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ምስክርነቱን</w:t>
      </w:r>
      <w:r>
        <w:rPr>
          <w:rFonts w:ascii="Times New Roman" w:hAnsi="Times New Roman" w:eastAsia="Times New Roman" w:cs="Times New Roman"/>
        </w:rPr>
        <w:t xml:space="preserve"> </w:t>
      </w:r>
      <w:r>
        <w:rPr>
          <w:rFonts w:ascii="Ebrima" w:hAnsi="Ebrima" w:eastAsia="Ebrima" w:cs="Ebrima"/>
        </w:rPr>
        <w:t>እንዲቀይር</w:t>
      </w:r>
      <w:r>
        <w:rPr>
          <w:rFonts w:ascii="Times New Roman" w:hAnsi="Times New Roman" w:eastAsia="Times New Roman" w:cs="Times New Roman"/>
        </w:rPr>
        <w:t xml:space="preserve"> </w:t>
      </w:r>
      <w:r>
        <w:rPr>
          <w:rFonts w:ascii="Ebrima" w:hAnsi="Ebrima" w:eastAsia="Ebrima" w:cs="Ebrima"/>
        </w:rPr>
        <w:t>ግፊት</w:t>
      </w:r>
      <w:r>
        <w:rPr>
          <w:rFonts w:ascii="Times New Roman" w:hAnsi="Times New Roman" w:eastAsia="Times New Roman" w:cs="Times New Roman"/>
        </w:rPr>
        <w:t xml:space="preserve"> </w:t>
      </w:r>
      <w:r>
        <w:rPr>
          <w:rFonts w:ascii="Ebrima" w:hAnsi="Ebrima" w:eastAsia="Ebrima" w:cs="Ebrima"/>
        </w:rPr>
        <w:t>አደረጉበት።</w:t>
      </w:r>
      <w:r>
        <w:rPr>
          <w:rFonts w:ascii="Times New Roman" w:hAnsi="Times New Roman" w:eastAsia="Times New Roman" w:cs="Times New Roman"/>
        </w:rPr>
        <w:t xml:space="preserve"> </w:t>
      </w:r>
      <w:r>
        <w:rPr>
          <w:rFonts w:ascii="Ebrima" w:hAnsi="Ebrima" w:eastAsia="Ebrima" w:cs="Ebrima"/>
        </w:rPr>
        <w:t>የሚለር</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እንደሚያመለክተው፣</w:t>
      </w:r>
      <w:r>
        <w:rPr>
          <w:rFonts w:ascii="Times New Roman" w:hAnsi="Times New Roman" w:eastAsia="Times New Roman" w:cs="Times New Roman"/>
        </w:rPr>
        <w:t xml:space="preserve"> </w:t>
      </w:r>
      <w:r>
        <w:rPr>
          <w:rFonts w:ascii="Ebrima" w:hAnsi="Ebrima" w:eastAsia="Ebrima" w:cs="Ebrima"/>
        </w:rPr>
        <w:t>በእንቅስቃሴው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ካሉት</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መሪዎች</w:t>
      </w:r>
      <w:r>
        <w:rPr>
          <w:rFonts w:ascii="Times New Roman" w:hAnsi="Times New Roman" w:eastAsia="Times New Roman" w:cs="Times New Roman"/>
        </w:rPr>
        <w:t xml:space="preserve"> </w:t>
      </w:r>
      <w:r>
        <w:rPr>
          <w:rFonts w:ascii="Ebrima" w:hAnsi="Ebrima" w:eastAsia="Ebrima" w:cs="Ebrima"/>
        </w:rPr>
        <w:t>የመጣው</w:t>
      </w:r>
      <w:r>
        <w:rPr>
          <w:rFonts w:ascii="Times New Roman" w:hAnsi="Times New Roman" w:eastAsia="Times New Roman" w:cs="Times New Roman"/>
        </w:rPr>
        <w:t xml:space="preserve"> </w:t>
      </w:r>
      <w:r>
        <w:rPr>
          <w:rFonts w:ascii="Ebrima" w:hAnsi="Ebrima" w:eastAsia="Ebrima" w:cs="Ebrima"/>
        </w:rPr>
        <w:t>የእኩዮች</w:t>
      </w:r>
      <w:r>
        <w:rPr>
          <w:rFonts w:ascii="Times New Roman" w:hAnsi="Times New Roman" w:eastAsia="Times New Roman" w:cs="Times New Roman"/>
        </w:rPr>
        <w:t xml:space="preserve"> </w:t>
      </w:r>
      <w:r>
        <w:rPr>
          <w:rFonts w:ascii="Ebrima" w:hAnsi="Ebrima" w:eastAsia="Ebrima" w:cs="Ebrima"/>
        </w:rPr>
        <w:t>ግፊት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ትንቢቱ</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የቀኑን</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በድብደባ</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ያቀረበውን</w:t>
      </w:r>
      <w:r>
        <w:rPr>
          <w:rFonts w:ascii="Times New Roman" w:hAnsi="Times New Roman" w:eastAsia="Times New Roman" w:cs="Times New Roman"/>
        </w:rPr>
        <w:t xml:space="preserve"> </w:t>
      </w:r>
      <w:r>
        <w:rPr>
          <w:rFonts w:ascii="Ebrima" w:hAnsi="Ebrima" w:eastAsia="Ebrima" w:cs="Ebrima"/>
        </w:rPr>
        <w:t>ድብደባ</w:t>
      </w:r>
      <w:r>
        <w:rPr>
          <w:rFonts w:ascii="Times New Roman" w:hAnsi="Times New Roman" w:eastAsia="Times New Roman" w:cs="Times New Roman"/>
        </w:rPr>
        <w:t xml:space="preserve"> </w:t>
      </w:r>
      <w:r>
        <w:rPr>
          <w:rFonts w:ascii="Ebrima" w:hAnsi="Ebrima" w:eastAsia="Ebrima" w:cs="Ebrima"/>
        </w:rPr>
        <w:t>ያለበትን</w:t>
      </w:r>
      <w:r>
        <w:rPr>
          <w:rFonts w:ascii="Times New Roman" w:hAnsi="Times New Roman" w:eastAsia="Times New Roman" w:cs="Times New Roman"/>
        </w:rPr>
        <w:t xml:space="preserve"> </w:t>
      </w:r>
      <w:r>
        <w:rPr>
          <w:rFonts w:ascii="Ebrima" w:hAnsi="Ebrima" w:eastAsia="Ebrima" w:cs="Ebrima"/>
        </w:rPr>
        <w:t>አቀራረብ</w:t>
      </w:r>
      <w:r>
        <w:rPr>
          <w:rFonts w:ascii="Times New Roman" w:hAnsi="Times New Roman" w:eastAsia="Times New Roman" w:cs="Times New Roman"/>
        </w:rPr>
        <w:t xml:space="preserve"> </w:t>
      </w:r>
      <w:r>
        <w:rPr>
          <w:rFonts w:ascii="Ebrima" w:hAnsi="Ebrima" w:eastAsia="Ebrima" w:cs="Ebrima"/>
        </w:rPr>
        <w:t>እንዲተው</w:t>
      </w:r>
      <w:r>
        <w:rPr>
          <w:rFonts w:ascii="Times New Roman" w:hAnsi="Times New Roman" w:eastAsia="Times New Roman" w:cs="Times New Roman"/>
        </w:rPr>
        <w:t xml:space="preserve"> </w:t>
      </w:r>
      <w:r>
        <w:rPr>
          <w:rFonts w:ascii="Ebrima" w:hAnsi="Ebrima" w:eastAsia="Ebrima" w:cs="Ebrima"/>
        </w:rPr>
        <w:t>አድርጎታል፣</w:t>
      </w:r>
      <w:r>
        <w:rPr>
          <w:rFonts w:ascii="Times New Roman" w:hAnsi="Times New Roman" w:eastAsia="Times New Roman" w:cs="Times New Roman"/>
        </w:rPr>
        <w:t xml:space="preserve"> </w:t>
      </w:r>
      <w:r>
        <w:rPr>
          <w:rFonts w:ascii="Ebrima" w:hAnsi="Ebrima" w:eastAsia="Ebrima" w:cs="Ebrima"/>
        </w:rPr>
        <w:t>በቀጥታም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እንደሚፈጸም</w:t>
      </w:r>
      <w:r>
        <w:rPr>
          <w:rFonts w:ascii="Times New Roman" w:hAnsi="Times New Roman" w:eastAsia="Times New Roman" w:cs="Times New Roman"/>
        </w:rPr>
        <w:t xml:space="preserve"> </w:t>
      </w:r>
      <w:r>
        <w:rPr>
          <w:rFonts w:ascii="Ebrima" w:hAnsi="Ebrima" w:eastAsia="Ebrima" w:cs="Ebrima"/>
        </w:rPr>
        <w:t>እንዲናገር</w:t>
      </w:r>
      <w:r>
        <w:rPr>
          <w:rFonts w:ascii="Times New Roman" w:hAnsi="Times New Roman" w:eastAsia="Times New Roman" w:cs="Times New Roman"/>
        </w:rPr>
        <w:t xml:space="preserve"> </w:t>
      </w:r>
      <w:r>
        <w:rPr>
          <w:rFonts w:ascii="Ebrima" w:hAnsi="Ebrima" w:eastAsia="Ebrima" w:cs="Ebrima"/>
        </w:rPr>
        <w:t>አደረገው።</w:t>
      </w:r>
    </w:p>
    <w:p>
      <w:pPr>
        <w:pStyle w:val="ArticleBody"/>
        <w:jc w:val="left"/>
      </w:pPr>
      <w:r>
        <w:rPr>
          <w:rFonts w:ascii="Times New Roman" w:hAnsi="Times New Roman" w:eastAsia="Times New Roman" w:cs="Times New Roman"/>
        </w:rPr>
        <w:t>Avec Future for America, nous savions qu’il ne devait jamais plus y avoir un autre message « suspendu au temps ». Future for America avait enseigné ce fait à maintes reprises tout au long de l’histoire du mouvement. La première déception est toujours fondée sur le mépris d’une vérité d’épreuve établie. Ce fut un mépris coupable d’une vérité, mais plus significativement encore, ce fut un mépris coupable de la règle primaire de William Miller, laquelle avait été spécifiquement identifiée comme prenant fin en 1844.</w:t>
      </w:r>
    </w:p>
    <w:p>
      <w:pPr>
        <w:pStyle w:val="ArticleScripture"/>
        <w:jc w:val="left"/>
      </w:pPr>
      <w:r>
        <w:rPr>
          <w:rFonts w:ascii="Times New Roman" w:hAnsi="Times New Roman" w:eastAsia="Times New Roman" w:cs="Times New Roman"/>
        </w:rPr>
        <w:t>اور اُس فرشتہ نے، جسے میں نے سمندر اور زمین پر کھڑا دیکھا تھا، اپنا ہاتھ آسمان کی طرف اٹھایا، اور اُس کی قسم کھائی جو ابدالآباد زندہ ہے، جس نے آسمان اور اُس کی سب چیزوں کو، اور زمین اور اُس کی سب چیزوں کو، اور سمندر اور اُس کی سب چیزوں کو پیدا کیا، کہ پھر مدت نہ رہے گی۔ مکاشفہ 10:5، 6۔</w:t>
      </w:r>
    </w:p>
    <w:p>
      <w:pPr>
        <w:pStyle w:val="ArticleBody"/>
        <w:jc w:val="left"/>
      </w:pPr>
      <w:r>
        <w:rPr>
          <w:rFonts w:ascii="Times New Roman" w:hAnsi="Times New Roman" w:eastAsia="Times New Roman" w:cs="Times New Roman"/>
        </w:rPr>
        <w:t>De engel die op het land en op de zee stond, was volgens zuster White “niemand minder dan Jezus Christus.” Future for America heeft een rechtstreeks bevel van Jezus Christus naast zich neergelegd! Persoonlijk heb ik slechts met een handvol personen contact gehad met wie ik vóór 18 juli 2020 verbonden was. Slechts met twee van die weinige personen—en één van die twee slaapt nu in Jezus—heb ik gestudeerd en getoetst wat uit Gods Woord voortkwam aangaande de ervaring van 18 juli 2020. Maar op grond van de Milleritische geschiedenis, waarvan wij het einde zijn en zij het begin, ben ik er zeker van dat er nog steeds mensen zijn die destijds in de beweging waren en nog altijd toepassingen van de profetie voortbrengen die “aan tijd opgehangen” zijn. Er is niets nieuws onder de zon.</w:t>
      </w:r>
    </w:p>
    <w:p>
      <w:pPr>
        <w:pStyle w:val="ArticleBody"/>
        <w:jc w:val="left"/>
      </w:pPr>
      <w:r>
        <w:rPr>
          <w:rFonts w:ascii="Times New Roman" w:hAnsi="Times New Roman" w:eastAsia="Times New Roman" w:cs="Times New Roman"/>
        </w:rPr>
        <w:t>Le temps est bien trop court pour continuer dans ce genre d’excitation prophétique; mais que chacun soit pleinement convaincu dans son propre esprit. Et que chacun de ceux qui prennent position du côté qui joue encore avec le temps sache que Future for America rejette toutes ces applications, car elles ne sont rien de moins que des illusions sataniques.</w:t>
      </w:r>
    </w:p>
    <w:p>
      <w:pPr>
        <w:pStyle w:val="ArticleBody"/>
        <w:jc w:val="left"/>
      </w:pPr>
      <w:r>
        <w:rPr>
          <w:rFonts w:ascii="Times New Roman" w:hAnsi="Times New Roman" w:eastAsia="Times New Roman" w:cs="Times New Roman"/>
        </w:rPr>
        <w:t>Den inre, dolda profetiska linjen inom de fyra vägmärken som utgör de sju åskorna är det som nu avsigillas av Lejonet av Juda stam. Denna artikel har endast varit en genomgång av det vi har framhållit om det hebreiska ordet ”’ĕmeṯ”, som översätts med sanning. Den berörde inte allt det vi tidigare har delat, men syftet med genomgången är att visa att Johannes kapitel sexton, vers åtta, fullständigt överensstämmer med den profetiska modell vi framlägger för den dolda, inre profetiska linjen inom de sju åskorna.</w:t>
      </w:r>
    </w:p>
    <w:p>
      <w:pPr>
        <w:pStyle w:val="ArticleBody"/>
        <w:jc w:val="left"/>
      </w:pPr>
      <w:r>
        <w:rPr>
          <w:rFonts w:ascii="Times New Roman" w:hAnsi="Times New Roman" w:eastAsia="Times New Roman" w:cs="Times New Roman"/>
        </w:rPr>
        <w:t>Kungali kuse nesibukezo lesincane lesitsite lesisadzingekile ngaphambi kwekutsi sifinyelele esiphetfweni lesitawusitsatsa esihlokweni lesilandzelako.</w:t>
      </w:r>
    </w:p>
    <w:p>
      <w:pPr>
        <w:pStyle w:val="ArticleScripture"/>
        <w:jc w:val="left"/>
      </w:pPr>
      <w:r>
        <w:rPr>
          <w:rFonts w:ascii="Times New Roman" w:hAnsi="Times New Roman" w:eastAsia="Times New Roman" w:cs="Times New Roman"/>
        </w:rPr>
        <w:t>Ne scelle point les paroles de la prophétie de ce livre, car le temps est proche : que celui qui est injuste soit encore injuste ; que celui qui est souillé se souille encore ; et que celui qui est juste pratique encore la justice ; et que celui qui est saint se sanctifie encore. Et voici, je viens bientôt ; et ma récompense est avec moi, pour rendre à chacun selon ce que sera son œuvre. Je suis l’Alpha et l’Oméga, le commencement et la fin, le premier et le dernier. Apocalypse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Qu’est-ce que la vérité ? - Numéro deux</dc:title>
  <dc:subject>Siigela Kvulo Yentambululo y’Encola Eci.</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