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Nne</w:t>
      </w:r>
    </w:p>
    <w:p>
      <w:pPr>
        <w:pStyle w:val="ArticleSubtitle"/>
        <w:jc w:val="left"/>
      </w:pPr>
      <w:r>
        <w:rPr>
          <w:rFonts w:ascii="Arial" w:hAnsi="Arial" w:eastAsia="Arial" w:cs="Arial"/>
        </w:rPr>
        <w:t>Kufunua Kanuni ya Unabii: Kuelewa Hukumu ya Uchunguzi na ya Utekelezaji katika Siku za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Twatungika mu bikorwa itegeko ry’ubuhanuzi ryamenyekanishijwe n’Intare yo mu muryango wa Yuda mu murimo Wayo wo gukuraho ibimenyetso ku mirongo itandatu ya nyuma ya Daniyeli cumi na umwe, mu “gihe cy’imperuka,” mu 1989, igihe Leta Zunze Ubumwe z’Abasoviyeti zakurwagaho n’ubumwe bw’ibanga hagati ya Ronald Reagan na papa w’i Roma. Twerekanye ko imikoreshereze itatu ya Roma no kugwa kwa Babuloni biranga umugore n’inyamaswa agenda yicayeho kandi ategeka, byo mu Ibyahishuwe cumi na birindwi.</w:t>
      </w:r>
    </w:p>
    <w:p>
      <w:pPr>
        <w:pStyle w:val="ArticleBody"/>
        <w:jc w:val="left"/>
      </w:pPr>
      <w:r>
        <w:rPr>
          <w:rFonts w:ascii="Times New Roman" w:hAnsi="Times New Roman" w:eastAsia="Times New Roman" w:cs="Times New Roman"/>
        </w:rPr>
        <w:t>17</w:t>
      </w:r>
      <w:r>
        <w:rPr>
          <w:rFonts w:ascii="Malgun Gothic" w:hAnsi="Malgun Gothic" w:eastAsia="Malgun Gothic" w:cs="Malgun Gothic"/>
        </w:rPr>
        <w:t>과</w:t>
      </w:r>
      <w:r>
        <w:rPr>
          <w:rFonts w:ascii="Times New Roman" w:hAnsi="Times New Roman" w:eastAsia="Times New Roman" w:cs="Times New Roman"/>
        </w:rPr>
        <w:t xml:space="preserve"> 18</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여자와</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묘사는</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현대</w:t>
      </w:r>
      <w:r>
        <w:rPr>
          <w:rFonts w:ascii="Times New Roman" w:hAnsi="Times New Roman" w:eastAsia="Times New Roman" w:cs="Times New Roman"/>
        </w:rPr>
        <w:t xml:space="preserve"> </w:t>
      </w:r>
      <w:r>
        <w:rPr>
          <w:rFonts w:ascii="Malgun Gothic" w:hAnsi="Malgun Gothic" w:eastAsia="Malgun Gothic" w:cs="Malgun Gothic"/>
        </w:rPr>
        <w:t>바벨론</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내리시는</w:t>
      </w:r>
      <w:r>
        <w:rPr>
          <w:rFonts w:ascii="Times New Roman" w:hAnsi="Times New Roman" w:eastAsia="Times New Roman" w:cs="Times New Roman"/>
        </w:rPr>
        <w:t xml:space="preserve"> </w:t>
      </w:r>
      <w:r>
        <w:rPr>
          <w:rFonts w:ascii="Malgun Gothic" w:hAnsi="Malgun Gothic" w:eastAsia="Malgun Gothic" w:cs="Malgun Gothic"/>
        </w:rPr>
        <w:t>점진적인</w:t>
      </w:r>
      <w:r>
        <w:rPr>
          <w:rFonts w:ascii="Times New Roman" w:hAnsi="Times New Roman" w:eastAsia="Times New Roman" w:cs="Times New Roman"/>
        </w:rPr>
        <w:t xml:space="preserve"> </w:t>
      </w:r>
      <w:r>
        <w:rPr>
          <w:rFonts w:ascii="Malgun Gothic" w:hAnsi="Malgun Gothic" w:eastAsia="Malgun Gothic" w:cs="Malgun Gothic"/>
        </w:rPr>
        <w:t>심판을</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주며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다가올</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법령에서</w:t>
      </w:r>
      <w:r>
        <w:rPr>
          <w:rFonts w:ascii="Times New Roman" w:hAnsi="Times New Roman" w:eastAsia="Times New Roman" w:cs="Times New Roman"/>
        </w:rPr>
        <w:t xml:space="preserve"> </w:t>
      </w:r>
      <w:r>
        <w:rPr>
          <w:rFonts w:ascii="Malgun Gothic" w:hAnsi="Malgun Gothic" w:eastAsia="Malgun Gothic" w:cs="Malgun Gothic"/>
        </w:rPr>
        <w:t>시작되어</w:t>
      </w:r>
      <w:r>
        <w:rPr>
          <w:rFonts w:ascii="Times New Roman" w:hAnsi="Times New Roman" w:eastAsia="Times New Roman" w:cs="Times New Roman"/>
        </w:rPr>
        <w:t xml:space="preserve"> </w:t>
      </w:r>
      <w:r>
        <w:rPr>
          <w:rFonts w:ascii="Malgun Gothic" w:hAnsi="Malgun Gothic" w:eastAsia="Malgun Gothic" w:cs="Malgun Gothic"/>
        </w:rPr>
        <w:t>미가엘이</w:t>
      </w:r>
      <w:r>
        <w:rPr>
          <w:rFonts w:ascii="Times New Roman" w:hAnsi="Times New Roman" w:eastAsia="Times New Roman" w:cs="Times New Roman"/>
        </w:rPr>
        <w:t xml:space="preserve"> </w:t>
      </w:r>
      <w:r>
        <w:rPr>
          <w:rFonts w:ascii="Malgun Gothic" w:hAnsi="Malgun Gothic" w:eastAsia="Malgun Gothic" w:cs="Malgun Gothic"/>
        </w:rPr>
        <w:t>일어나시고</w:t>
      </w:r>
      <w:r>
        <w:rPr>
          <w:rFonts w:ascii="Times New Roman" w:hAnsi="Times New Roman" w:eastAsia="Times New Roman" w:cs="Times New Roman"/>
        </w:rPr>
        <w:t xml:space="preserve"> </w:t>
      </w:r>
      <w:r>
        <w:rPr>
          <w:rFonts w:ascii="Malgun Gothic" w:hAnsi="Malgun Gothic" w:eastAsia="Malgun Gothic" w:cs="Malgun Gothic"/>
        </w:rPr>
        <w:t>인간의</w:t>
      </w:r>
      <w:r>
        <w:rPr>
          <w:rFonts w:ascii="Times New Roman" w:hAnsi="Times New Roman" w:eastAsia="Times New Roman" w:cs="Times New Roman"/>
        </w:rPr>
        <w:t xml:space="preserve"> </w:t>
      </w:r>
      <w:r>
        <w:rPr>
          <w:rFonts w:ascii="Malgun Gothic" w:hAnsi="Malgun Gothic" w:eastAsia="Malgun Gothic" w:cs="Malgun Gothic"/>
        </w:rPr>
        <w:t>은혜의</w:t>
      </w:r>
      <w:r>
        <w:rPr>
          <w:rFonts w:ascii="Times New Roman" w:hAnsi="Times New Roman" w:eastAsia="Times New Roman" w:cs="Times New Roman"/>
        </w:rPr>
        <w:t xml:space="preserve"> </w:t>
      </w:r>
      <w:r>
        <w:rPr>
          <w:rFonts w:ascii="Malgun Gothic" w:hAnsi="Malgun Gothic" w:eastAsia="Malgun Gothic" w:cs="Malgun Gothic"/>
        </w:rPr>
        <w:t>시기가</w:t>
      </w:r>
      <w:r>
        <w:rPr>
          <w:rFonts w:ascii="Times New Roman" w:hAnsi="Times New Roman" w:eastAsia="Times New Roman" w:cs="Times New Roman"/>
        </w:rPr>
        <w:t xml:space="preserve"> </w:t>
      </w:r>
      <w:r>
        <w:rPr>
          <w:rFonts w:ascii="Malgun Gothic" w:hAnsi="Malgun Gothic" w:eastAsia="Malgun Gothic" w:cs="Malgun Gothic"/>
        </w:rPr>
        <w:t>마치는</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계속된다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집행</w:t>
      </w:r>
      <w:r>
        <w:rPr>
          <w:rFonts w:ascii="Times New Roman" w:hAnsi="Times New Roman" w:eastAsia="Times New Roman" w:cs="Times New Roman"/>
        </w:rPr>
        <w:t xml:space="preserve"> </w:t>
      </w:r>
      <w:r>
        <w:rPr>
          <w:rFonts w:ascii="Malgun Gothic" w:hAnsi="Malgun Gothic" w:eastAsia="Malgun Gothic" w:cs="Malgun Gothic"/>
        </w:rPr>
        <w:t>심판의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부분을</w:t>
      </w:r>
      <w:r>
        <w:rPr>
          <w:rFonts w:ascii="Times New Roman" w:hAnsi="Times New Roman" w:eastAsia="Times New Roman" w:cs="Times New Roman"/>
        </w:rPr>
        <w:t xml:space="preserve"> </w:t>
      </w:r>
      <w:r>
        <w:rPr>
          <w:rFonts w:ascii="Malgun Gothic" w:hAnsi="Malgun Gothic" w:eastAsia="Malgun Gothic" w:cs="Malgun Gothic"/>
        </w:rPr>
        <w:t>이루며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자비가</w:t>
      </w:r>
      <w:r>
        <w:rPr>
          <w:rFonts w:ascii="Times New Roman" w:hAnsi="Times New Roman" w:eastAsia="Times New Roman" w:cs="Times New Roman"/>
        </w:rPr>
        <w:t xml:space="preserve"> </w:t>
      </w:r>
      <w:r>
        <w:rPr>
          <w:rFonts w:ascii="Malgun Gothic" w:hAnsi="Malgun Gothic" w:eastAsia="Malgun Gothic" w:cs="Malgun Gothic"/>
        </w:rPr>
        <w:t>섞여</w:t>
      </w:r>
      <w:r>
        <w:rPr>
          <w:rFonts w:ascii="Times New Roman" w:hAnsi="Times New Roman" w:eastAsia="Times New Roman" w:cs="Times New Roman"/>
        </w:rPr>
        <w:t xml:space="preserve"> </w:t>
      </w:r>
      <w:r>
        <w:rPr>
          <w:rFonts w:ascii="Malgun Gothic" w:hAnsi="Malgun Gothic" w:eastAsia="Malgun Gothic" w:cs="Malgun Gothic"/>
        </w:rPr>
        <w:t>이루어진다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재앙으로는</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심판들에</w:t>
      </w:r>
      <w:r>
        <w:rPr>
          <w:rFonts w:ascii="Times New Roman" w:hAnsi="Times New Roman" w:eastAsia="Times New Roman" w:cs="Times New Roman"/>
        </w:rPr>
        <w:t xml:space="preserve"> </w:t>
      </w:r>
      <w:r>
        <w:rPr>
          <w:rFonts w:ascii="Malgun Gothic" w:hAnsi="Malgun Gothic" w:eastAsia="Malgun Gothic" w:cs="Malgun Gothic"/>
        </w:rPr>
        <w:t>아무</w:t>
      </w:r>
      <w:r>
        <w:rPr>
          <w:rFonts w:ascii="Times New Roman" w:hAnsi="Times New Roman" w:eastAsia="Times New Roman" w:cs="Times New Roman"/>
        </w:rPr>
        <w:t xml:space="preserve"> </w:t>
      </w:r>
      <w:r>
        <w:rPr>
          <w:rFonts w:ascii="Malgun Gothic" w:hAnsi="Malgun Gothic" w:eastAsia="Malgun Gothic" w:cs="Malgun Gothic"/>
        </w:rPr>
        <w:t>자비도</w:t>
      </w:r>
      <w:r>
        <w:rPr>
          <w:rFonts w:ascii="Times New Roman" w:hAnsi="Times New Roman" w:eastAsia="Times New Roman" w:cs="Times New Roman"/>
        </w:rPr>
        <w:t xml:space="preserve"> </w:t>
      </w:r>
      <w:r>
        <w:rPr>
          <w:rFonts w:ascii="Malgun Gothic" w:hAnsi="Malgun Gothic" w:eastAsia="Malgun Gothic" w:cs="Malgun Gothic"/>
        </w:rPr>
        <w:t>섞이지</w:t>
      </w:r>
      <w:r>
        <w:rPr>
          <w:rFonts w:ascii="Times New Roman" w:hAnsi="Times New Roman" w:eastAsia="Times New Roman" w:cs="Times New Roman"/>
        </w:rPr>
        <w:t xml:space="preserve"> </w:t>
      </w:r>
      <w:r>
        <w:rPr>
          <w:rFonts w:ascii="Malgun Gothic" w:hAnsi="Malgun Gothic" w:eastAsia="Malgun Gothic" w:cs="Malgun Gothic"/>
        </w:rPr>
        <w:t>않는다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단계는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시작된</w:t>
      </w:r>
      <w:r>
        <w:rPr>
          <w:rFonts w:ascii="Times New Roman" w:hAnsi="Times New Roman" w:eastAsia="Times New Roman" w:cs="Times New Roman"/>
        </w:rPr>
        <w:t xml:space="preserve"> </w:t>
      </w:r>
      <w:r>
        <w:rPr>
          <w:rFonts w:ascii="Malgun Gothic" w:hAnsi="Malgun Gothic" w:eastAsia="Malgun Gothic" w:cs="Malgun Gothic"/>
        </w:rPr>
        <w:t>조사</w:t>
      </w:r>
      <w:r>
        <w:rPr>
          <w:rFonts w:ascii="Times New Roman" w:hAnsi="Times New Roman" w:eastAsia="Times New Roman" w:cs="Times New Roman"/>
        </w:rPr>
        <w:t xml:space="preserve"> </w:t>
      </w:r>
      <w:r>
        <w:rPr>
          <w:rFonts w:ascii="Malgun Gothic" w:hAnsi="Malgun Gothic" w:eastAsia="Malgun Gothic" w:cs="Malgun Gothic"/>
        </w:rPr>
        <w:t>심판에서도</w:t>
      </w:r>
      <w:r>
        <w:rPr>
          <w:rFonts w:ascii="Times New Roman" w:hAnsi="Times New Roman" w:eastAsia="Times New Roman" w:cs="Times New Roman"/>
        </w:rPr>
        <w:t xml:space="preserve"> </w:t>
      </w:r>
      <w:r>
        <w:rPr>
          <w:rFonts w:ascii="Malgun Gothic" w:hAnsi="Malgun Gothic" w:eastAsia="Malgun Gothic" w:cs="Malgun Gothic"/>
        </w:rPr>
        <w:t>추론되어</w:t>
      </w:r>
      <w:r>
        <w:rPr>
          <w:rFonts w:ascii="Times New Roman" w:hAnsi="Times New Roman" w:eastAsia="Times New Roman" w:cs="Times New Roman"/>
        </w:rPr>
        <w:t xml:space="preserve"> </w:t>
      </w:r>
      <w:r>
        <w:rPr>
          <w:rFonts w:ascii="Malgun Gothic" w:hAnsi="Malgun Gothic" w:eastAsia="Malgun Gothic" w:cs="Malgun Gothic"/>
        </w:rPr>
        <w:t>왔다</w:t>
      </w:r>
      <w:r>
        <w:rPr>
          <w:rFonts w:ascii="Times New Roman" w:hAnsi="Times New Roman" w:eastAsia="Times New Roman" w:cs="Times New Roman"/>
        </w:rPr>
        <w:t xml:space="preserve">. </w:t>
      </w:r>
      <w:r>
        <w:rPr>
          <w:rFonts w:ascii="Malgun Gothic" w:hAnsi="Malgun Gothic" w:eastAsia="Malgun Gothic" w:cs="Malgun Gothic"/>
        </w:rPr>
        <w:t>조사</w:t>
      </w:r>
      <w:r>
        <w:rPr>
          <w:rFonts w:ascii="Times New Roman" w:hAnsi="Times New Roman" w:eastAsia="Times New Roman" w:cs="Times New Roman"/>
        </w:rPr>
        <w:t xml:space="preserve"> </w:t>
      </w:r>
      <w:r>
        <w:rPr>
          <w:rFonts w:ascii="Malgun Gothic" w:hAnsi="Malgun Gothic" w:eastAsia="Malgun Gothic" w:cs="Malgun Gothic"/>
        </w:rPr>
        <w:t>심판은</w:t>
      </w:r>
      <w:r>
        <w:rPr>
          <w:rFonts w:ascii="Times New Roman" w:hAnsi="Times New Roman" w:eastAsia="Times New Roman" w:cs="Times New Roman"/>
        </w:rPr>
        <w:t xml:space="preserve"> </w:t>
      </w:r>
      <w:r>
        <w:rPr>
          <w:rFonts w:ascii="Malgun Gothic" w:hAnsi="Malgun Gothic" w:eastAsia="Malgun Gothic" w:cs="Malgun Gothic"/>
        </w:rPr>
        <w:t>죽은</w:t>
      </w:r>
      <w:r>
        <w:rPr>
          <w:rFonts w:ascii="Times New Roman" w:hAnsi="Times New Roman" w:eastAsia="Times New Roman" w:cs="Times New Roman"/>
        </w:rPr>
        <w:t xml:space="preserve"> </w:t>
      </w:r>
      <w:r>
        <w:rPr>
          <w:rFonts w:ascii="Malgun Gothic" w:hAnsi="Malgun Gothic" w:eastAsia="Malgun Gothic" w:cs="Malgun Gothic"/>
        </w:rPr>
        <w:t>자들에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조사와</w:t>
      </w:r>
      <w:r>
        <w:rPr>
          <w:rFonts w:ascii="Times New Roman" w:hAnsi="Times New Roman" w:eastAsia="Times New Roman" w:cs="Times New Roman"/>
        </w:rPr>
        <w:t xml:space="preserve"> </w:t>
      </w:r>
      <w:r>
        <w:rPr>
          <w:rFonts w:ascii="Malgun Gothic" w:hAnsi="Malgun Gothic" w:eastAsia="Malgun Gothic" w:cs="Malgun Gothic"/>
        </w:rPr>
        <w:t>심판으로</w:t>
      </w:r>
      <w:r>
        <w:rPr>
          <w:rFonts w:ascii="Times New Roman" w:hAnsi="Times New Roman" w:eastAsia="Times New Roman" w:cs="Times New Roman"/>
        </w:rPr>
        <w:t xml:space="preserve"> </w:t>
      </w:r>
      <w:r>
        <w:rPr>
          <w:rFonts w:ascii="Malgun Gothic" w:hAnsi="Malgun Gothic" w:eastAsia="Malgun Gothic" w:cs="Malgun Gothic"/>
        </w:rPr>
        <w:t>시작되었고</w:t>
      </w:r>
      <w:r>
        <w:rPr>
          <w:rFonts w:ascii="Times New Roman" w:hAnsi="Times New Roman" w:eastAsia="Times New Roman" w:cs="Times New Roman"/>
        </w:rPr>
        <w:t>,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일에는</w:t>
      </w:r>
      <w:r>
        <w:rPr>
          <w:rFonts w:ascii="Times New Roman" w:hAnsi="Times New Roman" w:eastAsia="Times New Roman" w:cs="Times New Roman"/>
        </w:rPr>
        <w:t xml:space="preserve"> </w:t>
      </w:r>
      <w:r>
        <w:rPr>
          <w:rFonts w:ascii="Malgun Gothic" w:hAnsi="Malgun Gothic" w:eastAsia="Malgun Gothic" w:cs="Malgun Gothic"/>
        </w:rPr>
        <w:t>산</w:t>
      </w:r>
      <w:r>
        <w:rPr>
          <w:rFonts w:ascii="Times New Roman" w:hAnsi="Times New Roman" w:eastAsia="Times New Roman" w:cs="Times New Roman"/>
        </w:rPr>
        <w:t xml:space="preserve"> </w:t>
      </w:r>
      <w:r>
        <w:rPr>
          <w:rFonts w:ascii="Malgun Gothic" w:hAnsi="Malgun Gothic" w:eastAsia="Malgun Gothic" w:cs="Malgun Gothic"/>
        </w:rPr>
        <w:t>자들에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조사</w:t>
      </w:r>
      <w:r>
        <w:rPr>
          <w:rFonts w:ascii="Times New Roman" w:hAnsi="Times New Roman" w:eastAsia="Times New Roman" w:cs="Times New Roman"/>
        </w:rPr>
        <w:t xml:space="preserve"> </w:t>
      </w:r>
      <w:r>
        <w:rPr>
          <w:rFonts w:ascii="Malgun Gothic" w:hAnsi="Malgun Gothic" w:eastAsia="Malgun Gothic" w:cs="Malgun Gothic"/>
        </w:rPr>
        <w:t>심판이</w:t>
      </w:r>
      <w:r>
        <w:rPr>
          <w:rFonts w:ascii="Times New Roman" w:hAnsi="Times New Roman" w:eastAsia="Times New Roman" w:cs="Times New Roman"/>
        </w:rPr>
        <w:t xml:space="preserve"> </w:t>
      </w:r>
      <w:r>
        <w:rPr>
          <w:rFonts w:ascii="Malgun Gothic" w:hAnsi="Malgun Gothic" w:eastAsia="Malgun Gothic" w:cs="Malgun Gothic"/>
        </w:rPr>
        <w:t>시작되었다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Abakristo abalamu nabo bacibwa mu biseera bibiri; eky’olubereberye kyatandika nga 11 Ssebutemba 2001, n’okunoonyereza n’omusango gw’abo abali abeesimbyewo okuba mu kikumi mu amakumi ana mu bana mu lukumi, kubanga omusango gutandikira ku nnyumba ya Katonda. Omusango gw’okunoonyereza ogw’abafu gwakolebwa ku abo bokka amannya gaabwe ge gaali gawandiikiddwa, mu kiseera ekimu mu bulamu bwabwe, mu kitabo eky’obulamu. Amannya g’abafu agaali gawandiikiddwa era nga gawandiisiddwa oluvannyuma gaagerageranyizibwa n’ekitabo ky’ebibi. Singa baalina ebibi ebitaatiddwa, amannya gaabwe gaagyibwanga mu kitabo eky’obulamu. Omusango gw’okunoonyereza ogw’abalamu gwanjulwa ng’ogutandikira ku nnyumba ya Katonda, ate mu musango gw’okunoonyereza ogw’abafu tekyetaagisa kwalambika okwo.</w:t>
      </w:r>
    </w:p>
    <w:p>
      <w:pPr>
        <w:pStyle w:val="ArticleBody"/>
        <w:jc w:val="left"/>
      </w:pPr>
      <w:r>
        <w:rPr>
          <w:rFonts w:ascii="Times New Roman" w:hAnsi="Times New Roman" w:eastAsia="Times New Roman" w:cs="Times New Roman"/>
        </w:rPr>
        <w:t>Mu bucaamanza bw’okunoonyereza obw’abalamu, Ekigambo kya Katonda kyakekasa n’obwegendereza nti okusalawo okwo, mu kiseera eky’okuteekebwako akabonero ak’abantu obukumi kikumi mu enkumi amakumi ana mu enkumi nnya, kwatandikira e Yerusaalemi, kwe Kkanisa ya Katonda. Baibuli ewa obujulizi obulala obw’obutereevu ku nsonga eno.</w:t>
      </w:r>
    </w:p>
    <w:p>
      <w:pPr>
        <w:pStyle w:val="ArticleScripture"/>
        <w:jc w:val="left"/>
      </w:pPr>
      <w:r>
        <w:rPr>
          <w:rFonts w:ascii="Times New Roman" w:hAnsi="Times New Roman" w:eastAsia="Times New Roman" w:cs="Times New Roman"/>
        </w:rPr>
        <w:t>E-vunzrịa nɨna nɔkpa e mʋtʋ a tʋrɛkʋlʋ ɨsɨ yɔlɔ mɛnyɛ pa tɛ́ wɛ nyɛrɛ́ nʋnɔrɔ ɨkɔrɔrɔ nɨrɛ́ yɨ́ɨna; nà ɨmʋ tɛ́ wɛ ɨbɛ́ mʋtʋ pa yɛrɛ́tɔ, tì ɨkʋ́rʋ́kʋ́rʋ ɔsɨ́rɛ́ tʋrɛkʋlʋ ɨkɔrɔrɔ a mʋnyà tɔɔrɔ lɛ́lɛ́ nʋnɔrɔ nɨrɛ́ tì nʋtɛmʋnɔ mʋnyà nɨrɛ́ mʋnɔ́rɔ mʋnyà Mʋkɔrɔ? 1 Petero 4:17.</w:t>
      </w:r>
    </w:p>
    <w:p>
      <w:pPr>
        <w:pStyle w:val="ArticleBody"/>
        <w:jc w:val="left"/>
      </w:pPr>
      <w:r>
        <w:rPr>
          <w:rFonts w:ascii="Times New Roman" w:hAnsi="Times New Roman" w:eastAsia="Times New Roman" w:cs="Times New Roman"/>
        </w:rPr>
        <w:t>Kevatjïtèm den tokan takesh nük Jerusalem, pëmax aqtën ngin Ngguaq, ka den nük zamak axti ngin kevatjïtèm den tokan takesh hi. Kevatjïtèm den tokan takesh hi nük Jerusalem den tka qërat-en maxti nawriter axti inkhorn hi ngin Jerusalem ka pëzan ngin mëk den pëjan têxan ka amai den men ka women nüt sigh ka cry tep den abominations den ziaq axti nük church ka tka land.</w:t>
      </w:r>
    </w:p>
    <w:p>
      <w:pPr>
        <w:pStyle w:val="ArticleBody"/>
        <w:jc w:val="left"/>
      </w:pPr>
      <w:r>
        <w:rPr>
          <w:rFonts w:ascii="Times New Roman" w:hAnsi="Times New Roman" w:eastAsia="Times New Roman" w:cs="Times New Roman"/>
        </w:rPr>
        <w:t>Bakikang bamenie kisiril'a mwandu wa Nzambi balongolola mu Kusoluka kapu ya saba, mu kuswanisa na bamakumi nkama yina na makumi iya na bina, mpe kuna Yoane uabena kubavingisa bonso nkangu ya nene. Nkangu ya nene yina ikele kifwani kia kalasi ya mioyo ya moyo yina isambisamanga na ntangu ya lufundusu lua bantu ba moyo, yina basi me tumamena mvimba ko na nsiku ya Nzambi, sambu babedi ku sambila na kilumbu kia mwini kia papa. Na nsiku ya Lumingu yina ikwisa sele na États-Unis, bobo yina bakangamisiama kidimbu na mwanjelo yina kele na mboki ya nkanda ya kusonika mu Ezekiele kapu ya uvwa, yina diaka ikele kukangama kidimbu ya Kusoluka kapu ya saba, bakunaikama bonso kidimbu. Buna, bobo yina ntangu yai kebedi tumamena nsangu ya mbote ve, batambwisama na mfuka na diambu dia Sabata ya kilumbu ya nsambwadi.</w:t>
      </w:r>
    </w:p>
    <w:p>
      <w:pPr>
        <w:pStyle w:val="ArticleScripture"/>
        <w:jc w:val="left"/>
      </w:pPr>
      <w:r>
        <w:rPr>
          <w:rFonts w:ascii="Times New Roman" w:hAnsi="Times New Roman" w:eastAsia="Times New Roman" w:cs="Times New Roman"/>
        </w:rPr>
        <w:t>“Нө эртэ урда үеын христианчнууд ням гарагые сахидаг байгаа, тиигэжэ байхадаа Библиин амаралтын үдые сахижа байнабди гэжэ һанадаг һэн; мүнөөшье бүхы сүмэнүүдэй дунда, Римэй католик нүхэсэлыешье оруулан, Бурханай тогтоолтоор ням гараг болбол амаралтын үдэр мүн гэжэ үнэн сэхээр этигэдэг жэнхэни христианчнууд бии. Бурхан тэдэнэй зорилгын үнэн сэхые болон Өөрынгөө урда тэдэнэй үнэн шударгы байдалые хүлээн абадаг. Харин ням гараг сахилга хуулёор албадан тогтоогдохо үедэ, мүн жэнхэни амаралтын үдэрэй уялга тухай дэлхэй дахин гэгээрүүлэгдэхэдэ, тэрэнэй һүүлдэ Бурханай зарлигые зөрин, Римэй эрхэ мэдэлһээ дээшэ ямаршье захиргаагүй тогтоолдо дуулдадаг хэншье һаа, тиигэжэ Бурханаһаа дээгүүр папствые хүндэлхэ болно. Тэрэ Римдэ болон Римээр тогтоогдожо, Римээр албадан сахюулагдадаг байгуулалтада хүндэлэл үзүүлжэ байна. Тэрэ араатаниие болон тэрэнэй дүрсые мүргэнэ. Хүнүүд Бурханай Өөрын эрхэ мэдэлэй тэмдэг гэжэ тунхаглаһан байгуулалтые иигэжэ нясаажа, тэрэнэй орондо Римэй өөрын ноёрхолойнгоо тэмдэг болгон шэлэһые хүндэлхэдөө, тиигэжэ тэдэ Римдэ үнэншэлгын тэмдэгые—‘араатанай тамга’—хүлээн абаха юм. Мүн энэ асуудал иимэ тодорхойгоор арад зоной урда табигдажа, тэдэ Бурханай зарлигууд ба хүнэй зарлигууд хоорондо шэлэхэ байдалда хүргэгдэхэ хүрэтэр, зөрилдэ үргэлжэлүүлэн байдагшуул ‘араатанай тамга’ абаха ёһогүй.” «Агуу ехэ тэмсэл», 449.</w:t>
      </w:r>
    </w:p>
    <w:p>
      <w:pPr>
        <w:pStyle w:val="ArticleBody"/>
        <w:jc w:val="left"/>
      </w:pPr>
      <w:r>
        <w:rPr>
          <w:rFonts w:ascii="Times New Roman" w:hAnsi="Times New Roman" w:eastAsia="Times New Roman" w:cs="Times New Roman"/>
        </w:rPr>
        <w:t>Avaakufa vaabo vaikalelwako eikalo ni avo va ifana ovo vaa va si yambwilila Evaengeli vaingile mouyono.</w:t>
      </w:r>
    </w:p>
    <w:p>
      <w:pPr>
        <w:pStyle w:val="ArticleScripture"/>
        <w:jc w:val="left"/>
      </w:pPr>
      <w:r>
        <w:rPr>
          <w:rFonts w:ascii="Times New Roman" w:hAnsi="Times New Roman" w:eastAsia="Times New Roman" w:cs="Times New Roman"/>
        </w:rPr>
        <w:t>Na siku hiyo kutakuwa na shina la Yese, litakalosimama kuwa bendera kwa mataifa; kwake Mataifa watakuja kutafuta; na mahali pake pa kustarehe patakuwa na utukufu. Tena itakuwa katika siku hiyo, ya kwamba Bwana atanyosha mkono wake mara ya pili ili kuwarejesha mabaki ya watu wake watakaobaki, kutoka Ashuru, na kutoka Misri, na kutoka Pathrosi, na kutoka Kushi, na kutoka Elamu, na kutoka Shinari, na kutoka Hamathi, na kutoka visiwani baharini. Naye ataiinua bendera kwa ajili ya mataifa, naye atawakusanya waliofukuzwa wa Israeli, na kuwakutanisha pamoja waliotawanyika wa Yuda kutoka pande nne za dunia. Isaya 11:10–12.</w:t>
      </w:r>
    </w:p>
    <w:p>
      <w:pPr>
        <w:pStyle w:val="ArticleBody"/>
        <w:jc w:val="left"/>
      </w:pPr>
      <w:r>
        <w:rPr>
          <w:rFonts w:ascii="Times New Roman" w:hAnsi="Times New Roman" w:eastAsia="Times New Roman" w:cs="Times New Roman"/>
        </w:rPr>
        <w:t>Bëndi bā ikʉsi bāndʉ baato bhakʉtiila ɨnjili, bhakwililwa bhakili bhakʉma mu bumi; looli ɨkwililo lyabho lɨkwɨlondeka kʉlandata ɨkwililo lya kʉngʉnʉna lya bāla bā bali bumi, ɨlifu mia moja na arobaini na nne, pakuva bhangʉhɔtwa kupoonywa ila kuwona abhalume na bhasakasi bheene ɨmboho ya Nguluve mu kipʉindi kya taabu kya mwīsi wa Sande ulio papi kwisa.</w:t>
      </w:r>
    </w:p>
    <w:p>
      <w:pPr>
        <w:pStyle w:val="ArticleScripture"/>
        <w:jc w:val="left"/>
      </w:pPr>
      <w:r>
        <w:rPr>
          <w:rFonts w:ascii="Times New Roman" w:hAnsi="Times New Roman" w:eastAsia="Times New Roman" w:cs="Times New Roman"/>
        </w:rPr>
        <w:t>Umurimo wa Mwuka Wera ni uwo kwemeza isi iby’icyaha, n’iby’uko gukiranuka, n’iby’urubanza. Isi ishobora gusa kuburirwa no kubona abizera ukuri bejejwe n’ukuri, bagakora bakurikije amahame yo hejuru kandi yera, bagaragaza mu buryo bwo hejuru, busumbye, umurongo utandukanya abitondera amategeko y’Imana n’abayatamaza bakayakandagira munsi y’ibirenge byabo. Kwezwa na Mwuka kugaragaza itandukaniro riri hagati y’abafite ikimenyetso cy’Imana n’abitondera umunsi w’ikiruhuko w’impimbano. Igihe ikigeragezo kizaza, bizagaragazwa mu buryo bugaragara icyo ikimenyetso cya ya nyamaswa ari cyo. Ni ukwizihiza ku Cyumweru. Abantu bumvise ukuri hanyuma bagakomeza gufata uyu munsi nk’uwera, bitwaza umukono w’umuntu w’icyaha, we watekereje guhindura ibihe n’amategeko.” Bible Training School, 1 Ukuboza 1903.</w:t>
      </w:r>
    </w:p>
    <w:p>
      <w:pPr>
        <w:pStyle w:val="ArticleBody"/>
        <w:jc w:val="left"/>
      </w:pPr>
      <w:r>
        <w:rPr>
          <w:rFonts w:ascii="Times New Roman" w:hAnsi="Times New Roman" w:eastAsia="Times New Roman" w:cs="Times New Roman"/>
        </w:rPr>
        <w:t>Ubucamanza nyubahirizategeko, ari ho umurimo wa Eliya wa gatatu usohozwa, butangirira ku itegeko ryo ku Cyumweru rigiye kuza vuba. Bugizwe n’ibihe bibiri by’igihe; mu gihe cya mbere, imanza z’Imana zivanze n’imbabazi ku batubaha ubu ubutumwa bwiza, hanyuma hagakurikiraho ibyago birindwi bya nyuma bisukwa bitarimo imbabazi.</w:t>
      </w:r>
    </w:p>
    <w:p>
      <w:pPr>
        <w:pStyle w:val="ArticleScripture"/>
        <w:jc w:val="left"/>
      </w:pPr>
      <w:r>
        <w:rPr>
          <w:rFonts w:ascii="Times New Roman" w:hAnsi="Times New Roman" w:eastAsia="Times New Roman" w:cs="Times New Roman"/>
        </w:rPr>
        <w:t>“Wakati wa rehema hautaendelea kwa muda mrefu zaidi. Sasa Mungu anaiondoa dunia mkono wake wa kuzuia. Kwa muda mrefu amekuwa akinena na wanaume na wanawake kwa njia ya Roho wake Mtakatifu; lakini hawakuitii mwito huo. Sasa ananena na watu wake, na kwa ulimwengu, kwa njia ya hukumu zake. Wakati wa hukumu hizi ni wakati wa rehema kwa wale ambao bado hawajapata fursa ya kujifunza lililo kweli. Bwana atawaangalia kwa upole. Moyo wake wa rehema umeguswa; mkono wake ungali umenyoshwa kuokoa. Idadi kubwa wataingizwa katika zizi la usalama ambao katika siku hizi za mwisho wataisikia kweli kwa mara ya kwanza.” Review and Herald, Novemba 22, 1906.</w:t>
      </w:r>
    </w:p>
    <w:p>
      <w:pPr>
        <w:pStyle w:val="ArticleBody"/>
        <w:jc w:val="left"/>
      </w:pPr>
      <w:r>
        <w:rPr>
          <w:rFonts w:ascii="Times New Roman" w:hAnsi="Times New Roman" w:eastAsia="Times New Roman" w:cs="Times New Roman"/>
        </w:rPr>
        <w:t>Gospelaghị ahụ na-erubeghị isi bụ “atụrụ ndị ọzọ” ahụ, ndị Jisọs kwere nkwa ịkpọ, ha ga-anụkwa olu Ya mgbe Ọ kpọrọ ha.</w:t>
      </w:r>
    </w:p>
    <w:p>
      <w:pPr>
        <w:pStyle w:val="ArticleScripture"/>
        <w:jc w:val="left"/>
      </w:pPr>
      <w:r>
        <w:rPr>
          <w:rFonts w:ascii="Times New Roman" w:hAnsi="Times New Roman" w:eastAsia="Times New Roman" w:cs="Times New Roman"/>
        </w:rPr>
        <w:t>Ngishangushë mbahavë ni, ye nge i thulung ni nge yi ko; ani mbi ku ba twala ke, ani ba ka longwa i zwinzwi lyami; ani ku ka va ni thulung nthihi, ni mulisa nthihi. Yohane 10:16.</w:t>
      </w:r>
    </w:p>
    <w:p>
      <w:pPr>
        <w:pStyle w:val="ArticleBody"/>
        <w:jc w:val="left"/>
      </w:pPr>
      <w:r>
        <w:rPr>
          <w:rFonts w:ascii="Times New Roman" w:hAnsi="Times New Roman" w:eastAsia="Times New Roman" w:cs="Times New Roman"/>
        </w:rPr>
        <w:t>“izwi” abalivayo lili “zwi” lesibili leSambulo isahluko setjhumi nesibhozo, elikhalela phezulu ngesikhathi somthetho weSonto oseduze ukufika, lapho ukwahlulelwa kwesifebe esikhulu kuphindaphindwa kabili, ngokuba sigcwalise indebe yaso yesono yesikhathi saso somusa.</w:t>
      </w:r>
    </w:p>
    <w:p>
      <w:pPr>
        <w:pStyle w:val="ArticleScripture"/>
        <w:jc w:val="left"/>
      </w:pPr>
      <w:r>
        <w:rPr>
          <w:rFonts w:ascii="Times New Roman" w:hAnsi="Times New Roman" w:eastAsia="Times New Roman" w:cs="Times New Roman"/>
        </w:rPr>
        <w:t>“Omuporofeti agamba nti, ‘Nalaba malayika omulala ng’akka okuva mu ggulu, ng’alina obuyinza bungi; ensi n’eyaka olw’ekitiibwa kye. N’ayogerera waggulu n’eddoboozi ery’amaanyi, ng’agamba nti, Babulooni ekkulu kigudde, kigudde, era kifuuse ekifo ekibeeramu badayimooni’ (Okubikkulirwa 18:1, 2). Buno bwe bubaka bwe bumu obwaweebwa malayika owookubiri. Babulooni kigudde, ‘kubanga kyanywesa amawanga gonna ku mwenge gw’obusungu bw’obwenzi bwakyo’ (Okubikkulirwa 14:8). Omwenge ogwo kye ki?—Enjigiriza zaakyo ez’obulimba. Kiwadde ensi ssabbiiti ey’obulimba mu kifo kya Ssabbiiti ey’ekiragiro eky’okuna, era kiddiridde okubulangirira obulimba Setaani bwe yasooka okugamba Kaawa mu Adeni—obutafa obw’obuzaale obw’omwoyo. Ensobi endala nnyingi ez’ekika ekyo kizisaasaanyizza wala nnyo ne bugazi, ‘nga bayigiriza ebiragiro by’abantu ng’enjigiriza’ (Matayo 15:9).”</w:t>
      </w:r>
    </w:p>
    <w:p>
      <w:pPr>
        <w:pStyle w:val="ArticleScripture"/>
        <w:jc w:val="left"/>
      </w:pPr>
      <w:r>
        <w:rPr>
          <w:rFonts w:ascii="Times New Roman" w:hAnsi="Times New Roman" w:eastAsia="Times New Roman" w:cs="Times New Roman"/>
        </w:rPr>
        <w:t>“Yesu alipoanza huduma Yake ya wazi, aliisafisha Hekalu na unajisi wake wa ukufuru wa kinajisi. Miongoni mwa matendo ya mwisho ya huduma Yake palikuwa usafisho wa pili wa Hekalu. Vivyo hivyo, katika kazi ya mwisho ya kuuonya ulimwengu, miito miwili iliyo tofauti hutolewa kwa makanisa. Ujumbe wa malaika wa pili ni, ‘Babeli umeanguka, umeanguka, mji ule mkuu, kwa sababu ameyanywesha mataifa yote mvinyo wa ghadhabu ya uasherati wake’ (Ufunuo 14:8). Nayo katika kilio kikuu cha ujumbe wa malaika wa tatu sauti husikika kutoka mbinguni ikisema, ‘Tokeni kwake, enyi watu wangu, msije mkashiriki dhambi zake, wala msipokee mapigo yake. Kwa maana dhambi zake zimefika hata mbinguni, naye Mungu amekumbuka maovu yake’ (Ufunuo 18:4, 5).” Selected Messages, book 2, 118.</w:t>
      </w:r>
    </w:p>
    <w:p>
      <w:pPr>
        <w:pStyle w:val="ArticleBody"/>
        <w:jc w:val="left"/>
      </w:pPr>
      <w:r>
        <w:rPr>
          <w:rFonts w:ascii="Times New Roman" w:hAnsi="Times New Roman" w:eastAsia="Times New Roman" w:cs="Times New Roman"/>
        </w:rPr>
        <w:t>Ku mthetho weSonto osondelayo e-United States kuqalisa ukwahlulela okuqhubekayo kokuphatha phezu kweBhabhiloni lesiManje, futhi kuqala isikhathi sokugcina sokwahlulela kwabaphilayo njengoba lezo zahlulelo ezimbili zedlulanana. Isithunywa sesithathu esilungisa indlela yomsebenzi weSithunywa seSivumelwano simelela umsebenzi phakathi nesikhathi sokwahlulela kwabaphilayo esaqala ngo-September 11, 2001, futhi siphela lapho owokugcina walabo manje abangayilaleli ivangeli bezwa izwi lesibili lesAmbulo isahluko seshumi nesishiyagalombili, baphume eBhabhiloni. Lowo msebenzi uveza ukuhlanzwa nokukhucululwa kwethempeli labayikhulu namashumi amane nane ezinkulungwane ekuqaleni kwenkonzo yesithunywa esilungisa indlela, bese kuba khona ukukhucululwa nokuhlanzwa kwethempeli lesixuku esikhulu ekupheleni kwenkonzo yesithunywa esilungisa indlela yeSithunywa seSivumelwano.</w:t>
      </w:r>
    </w:p>
    <w:p>
      <w:pPr>
        <w:pStyle w:val="ArticleBody"/>
        <w:jc w:val="left"/>
      </w:pPr>
      <w:r>
        <w:rPr>
          <w:rFonts w:ascii="Times New Roman" w:hAnsi="Times New Roman" w:eastAsia="Times New Roman" w:cs="Times New Roman"/>
        </w:rPr>
        <w:t>Ku itegeko ryo ku cyumweru rigiye kuza rizaba rigeze, ukwigaragaza kw’imbaraga z’Imana kwabaye kuri Pentekote kuzongera kubaho.</w:t>
      </w:r>
    </w:p>
    <w:p>
      <w:pPr>
        <w:pStyle w:val="ArticleScripture"/>
        <w:jc w:val="left"/>
      </w:pPr>
      <w:r>
        <w:rPr>
          <w:rFonts w:ascii="Times New Roman" w:hAnsi="Times New Roman" w:eastAsia="Times New Roman" w:cs="Times New Roman"/>
        </w:rPr>
        <w:t>“Si mmoja wetu atakayepokea muhuri wa Mungu kamwe, maadamu tabia zetu zina doa au uchafu wowote juu yake. Tumeachiwa sisi kurekebisha kasoro zilizo katika tabia zetu, kuitakasa hekalu la nafsi kutokana na kila unajisi. Ndipo mvua ya masika ya mwisho itatuangukia, kama vile mvua ya kwanza ilivyowaangukia wanafunzi siku ya Pentekoste....”</w:t>
      </w:r>
    </w:p>
    <w:p>
      <w:pPr>
        <w:pStyle w:val="ArticleScripture"/>
        <w:jc w:val="left"/>
      </w:pPr>
      <w:r>
        <w:rPr>
          <w:rFonts w:ascii="Times New Roman" w:hAnsi="Times New Roman" w:eastAsia="Times New Roman" w:cs="Times New Roman"/>
        </w:rPr>
        <w:t>“Ni mwe bakora iki, bene Data, muri uyu murimo ukomeye wo kwitegura? Abifatanya n’ab’isi barimo kwakira ishusho y’isi kandi barimo kwitegurira ikimenyetso cy’inyamaswa. Ariko abatifitiye icyizere, bicisha bugufi imbere y’Imana kandi bagatunganya ubugingo bwabo binyuze mu kumvira ukuri, abo ni bo barimo kwakira ishusho yo mu ijuru kandi barimo kwitegurira ikimenyetso cy’Imana mu ruhanga rwabo. Itegeko nirijya ahagaragara kandi ikimenyetso kigashyirwaho, imico yabo izaguma itunganye kandi itagira inenge iteka ryose.” Testimonies, volume 5, 214, 216.</w:t>
      </w:r>
    </w:p>
    <w:p>
      <w:pPr>
        <w:pStyle w:val="ArticleBody"/>
        <w:jc w:val="left"/>
      </w:pPr>
      <w:r>
        <w:rPr>
          <w:rFonts w:ascii="Times New Roman" w:hAnsi="Times New Roman" w:eastAsia="Times New Roman" w:cs="Times New Roman"/>
        </w:rPr>
        <w:t>Awa ha niho hashobora kugusha umuntu ku kimeze nk’ukutumvikana mu Ijambo ry’ubuhanuzi, nubwo bidakenewe ko biba bityo. Kuri Pentekote mu gihe cy’abigishwa, ubutumwa bwahawe imbaraga ntibwajyanywe ku Banyamahanga, ari bo batumvira ubutumwa bwiza ku gihe cy’itegeko ryo ku Cyumweru rigiye kuza vuba. Ubutumwa bwahawe imbaraga kuri Pentekote bwajyanywe kuri Isirayeli ya kera, yo yari igifite indi myaka itatu n’igice y’igihe cyayo cya nyuma cy’igeragezwa.</w:t>
      </w:r>
    </w:p>
    <w:p>
      <w:pPr>
        <w:pStyle w:val="ArticleScripture"/>
        <w:jc w:val="left"/>
      </w:pPr>
      <w:r>
        <w:rPr>
          <w:rFonts w:ascii="Times New Roman" w:hAnsi="Times New Roman" w:eastAsia="Times New Roman" w:cs="Times New Roman"/>
        </w:rPr>
        <w:t>Amaviki mirongo irindwi yaciwe ku bw’ubwoko bwawe no ku bw’umurwa wawe wera, kugira ngo gusumba kuzuye guherweho, kandi ibyaha birangizwe, kandi hakorwe impongano ku bw’ubugome, kandi hazanwe gukiranuka kw’iteka ryose, kandi iyerekwa n’ubuhanuzi bishyirweho ikimenyetso, kandi Hasigwe Uwera Cyane. Daniyeli 9:24.</w:t>
      </w:r>
    </w:p>
    <w:p>
      <w:pPr>
        <w:pStyle w:val="ArticleBody"/>
        <w:jc w:val="left"/>
      </w:pPr>
      <w:r>
        <w:rPr>
          <w:rFonts w:ascii="Times New Roman" w:hAnsi="Times New Roman" w:eastAsia="Times New Roman" w:cs="Times New Roman"/>
        </w:rPr>
        <w:t>Ujumbe uliotiwa nguvu katika Pentekoste usingepelekwa kwa wale ambao hawakuitii injili mpaka Stefano alipopigwa kwa mawe katika mwaka wa 34. Dada White mara nyingi hutambulisha ukweli huu.</w:t>
      </w:r>
    </w:p>
    <w:p>
      <w:pPr>
        <w:pStyle w:val="ArticleScripture"/>
        <w:jc w:val="left"/>
      </w:pPr>
      <w:r>
        <w:rPr>
          <w:rFonts w:ascii="Times New Roman" w:hAnsi="Times New Roman" w:eastAsia="Times New Roman" w:cs="Times New Roman"/>
        </w:rPr>
        <w:t>“Paşê, ferişte got, ‘Wî wê peymanê bi gelek kesan re ji bo hefteyekê [heft sal] piştrast bike.’ Ji bo heft salan piştî ku Xilaskar dest bi xizmeta xwe kir, Mizgîn diviya bi taybetî ji Cihûyan re were mizgîn kirin; sê sal û nîv ji aliyê Mesîh bixwe ve; û paşê ji aliyê şandiyan ve. ‘Di nîvê hefteyê de ew ê qurbaniyê û pêşkêşê bide sekinandin.’ Daniel 9:27. Di bihara sala 31 P. Z. de, Mesîh, qurbaniya rastîn, li Calvary hate pêşkêş kirin. Hingê perdeya perestgehê ji navê xwe ve du parçe bû, ku nîşan dide pîrozbûna û maneya xizmeta qurbaniyê ji wê re derbas bûbû. Dem hatibû ku qurbaniya erdî û pêşkêş biqede.”</w:t>
      </w:r>
    </w:p>
    <w:p>
      <w:pPr>
        <w:pStyle w:val="ArticleScripture"/>
        <w:jc w:val="left"/>
      </w:pPr>
      <w:r>
        <w:rPr>
          <w:rFonts w:ascii="Times New Roman" w:hAnsi="Times New Roman" w:eastAsia="Times New Roman" w:cs="Times New Roman"/>
        </w:rPr>
        <w:t>“هەفتەیەکە—حەوت ساڵ—لە ساڵی 34ی زایینی کۆتایی هات. پاشان، بە بەردبارانی ستێفەن، جولەکەکان بە کۆتایی هێنان مۆری ڕەتکردنەوەی خۆیان بۆ ئینجیل دانا؛ قوتابییەکانی ئەوانەی بەهۆی چەوساندنەوەوە پەرش‌وبڵاو بووبوون، ‘لە هەر شوێنێک دەڕۆیشتن و وشەکەیان ڕادەگەیاند’ (ئاکردارانی نێردراوان 8:4)؛ و دوای ماوەیەکی کورت، شائولِ چەوسێنەر گۆڕدرا، و بووە پاوڵس، نێردراوی بۆ نەتەوەکان.” The Desire of Ages, 233.</w:t>
      </w:r>
    </w:p>
    <w:p>
      <w:pPr>
        <w:pStyle w:val="ArticleBody"/>
        <w:jc w:val="left"/>
      </w:pPr>
      <w:r>
        <w:rPr>
          <w:rFonts w:ascii="Times New Roman" w:hAnsi="Times New Roman" w:eastAsia="Times New Roman" w:cs="Times New Roman"/>
        </w:rPr>
        <w:t>Ujumbe uliotiwa nguvu katika Pentekoste, siku hamsini baada ya ufufuo wa Kristo, unapatana na sheria ya Jumapili ambapo injili huliita kundi lingine la Kristo litoke Babeli; hata hivyo, haikuwa mpaka baada ya miaka mitatu na nusu tangu msalaba ndipo Wayahudi “walipouthibitisha kukataa kwao injili,” na ndipo ujumbe ukaenda kwa Mataifa, ambao ndio wale ambao wakati huo hawakuitii injili. Mkanganyiko unaoonekana unakuzwa na dai la kwamba katika mwaka 34 BK Wayahudi waliuthibitisha kukataa kwao injili, kwa maana Dada White asema vinginevyo.</w:t>
      </w:r>
    </w:p>
    <w:p>
      <w:pPr>
        <w:pStyle w:val="ArticleScripture"/>
        <w:jc w:val="left"/>
      </w:pPr>
      <w:r>
        <w:rPr>
          <w:rFonts w:ascii="Times New Roman" w:hAnsi="Times New Roman" w:eastAsia="Times New Roman" w:cs="Times New Roman"/>
        </w:rPr>
        <w:t>“</w:t>
      </w:r>
      <w:r>
        <w:rPr>
          <w:rFonts w:ascii="Nirmala UI" w:hAnsi="Nirmala UI" w:eastAsia="Nirmala UI" w:cs="Nirmala UI"/>
        </w:rPr>
        <w:t>ꯈꯨꯗꯤꯡꯃꯛꯀꯤ</w:t>
      </w:r>
      <w:r>
        <w:rPr>
          <w:rFonts w:ascii="Times New Roman" w:hAnsi="Times New Roman" w:eastAsia="Times New Roman" w:cs="Times New Roman"/>
        </w:rPr>
        <w:t xml:space="preserve"> </w:t>
      </w:r>
      <w:r>
        <w:rPr>
          <w:rFonts w:ascii="Nirmala UI" w:hAnsi="Nirmala UI" w:eastAsia="Nirmala UI" w:cs="Nirmala UI"/>
        </w:rPr>
        <w:t>ꯔꯤꯆꯨꯋꯦꯜ</w:t>
      </w:r>
      <w:r>
        <w:rPr>
          <w:rFonts w:ascii="Times New Roman" w:hAnsi="Times New Roman" w:eastAsia="Times New Roman" w:cs="Times New Roman"/>
        </w:rPr>
        <w:t xml:space="preserve"> </w:t>
      </w:r>
      <w:r>
        <w:rPr>
          <w:rFonts w:ascii="Nirmala UI" w:hAnsi="Nirmala UI" w:eastAsia="Nirmala UI" w:cs="Nirmala UI"/>
        </w:rPr>
        <w:t>ꯏꯀꯣꯅꯣꯃꯤ</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ꯂꯥꯛꯆꯤꯟꯅꯕ</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ꯑꯣꯏꯔꯝꯕꯅ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ꯌꯍꯨꯗꯤꯁꯤꯡꯅ</w:t>
      </w:r>
      <w:r>
        <w:rPr>
          <w:rFonts w:ascii="Times New Roman" w:hAnsi="Times New Roman" w:eastAsia="Times New Roman" w:cs="Times New Roman"/>
        </w:rPr>
        <w:t xml:space="preserve"> </w:t>
      </w:r>
      <w:r>
        <w:rPr>
          <w:rFonts w:ascii="Nirmala UI" w:hAnsi="Nirmala UI" w:eastAsia="Nirmala UI" w:cs="Nirmala UI"/>
        </w:rPr>
        <w:t>ꯈ꯭ꯔꯥꯏꯁꯇꯕꯨ</w:t>
      </w:r>
      <w:r>
        <w:rPr>
          <w:rFonts w:ascii="Times New Roman" w:hAnsi="Times New Roman" w:eastAsia="Times New Roman" w:cs="Times New Roman"/>
        </w:rPr>
        <w:t xml:space="preserve"> </w:t>
      </w:r>
      <w:r>
        <w:rPr>
          <w:rFonts w:ascii="Nirmala UI" w:hAnsi="Nirmala UI" w:eastAsia="Nirmala UI" w:cs="Nirmala UI"/>
        </w:rPr>
        <w:t>ꯁꯤꯕꯒꯤꯗꯃꯛ</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ꯈꯨꯠꯊꯥꯡ</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ꯌꯥꯔꯣꯏꯕ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ꯇꯦꯝꯄꯜ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ꯊꯥꯕꯥꯏꯁꯤꯡꯗ</w:t>
      </w:r>
      <w:r>
        <w:rPr>
          <w:rFonts w:ascii="Times New Roman" w:hAnsi="Times New Roman" w:eastAsia="Times New Roman" w:cs="Times New Roman"/>
        </w:rPr>
        <w:t xml:space="preserve"> </w:t>
      </w:r>
      <w:r>
        <w:rPr>
          <w:rFonts w:ascii="Nirmala UI" w:hAnsi="Nirmala UI" w:eastAsia="Nirmala UI" w:cs="Nirmala UI"/>
        </w:rPr>
        <w:t>ꯃꯔꯨꯑꯣꯏꯅꯕ</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ꯄꯨꯝꯅꯃꯛꯄꯨꯗꯤ</w:t>
      </w:r>
      <w:r>
        <w:rPr>
          <w:rFonts w:ascii="Times New Roman" w:hAnsi="Times New Roman" w:eastAsia="Times New Roman" w:cs="Times New Roman"/>
        </w:rPr>
        <w:t xml:space="preserve"> </w:t>
      </w:r>
      <w:r>
        <w:rPr>
          <w:rFonts w:ascii="Nirmala UI" w:hAnsi="Nirmala UI" w:eastAsia="Nirmala UI" w:cs="Nirmala UI"/>
        </w:rPr>
        <w:t>ꯌꯥꯔꯣꯏꯔꯛꯄꯤ꯫</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ꯁꯦꯛꯔꯦꯗꯅꯦꯁ</w:t>
      </w:r>
      <w:r>
        <w:rPr>
          <w:rFonts w:ascii="Times New Roman" w:hAnsi="Times New Roman" w:eastAsia="Times New Roman" w:cs="Times New Roman"/>
        </w:rPr>
        <w:t xml:space="preserve"> </w:t>
      </w:r>
      <w:r>
        <w:rPr>
          <w:rFonts w:ascii="Nirmala UI" w:hAnsi="Nirmala UI" w:eastAsia="Nirmala UI" w:cs="Nirmala UI"/>
        </w:rPr>
        <w:t>ꯇꯣꯛꯈ꯭ꯔꯦ꯫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ꯃꯥꯡꯊꯍꯟꯕꯒꯤꯗꯃꯛ</w:t>
      </w:r>
      <w:r>
        <w:rPr>
          <w:rFonts w:ascii="Times New Roman" w:hAnsi="Times New Roman" w:eastAsia="Times New Roman" w:cs="Times New Roman"/>
        </w:rPr>
        <w:t xml:space="preserve"> </w:t>
      </w:r>
      <w:r>
        <w:rPr>
          <w:rFonts w:ascii="Nirmala UI" w:hAnsi="Nirmala UI" w:eastAsia="Nirmala UI" w:cs="Nirmala UI"/>
        </w:rPr>
        <w:t>ꯋꯥꯔꯦꯄ</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ꯑꯁꯤꯗꯒꯤ</w:t>
      </w:r>
      <w:r>
        <w:rPr>
          <w:rFonts w:ascii="Times New Roman" w:hAnsi="Times New Roman" w:eastAsia="Times New Roman" w:cs="Times New Roman"/>
        </w:rPr>
        <w:t xml:space="preserve"> </w:t>
      </w:r>
      <w:r>
        <w:rPr>
          <w:rFonts w:ascii="Nirmala UI" w:hAnsi="Nirmala UI" w:eastAsia="Nirmala UI" w:cs="Nirmala UI"/>
        </w:rPr>
        <w:t>ꯁꯦꯀ꯭ꯔꯤꯐꯥꯏꯁꯤꯡ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ꯂꯩꯅꯕ</w:t>
      </w:r>
      <w:r>
        <w:rPr>
          <w:rFonts w:ascii="Times New Roman" w:hAnsi="Times New Roman" w:eastAsia="Times New Roman" w:cs="Times New Roman"/>
        </w:rPr>
        <w:t xml:space="preserve"> </w:t>
      </w:r>
      <w:r>
        <w:rPr>
          <w:rFonts w:ascii="Nirmala UI" w:hAnsi="Nirmala UI" w:eastAsia="Nirmala UI" w:cs="Nirmala UI"/>
        </w:rPr>
        <w:t>ꯁꯔꯚꯤꯁ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ꯑꯣꯏꯈ꯭ꯔꯦ꯫</w:t>
      </w:r>
      <w:r>
        <w:rPr>
          <w:rFonts w:ascii="Times New Roman" w:hAnsi="Times New Roman" w:eastAsia="Times New Roman" w:cs="Times New Roman"/>
        </w:rPr>
        <w:t xml:space="preserve"> </w:t>
      </w:r>
      <w:r>
        <w:rPr>
          <w:rFonts w:ascii="Nirmala UI" w:hAnsi="Nirmala UI" w:eastAsia="Nirmala UI" w:cs="Nirmala UI"/>
        </w:rPr>
        <w:t>ꯀꯦꯟꯒꯤ</w:t>
      </w:r>
      <w:r>
        <w:rPr>
          <w:rFonts w:ascii="Times New Roman" w:hAnsi="Times New Roman" w:eastAsia="Times New Roman" w:cs="Times New Roman"/>
        </w:rPr>
        <w:t xml:space="preserve"> </w:t>
      </w:r>
      <w:r>
        <w:rPr>
          <w:rFonts w:ascii="Nirmala UI" w:hAnsi="Nirmala UI" w:eastAsia="Nirmala UI" w:cs="Nirmala UI"/>
        </w:rPr>
        <w:t>ꯑꯣꯐꯔꯤꯡ</w:t>
      </w:r>
      <w:r>
        <w:rPr>
          <w:rFonts w:ascii="Times New Roman" w:hAnsi="Times New Roman" w:eastAsia="Times New Roman" w:cs="Times New Roman"/>
        </w:rPr>
        <w:t xml:space="preserve"> </w:t>
      </w:r>
      <w:r>
        <w:rPr>
          <w:rFonts w:ascii="Nirmala UI" w:hAnsi="Nirmala UI" w:eastAsia="Nirmala UI" w:cs="Nirmala UI"/>
        </w:rPr>
        <w:t>ꯑꯃꯒꯨꯝꯕ</w:t>
      </w:r>
      <w:r>
        <w:rPr>
          <w:rFonts w:ascii="Times New Roman" w:hAnsi="Times New Roman" w:eastAsia="Times New Roman" w:cs="Times New Roman"/>
        </w:rPr>
        <w:t xml:space="preserve">, </w:t>
      </w:r>
      <w:r>
        <w:rPr>
          <w:rFonts w:ascii="Nirmala UI" w:hAnsi="Nirmala UI" w:eastAsia="Nirmala UI" w:cs="Nirmala UI"/>
        </w:rPr>
        <w:t>ꯃꯁꯤꯁꯨ</w:t>
      </w:r>
      <w:r>
        <w:rPr>
          <w:rFonts w:ascii="Times New Roman" w:hAnsi="Times New Roman" w:eastAsia="Times New Roman" w:cs="Times New Roman"/>
        </w:rPr>
        <w:t xml:space="preserve"> </w:t>
      </w:r>
      <w:r>
        <w:rPr>
          <w:rFonts w:ascii="Nirmala UI" w:hAnsi="Nirmala UI" w:eastAsia="Nirmala UI" w:cs="Nirmala UI"/>
        </w:rPr>
        <w:t>ꯁꯦꯚꯤꯌꯔꯗ</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ꯐꯣꯡꯗꯣꯛꯄ</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ꯈ꯭ꯔꯥꯏꯁꯇꯕꯨ</w:t>
      </w:r>
      <w:r>
        <w:rPr>
          <w:rFonts w:ascii="Times New Roman" w:hAnsi="Times New Roman" w:eastAsia="Times New Roman" w:cs="Times New Roman"/>
        </w:rPr>
        <w:t xml:space="preserve"> </w:t>
      </w:r>
      <w:r>
        <w:rPr>
          <w:rFonts w:ascii="Nirmala UI" w:hAnsi="Nirmala UI" w:eastAsia="Nirmala UI" w:cs="Nirmala UI"/>
        </w:rPr>
        <w:t>ꯁꯤꯕꯗ</w:t>
      </w:r>
      <w:r>
        <w:rPr>
          <w:rFonts w:ascii="Times New Roman" w:hAnsi="Times New Roman" w:eastAsia="Times New Roman" w:cs="Times New Roman"/>
        </w:rPr>
        <w:t xml:space="preserve"> </w:t>
      </w:r>
      <w:r>
        <w:rPr>
          <w:rFonts w:ascii="Nirmala UI" w:hAnsi="Nirmala UI" w:eastAsia="Nirmala UI" w:cs="Nirmala UI"/>
        </w:rPr>
        <w:t>ꯄꯤꯕꯗꯤ</w:t>
      </w:r>
      <w:r>
        <w:rPr>
          <w:rFonts w:ascii="Times New Roman" w:hAnsi="Times New Roman" w:eastAsia="Times New Roman" w:cs="Times New Roman"/>
        </w:rPr>
        <w:t xml:space="preserve">, </w:t>
      </w:r>
      <w:r>
        <w:rPr>
          <w:rFonts w:ascii="Nirmala UI" w:hAnsi="Nirmala UI" w:eastAsia="Nirmala UI" w:cs="Nirmala UI"/>
        </w:rPr>
        <w:t>ꯌꯍꯨꯗꯤꯁꯤꯡꯅ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ꯇꯦꯝꯄꯜ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ꯃꯥꯡꯍꯜꯂꯛꯄ</w:t>
      </w:r>
      <w:r>
        <w:rPr>
          <w:rFonts w:ascii="Times New Roman" w:hAnsi="Times New Roman" w:eastAsia="Times New Roman" w:cs="Times New Roman"/>
        </w:rPr>
        <w:t xml:space="preserve"> </w:t>
      </w:r>
      <w:r>
        <w:rPr>
          <w:rFonts w:ascii="Nirmala UI" w:hAnsi="Nirmala UI" w:eastAsia="Nirmala UI" w:cs="Nirmala UI"/>
        </w:rPr>
        <w:t>ꯑꯣꯏꯈ꯭ꯔꯦ꯫</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ꯈ꯭ꯔꯥꯏꯁꯇ</w:t>
      </w:r>
      <w:r>
        <w:rPr>
          <w:rFonts w:ascii="Times New Roman" w:hAnsi="Times New Roman" w:eastAsia="Times New Roman" w:cs="Times New Roman"/>
        </w:rPr>
        <w:t xml:space="preserve"> </w:t>
      </w:r>
      <w:r>
        <w:rPr>
          <w:rFonts w:ascii="Nirmala UI" w:hAnsi="Nirmala UI" w:eastAsia="Nirmala UI" w:cs="Nirmala UI"/>
        </w:rPr>
        <w:t>ꯀ꯭ꯔꯨꯁꯤꯐꯥꯏ</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ꯇꯦꯝꯄꯜꯒꯤ</w:t>
      </w:r>
      <w:r>
        <w:rPr>
          <w:rFonts w:ascii="Times New Roman" w:hAnsi="Times New Roman" w:eastAsia="Times New Roman" w:cs="Times New Roman"/>
        </w:rPr>
        <w:t xml:space="preserve"> </w:t>
      </w:r>
      <w:r>
        <w:rPr>
          <w:rFonts w:ascii="Nirmala UI" w:hAnsi="Nirmala UI" w:eastAsia="Nirmala UI" w:cs="Nirmala UI"/>
        </w:rPr>
        <w:t>ꯃꯅꯨꯡꯒꯤ</w:t>
      </w:r>
      <w:r>
        <w:rPr>
          <w:rFonts w:ascii="Times New Roman" w:hAnsi="Times New Roman" w:eastAsia="Times New Roman" w:cs="Times New Roman"/>
        </w:rPr>
        <w:t xml:space="preserve"> </w:t>
      </w:r>
      <w:r>
        <w:rPr>
          <w:rFonts w:ascii="Nirmala UI" w:hAnsi="Nirmala UI" w:eastAsia="Nirmala UI" w:cs="Nirmala UI"/>
        </w:rPr>
        <w:t>ꯐꯤ</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ꯃꯊꯛꯇꯒꯤ</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ꯍꯥꯞꯇ</w:t>
      </w:r>
      <w:r>
        <w:rPr>
          <w:rFonts w:ascii="Times New Roman" w:hAnsi="Times New Roman" w:eastAsia="Times New Roman" w:cs="Times New Roman"/>
        </w:rPr>
        <w:t xml:space="preserve"> </w:t>
      </w:r>
      <w:r>
        <w:rPr>
          <w:rFonts w:ascii="Nirmala UI" w:hAnsi="Nirmala UI" w:eastAsia="Nirmala UI" w:cs="Nirmala UI"/>
        </w:rPr>
        <w:t>ꯃꯥꯌꯊꯣꯛꯈ꯭ꯔꯦ</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ꯁꯦꯀ꯭ꯔꯤꯐꯥꯏꯁ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ꯊꯦꯡꯅꯔꯛꯄꯤ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ꯁꯦꯀ꯭ꯔꯤꯐꯥꯏꯁ</w:t>
      </w:r>
      <w:r>
        <w:rPr>
          <w:rFonts w:ascii="Times New Roman" w:hAnsi="Times New Roman" w:eastAsia="Times New Roman" w:cs="Times New Roman"/>
        </w:rPr>
        <w:t xml:space="preserve"> </w:t>
      </w:r>
      <w:r>
        <w:rPr>
          <w:rFonts w:ascii="Nirmala UI" w:hAnsi="Nirmala UI" w:eastAsia="Nirmala UI" w:cs="Nirmala UI"/>
        </w:rPr>
        <w:t>ꯑꯣꯐꯔꯤꯡꯁꯤꯡꯒꯤ</w:t>
      </w:r>
      <w:r>
        <w:rPr>
          <w:rFonts w:ascii="Times New Roman" w:hAnsi="Times New Roman" w:eastAsia="Times New Roman" w:cs="Times New Roman"/>
        </w:rPr>
        <w:t xml:space="preserve"> </w:t>
      </w:r>
      <w:r>
        <w:rPr>
          <w:rFonts w:ascii="Nirmala UI" w:hAnsi="Nirmala UI" w:eastAsia="Nirmala UI" w:cs="Nirmala UI"/>
        </w:rPr>
        <w:t>ꯁꯤꯁꯇꯦꯝ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ꯂꯣꯏꯔꯦ꯫</w:t>
      </w:r>
      <w:r>
        <w:rPr>
          <w:rFonts w:ascii="Times New Roman" w:hAnsi="Times New Roman" w:eastAsia="Times New Roman" w:cs="Times New Roman"/>
        </w:rPr>
        <w:t>” The Desire of Ages, 165.</w:t>
      </w:r>
    </w:p>
    <w:p>
      <w:pPr>
        <w:pStyle w:val="ArticleBody"/>
        <w:jc w:val="left"/>
      </w:pPr>
      <w:r>
        <w:rPr>
          <w:rFonts w:ascii="Times New Roman" w:hAnsi="Times New Roman" w:eastAsia="Times New Roman" w:cs="Times New Roman"/>
        </w:rPr>
        <w:t>Vayahudi va tate muhuri kukataa kwao Injili katika kupigwa mawe kwa Stefano au katika msalaba wa Kristo? Mkanganyiko huu unaoonekana unahusiana na mkanganyiko unaoonekana wa kuutambua ufunuo wa nguvu za Mungu katika Pentekoste kuwa ni sheria ya Jumapili iliyo karibu kuja.</w:t>
      </w:r>
    </w:p>
    <w:p>
      <w:pPr>
        <w:pStyle w:val="ArticleBody"/>
        <w:jc w:val="left"/>
      </w:pPr>
      <w:r>
        <w:rPr>
          <w:rFonts w:ascii="Times New Roman" w:hAnsi="Times New Roman" w:eastAsia="Times New Roman" w:cs="Times New Roman"/>
        </w:rPr>
        <w:t>Twamufuna kusitonda ukuteshanya uku kumoneka mu citendekela mu kalemba akakonkapo, lelo ndefwaya ukutwibukisha ukuti icilonganino ici cine cishingilila pa cishinka ico ba profeti balangile ukuti abantu ba kwa Laodikea ba kwa Lesa mu nshiku sha kulekelesha tabomfwa ukupepaula. Twalipela inshita yakweba no kupitulukamo ibihe ifyapusana ne fyakubombelapo ifya kupepaula, ukuti tube abalenga bwino pa nshila ifyo ukupepaula kwa kufwayafwaya ne kwa kupwisha fyonse fikumana pamo pa mutemo wa Mulungu wa pa Cungu uwalepalama. Pakuti tubone ubushibilo ubwafumina mu kusokolola ubwalumikizibwa ne fyo fikumoneka nga fyakuteshanya ifyo twacibusha nomba line, ifintu ifi fyafwile ukubwekeshiwapo no kupitulwamo.</w:t>
      </w:r>
    </w:p>
    <w:p>
      <w:pPr>
        <w:pStyle w:val="ArticleBody"/>
        <w:jc w:val="left"/>
      </w:pPr>
      <w:r>
        <w:rPr>
          <w:rFonts w:ascii="Times New Roman" w:hAnsi="Times New Roman" w:eastAsia="Times New Roman" w:cs="Times New Roman"/>
        </w:rPr>
        <w:t>Tukatikiliza funzo hili katika makala inayofuata.</w:t>
      </w:r>
    </w:p>
    <w:p>
      <w:pPr>
        <w:pStyle w:val="ArticleScripture"/>
        <w:jc w:val="left"/>
      </w:pPr>
      <w:r>
        <w:rPr>
          <w:rFonts w:ascii="Times New Roman" w:hAnsi="Times New Roman" w:eastAsia="Times New Roman" w:cs="Times New Roman"/>
        </w:rPr>
        <w:t>“Baroma Katolika hukiri kwamba badiliko la Sabato lilifanywa na kanisa lao, nao hulitaja badiliko hilo hilo kuwa uthibitisho wa mamlaka kuu ya kanisa. Hutangaza kwamba kwa kuitunza siku ya kwanza ya juma kuwa Sabato, Waprotestanti wanatambua uwezo wake wa kutunga sheria katika mambo ya kiungu. Kanisa la Roma halijaacha dai lake la kutokukosea; na ulimwengu pamoja na makanisa ya Kiprotestanti wanapokubali Sabato bandia iliyoundwa nalo, huku wakiikataa Sabato ya Yehova, kwa hakika wanakiri dai hilo. Wanaweza kutaja mamlaka kwa ajili ya badiliko hili, lakini upotofu wa hoja zao hutambulika kwa urahisi. Mpapisti ni mwerevu vya kutosha kuona kwamba Waprotestanti wanajidanganya wenyewe, wakifumba macho yao kwa hiari mbele ya ukweli wa jambo hilo. Kadiri taasisi ya Jumapili inavyozidi kukubalika, yeye hufurahi, akiwa na hakika kwamba hatimaye italeta ulimwengu mzima wa Kiprotestanti chini ya bendera ya Roma.”</w:t>
      </w:r>
    </w:p>
    <w:p>
      <w:pPr>
        <w:pStyle w:val="ArticleScripture"/>
        <w:jc w:val="left"/>
      </w:pPr>
      <w:r>
        <w:rPr>
          <w:rFonts w:ascii="Times New Roman" w:hAnsi="Times New Roman" w:eastAsia="Times New Roman" w:cs="Times New Roman"/>
        </w:rPr>
        <w:t>“Sabato’nun değiştirilmesi, Roma kilisesinin yetkisinin işareti yahut damgasıdır. Dördüncü buyruğun taleplerini anlayarak hakikî Sabato’nun yerine sahte Sabato’yu tutmayı seçenler, böyle yapmakla, bunun yalnızca buyurulduğu o kudrete hürmet sunmaktadırlar. Canavarın damgası, Tanrı’nın tayin ettiği günün yerine dünya tarafından kabul edilmiş olan papalık Sabatosu’dur.</w:t>
      </w:r>
    </w:p>
    <w:p>
      <w:pPr>
        <w:pStyle w:val="ArticleScripture"/>
        <w:jc w:val="left"/>
      </w:pPr>
      <w:r>
        <w:rPr>
          <w:rFonts w:ascii="Times New Roman" w:hAnsi="Times New Roman" w:eastAsia="Times New Roman" w:cs="Times New Roman"/>
        </w:rPr>
        <w:t>“Basi wakati wa kuipokea chapa ya mnyama, kama ulivyoteuliwa katika unabii, bado haujafika. Wakati wa kujaribiwa bado haujafika. Kuna Wakristo wa kweli katika kila kanisa, bila kuliondoa ushirika wa Kanisa Katoliki la Roma. Hakuna anayehukumiwa mpaka awe amepewa nuru na kuona wajibu wa amri ya nne. Lakini amri itakapotangazwa ikilazimisha Sabato bandia, na kilio kikuu cha malaika wa tatu kitakapowaonya wanadamu dhidi ya kumwabudu mnyama na sanamu yake, mstari wa mpaka utawekwa wazi kati ya uongo na kweli. Ndipo wale ambao bado wataendelea katika uasi watapokea chapa ya mnyama katika vipaji vya nyuso zao au katika mikono yao.</w:t>
      </w:r>
    </w:p>
    <w:p>
      <w:pPr>
        <w:pStyle w:val="ArticleScripture"/>
        <w:jc w:val="left"/>
      </w:pPr>
      <w:r>
        <w:rPr>
          <w:rFonts w:ascii="Times New Roman" w:hAnsi="Times New Roman" w:eastAsia="Times New Roman" w:cs="Times New Roman"/>
        </w:rPr>
        <w:t>“Emikono yihuse turiko twegereza iki gihe. Igihe amashengero y’Abaporotesitanti azokwifatanya n’ububasha bw’isi kugira ngo ashimangire idini ry’ikinyoma, iryo ba sekuruza babo bihanganiye uguhamwa gukaze kuruta kwose baryanka, ico gihe ni ho Isabato ya papa izoshirwa mu ngiro ku bwo ububasha bwahujwe bw’ishengero na Leta. Hazobaho ubuhakanyi bw’igihugu, kandi buzorangira gusa mu kuranduka kw’igihugu.”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Nne</dc:title>
  <dc:subject>Kufunua Kanuni ya Unabii: Kuelewa Hukumu ya Uchunguzi na ya Utekelezaji katika Siku za Mwisho</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