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Kumi na Nane</w:t>
      </w:r>
    </w:p>
    <w:p>
      <w:pPr>
        <w:pStyle w:val="ArticleSubtitle"/>
        <w:jc w:val="left"/>
      </w:pPr>
      <w:r>
        <w:rPr>
          <w:rFonts w:ascii="Arial" w:hAnsi="Arial" w:eastAsia="Arial" w:cs="Arial"/>
        </w:rPr>
        <w:t>Îqdara Pêşbînîyê bo Orşelîmê: Wêneyek Sembolik a Bûyerên Dawiya Demê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Kumyaka musanju egy’okulabula okuva mu 63 okutuuka ku mwaka gwa 70, ezaalangirirwa omusajja eyatambula “waggulu ne wansi mu nguudo za Yerusaalemi, ng’alangirira ebizibu ebyali bigenda okujja ku kibuga,” zaali zaafaananyizibwa okulabula okwaweebwa Yerusaalemi okumala emyaka esatu n’ekitundu, okusooka mu buweereza bwa Kristo, era oluvannyuma emyaka esatu n’ekitundu mu buweereza bw’abayigirizwa. Ebiwandiiko ebyasooka byamala dda okulaga nti okuzikirizibwa kwa Yerusaalemi kwandiyinzizza okuleetebwa ku musaalaba, oba oluvannyuma ku kukubibwa amayinja kwa Siteefano, naye obugumiikiriza bwa Katonda obw’ebbanga eggwanvu bwalyosa okusala kwe ku kibuga n’abantu baakyo.</w:t>
      </w:r>
    </w:p>
    <w:p>
      <w:pPr>
        <w:pStyle w:val="ArticleScripture"/>
        <w:jc w:val="left"/>
      </w:pPr>
      <w:r>
        <w:rPr>
          <w:rFonts w:ascii="Times New Roman" w:hAnsi="Times New Roman" w:eastAsia="Times New Roman" w:cs="Times New Roman"/>
        </w:rPr>
        <w:t>“Ne ni kwanisa kũgũa igũrũ rĩa mũndũ o wothe, nĩikamũhũthia na kumũgĩa ihũri.” Andũ arĩa maaregire Kristũ nĩ maikarĩrwo na ihinda rĩa kuona mũciĩ wao na taifarĩao rĩgĩthukũka. Riiri wao nĩ wagĩaga kũmenyeka, na warĩrĩkaga ta rũvũri mbere ya rũhuho. Na nĩ kĩĩ gĩatũmire Ayahudi mahũthike? Nĩ rĩaĩ rĩrĩa, angĩkorwo nĩ marĩraakyũa igũrũ rĩake, rĩngĩakorwo nĩ rĩo rĩrĩ mũrango wao wa kwigania. Nĩ wega wa Ngai ũrĩa wanyaritwo, na ũthingu ũrĩa watikirĩirwo, na tha ũrĩa wanyihitirwo. Andũ nĩmeeyumbĩte kurwana na Ngai, na kĩrĩa gĩothe kĩrĩa gĩangĩakorwo ũhonokio wao gĩgĩcokerwo gĩtuĩka mũthĩnyo wao. Gĩothe kĩrĩa Ngai aarathanire kĩa muoyo bo nĩmakionire gĩa gĩkuũ. Mũtharaba-inĩ kwa Kristũ kũrĩa Ayahudi maamũkomerire, nĩ kwarĩ na ũhũthio wa Jerusalemu. Thakame iria yathirikirio Kalivari nĩ yo yarĩ ũritũ ũrĩa wamaheire kũthira na kũũgũa mbaara-inĩ ya ũniinĩ ũyũ na ya ũniinĩ ũrĩa ukwĩza. O ta ũguo nĩguo gũkaakorwo mũthenya ũrĩa mũnene wa mũth mwisho, hĩndĩ ĩrĩa ciira ĩgũa igũrũ rĩa arĩa maarega wega wa Ngai. Kristũ, ihiga rĩao rĩa gũtũma makorwo na gũikarania, nĩagakena kũbonanĩria kwao ta gĩkũyũ kĩa kũhoreria. Riiri wa ũthiũ wake, ũrĩa kũrĩ arĩa athingu ũrĩ muoyo, kũrĩ arĩa aũru ũgatuĩka mwaki ũrĩa ũrĩa. Nĩ ũndũ wa wendani ũrĩa waregĩtwo, na wega ũrĩa wanyaritwo, mwĩhia nĩagathira.</w:t>
      </w:r>
    </w:p>
    <w:p>
      <w:pPr>
        <w:pStyle w:val="ArticleScripture"/>
        <w:jc w:val="left"/>
      </w:pPr>
      <w:r>
        <w:rPr>
          <w:rFonts w:ascii="Times New Roman" w:hAnsi="Times New Roman" w:eastAsia="Times New Roman" w:cs="Times New Roman"/>
        </w:rPr>
        <w:t>“Na mifano mingi na maonyo ya kurudiwa-rudiwa, Yesu alionyesha matokeo ambayo yangewapata Wayahudi kwa kumkataa Mwana wa Mungu. Katika maneno hayo alikuwa akiwaelekeza wote katika kila kizazi wanaokataa kumpokea Yeye kuwa Mkombozi wao. Kila onyo ni kwa ajili yao. Hekalu lililotiwa unajisi, mwana asiiyetii, wakulima wa uongo, wajenzi wenye dharau, vina mfano wake katika uzoefu wa kila mwenye dhambi. Asipotubu, hukumu ambayo mambo hayo yalikuwa kivuli chake itakuwa yake.” The Desire of Ages, 600.</w:t>
      </w:r>
    </w:p>
    <w:p>
      <w:pPr>
        <w:pStyle w:val="ArticleBody"/>
        <w:jc w:val="left"/>
      </w:pPr>
      <w:r>
        <w:rPr>
          <w:rFonts w:ascii="Times New Roman" w:hAnsi="Times New Roman" w:eastAsia="Times New Roman" w:cs="Times New Roman"/>
        </w:rPr>
        <w:t>Muda wa miaka saba ambao katika huo yule mtu aliushuhudia Yerusalemu, uligawanywa wakati wa mazingiwa ya kwanza katika vipindi viwili vilivyo sawa vya siku elfu moja mia mbili na sitini. Miaka hiyo saba iliwakilisha kuangamizwa kwa Yerusalemu, na miaka saba ya huduma za Kristo na za wanafunzi iliwakilisha mwanzo wa kuangamizwa kwa Yerusalemu, naye Yesu daima huonyesha mwisho kwa mwanzo. Miaka hiyo saba pia ilifananishwa kwa mfano na “nyakati saba” dhidi ya ufalme wa kaskazini, ambazo ziligawanywa katika vipindi viwili vilivyo sawa vya miaka elfu moja mia mbili na sitini.</w:t>
      </w:r>
    </w:p>
    <w:p>
      <w:pPr>
        <w:pStyle w:val="ArticleBody"/>
        <w:jc w:val="left"/>
      </w:pPr>
      <w:r>
        <w:rPr>
          <w:rFonts w:ascii="Times New Roman" w:hAnsi="Times New Roman" w:eastAsia="Times New Roman" w:cs="Times New Roman"/>
        </w:rPr>
        <w:t>Kino Roma ya kisasa ikirudia historia ya Roma ya kipagani na ya kipapa ya kulikanyaga Yerusalemu halisi na ya kiroho, na kino Roma ya kisasa ikirudia historia mbili za vipindi viwili vya onyo vilivyotolewa na yule mtu tangu mwaka wa 63 hadi mwaka wa 70, na wakati Roma ya kisasa inaporudia historia iliyowakilishwa na vipindi viwili ambavyo Kristo na wanafunzi walitembea wakiingia na kutoka Yerusalemu kwa miaka mitatu na nusu, vipindi viwili tofauti vitaonyeshwa, ijapokuwa katika siku za mwisho, “wakati haupo tena.”</w:t>
      </w:r>
    </w:p>
    <w:p>
      <w:pPr>
        <w:pStyle w:val="ArticleBody"/>
        <w:jc w:val="left"/>
      </w:pPr>
      <w:r>
        <w:rPr>
          <w:rFonts w:ascii="Times New Roman" w:hAnsi="Times New Roman" w:eastAsia="Times New Roman" w:cs="Times New Roman"/>
        </w:rPr>
        <w:t>Mya nyuma ya vipindi hivyo viwili ni ile miezi arobaini na miwili ya kiishara ambayo ndani yake Roma ya Kisasa hutekeleza mateso yake ya mwisho dhidi ya waaminifu, baada ya jeraha lake la mauti kuponywa katika sheria ya Jumapili iliyo karibu kuja. Hiyo miezi arobaini na miwili ya kiishara ni ya pili kati ya vipindi viwili, nayo ndiyo kipindi cha hukumu ya utekelezaji ya Roma ya kisasa. Kipindi hicho hutanguliwa na hukumu ya uchunguzi ya walio hai katika Uadventista wa Laodikia.</w:t>
      </w:r>
    </w:p>
    <w:p>
      <w:pPr>
        <w:pStyle w:val="ArticleBody"/>
        <w:jc w:val="left"/>
      </w:pPr>
      <w:r>
        <w:rPr>
          <w:rFonts w:ascii="Times New Roman" w:hAnsi="Times New Roman" w:eastAsia="Times New Roman" w:cs="Times New Roman"/>
        </w:rPr>
        <w:t>Omuntu eyayanjulira Yerusaalemi eyennyini okulabula yafiira mu kuzingiza kwa Tito. Teyafiira mu kuzikirira kwennyini, wabula mu kuzingiza okwakukulembera okuzikirira okwo, kubanga tewaafaayo Mukristaayo n’omu mu kuzikirira kwa Yerusaalemi.</w:t>
      </w:r>
    </w:p>
    <w:p>
      <w:pPr>
        <w:pStyle w:val="ArticleScripture"/>
        <w:jc w:val="left"/>
      </w:pPr>
      <w:r>
        <w:rPr>
          <w:rFonts w:ascii="Times New Roman" w:hAnsi="Times New Roman" w:eastAsia="Times New Roman" w:cs="Times New Roman"/>
        </w:rPr>
        <w:t>“Kwa muda wa miaka saba mtu mmoja aliendelea kwenda juu na chini katika mitaa ya Yerusalemu, akitangaza ole zilizokuwa zikiujia mji huo. Mchana na usiku aliimba maombolezo hayo ya kutisha: ‘Sauti kutoka mashariki! sauti kutoka magharibi! sauti kutoka kwa pepo nne! sauti juu ya Yerusalemu na juu ya hekalu! sauti juu ya bwana-arusi na juu ya bibi-arusi! sauti juu ya watu wote!’—Ibid. Kiumbe huyu wa ajabu alifungwa gerezani na kupigwa mijeledi, lakini hakuna malalamiko yaliyotoka midomoni mwake. Kwa matusi na dhuluma alijibu tu: ‘Ole, ole kwa Yerusalemu!’ ‘ole, ole kwa wakaaji wake!’ Kilio chake cha onyo hakikukoma mpaka alipouawa katika mazingiwa aliyokuwa ameyatabiri.” The Great Controversy, 29, 30.</w:t>
      </w:r>
    </w:p>
    <w:p>
      <w:pPr>
        <w:pStyle w:val="ArticleBody"/>
        <w:jc w:val="left"/>
      </w:pPr>
      <w:r>
        <w:rPr>
          <w:rFonts w:ascii="Times New Roman" w:hAnsi="Times New Roman" w:eastAsia="Times New Roman" w:cs="Times New Roman"/>
        </w:rPr>
        <w:t>Omul a murit în timpul asediului, dar nu la nimicirea finală, iar nimicirea finală reprezintă închiderea timpului de probă și cele șapte plăgi de pe urmă. Prin urmare, omul este un simbol al soliei de a părăsi Ierusalimul la primul asediu. Atunci creștinii au fugit, iar în primii trei ani și jumătate, omul era un simbol al unui grup care nu moare în Ierusalim, iar în cei de-ai doilea trei ani și jumătate el este un simbol al ultimilor creștini care mor înainte de închiderea timpului de probă. În prima perioadă el îi identifică pe cei o sută patruzeci și patru de mii, iar în a doua perioadă de trei ani și jumătate el reprezintă marea mulțime care moare în timpul celei de-a doua perioade.</w:t>
      </w:r>
    </w:p>
    <w:p>
      <w:pPr>
        <w:pStyle w:val="ArticleBody"/>
        <w:jc w:val="left"/>
      </w:pPr>
      <w:r>
        <w:rPr>
          <w:rFonts w:ascii="Times New Roman" w:hAnsi="Times New Roman" w:eastAsia="Times New Roman" w:cs="Times New Roman"/>
        </w:rPr>
        <w:t>Mwanamume yule ujumbe wake uliandikwa na mwanahistoria, nao uliwakilishwa kwa sauti sita. Hapo mwishowe alipofungwa gerezani, ujumbe wake wa saba na wa mwisho ulikuwa “ole, ole” juu ya Yerusalemu na wakaaji wake. “Sauti” ya kwanza iliyoandikwa ilikuwa “sauti kutoka mashariki,” na ujumbe wake wa mwisho ulikuwa “ole.” Kipengele cha kwanza cha ujumbe wake na kipengele cha mwisho cha ujumbe wake kilikuwa ishara ya kibiblia inayowakilisha Uislamu, kwa maana Uislamu ni watoto wa “mashariki” katika Biblia, nao wanawakilishwa na “upepo wa mashariki.” Kurudiwa mara mbili kwa neno “ole” katika ujumbe wake wa mwisho kunaakisi mwisho wa Babeli ya Kisasa, wakati wafalme wa dunia wanalia mara tatu, “Ole, ole mji ule mkuu.” Neno la Kigiriki lililotafsiriwa kuwa “ole” katika mistari ile mitatu ya Ufunuo sura ya kumi na nane, limetafsiriwa kuwa “ole” katika sura ya nane, mstari wa kumi na tatu.</w:t>
      </w:r>
    </w:p>
    <w:p>
      <w:pPr>
        <w:pStyle w:val="ArticleScripture"/>
        <w:jc w:val="left"/>
      </w:pPr>
      <w:r>
        <w:rPr>
          <w:rFonts w:ascii="Times New Roman" w:hAnsi="Times New Roman" w:eastAsia="Times New Roman" w:cs="Times New Roman"/>
        </w:rPr>
        <w:t>ئەن من دیم و گوه بیستەوە کە فریشتەیەک بە ناوەڕاستی ئاسماندا دەفڕی و بە دەنگێکی بەرز دەیگوت: وای، وای، وای بە سەر نیشتەجێوانی زەوی، بەهۆی ئەو دەنگانەی دیکەی کەڕنای سێ فریشتەکە، کە هێشتا نەژاوەن! مکاشفە ٨:١٣</w:t>
      </w:r>
    </w:p>
    <w:p>
      <w:pPr>
        <w:pStyle w:val="ArticleBody"/>
        <w:jc w:val="left"/>
      </w:pPr>
      <w:r>
        <w:rPr>
          <w:rFonts w:ascii="Times New Roman" w:hAnsi="Times New Roman" w:eastAsia="Times New Roman" w:cs="Times New Roman"/>
        </w:rPr>
        <w:t>Kuwatangaza kwa mtu yule kwa kusema, “ole, ole,” kunawakilisha matumizi ya mara tatu ya mikosi ile mitatu; kwa maana vipengele vya Mkosi wa kwanza, vikijumlishwa pamoja na vipengele vya Mkosi wa pili “amri juu ya amri,” vinavitambulisha vipengele vya Mkosi wa tatu, kama vile maonyesho yale matatu ya “ole, ole” ya wafalme wa dunia katika sura ya kumi na nane yanavyowakilisha Mkosi wa tatu, kama ilivyothibitishwa na Mikosi ya kwanza na ya pili. Mwanzo na mwisho wa ujumbe wa mtu yule uliufananisha kwa mfano ujumbe wa Uislamu wa Mkosi wa tatu.</w:t>
      </w:r>
    </w:p>
    <w:p>
      <w:pPr>
        <w:pStyle w:val="ArticleBody"/>
        <w:jc w:val="left"/>
      </w:pPr>
      <w:r>
        <w:rPr>
          <w:rFonts w:ascii="Times New Roman" w:hAnsi="Times New Roman" w:eastAsia="Times New Roman" w:cs="Times New Roman"/>
        </w:rPr>
        <w:t>Ubusobanuro bwa mbere bw’ubutumwa bwe bwari ijwi ryaturukaga mu “burasirazuba,” kandi “uburasirazuba” ni ikimenyetso cya Isilamu, ariko kandi ni n’ikimenyetso kiranga marayika ushyiraho ikimenyetso uva iburasirazuba.</w:t>
      </w:r>
    </w:p>
    <w:p>
      <w:pPr>
        <w:pStyle w:val="ArticleScripture"/>
        <w:jc w:val="left"/>
      </w:pPr>
      <w:r>
        <w:rPr>
          <w:rFonts w:ascii="Times New Roman" w:hAnsi="Times New Roman" w:eastAsia="Times New Roman" w:cs="Times New Roman"/>
        </w:rPr>
        <w:t>Mbeti panzi ya mambo hayo nikaona malaika wanne wamesimama katika pembe nne za dunia, wakiizuia pepo nne za dunia, ili upepo usivume juu ya dunia, wala juu ya bahari, wala juu ya mti wowote. Kisha nikamwona malaika mwingine akipanda kutoka mashariki, naye alikuwa na muhuri wa Mungu aliye hai; akalia kwa sauti kuu kuwaambia wale malaika wanne, waliopewa kuidhuru dunia na bahari, akisema, Msiidhuru dunia, wala bahari, wala miti, hata tutakapokwisha kuwatia muhuri watumishi wa Mungu wetu katika vipaji vya nyuso zao. Nami nikaisikia hesabu ya hao waliotiwa muhuri; nao walikuwa mia moja arobaini na nne elfu, waliotiwa muhuri, kutoka katika kabila zote za wana wa Israeli. Ufunuo 7:1–4.</w:t>
      </w:r>
    </w:p>
    <w:p>
      <w:pPr>
        <w:pStyle w:val="ArticleBody"/>
        <w:jc w:val="left"/>
      </w:pPr>
      <w:r>
        <w:rPr>
          <w:rFonts w:ascii="Times New Roman" w:hAnsi="Times New Roman" w:eastAsia="Times New Roman" w:cs="Times New Roman"/>
        </w:rPr>
        <w:t>Ku nkuru ya Eliya ku Musozi Karumeli, igihe yarebaga ku nyanja akabona igicu, yari areba iburengerazuba, kuko Umusozi Karumeli uherereye hafi y’Inyanja ya Mediterane.</w:t>
      </w:r>
    </w:p>
    <w:p>
      <w:pPr>
        <w:pStyle w:val="ArticleScripture"/>
        <w:jc w:val="left"/>
      </w:pPr>
      <w:r>
        <w:rPr>
          <w:rFonts w:ascii="Times New Roman" w:hAnsi="Times New Roman" w:eastAsia="Times New Roman" w:cs="Times New Roman"/>
        </w:rPr>
        <w:t>Na ikawa mara ya saba, akasema, Tazama, wingu dogo linatokea baharini, mfano wa kiganja cha mkono wa mtu. Naye akasema, Kwea juu, mwambie Ahabu, Tandika gari lako, ukashuke, mvua isikuzuie. 1 Wafalme 18:44.</w:t>
      </w:r>
    </w:p>
    <w:p>
      <w:pPr>
        <w:pStyle w:val="ArticleBody"/>
        <w:jc w:val="left"/>
      </w:pPr>
      <w:r>
        <w:rPr>
          <w:rFonts w:ascii="Times New Roman" w:hAnsi="Times New Roman" w:eastAsia="Times New Roman" w:cs="Times New Roman"/>
        </w:rPr>
        <w:t>Elia angekuwa ameelekea upande wa magharibi, kuelekea Bahari ya Mediterania. Katika Luka sura ya kumi na mbili, Kristo anasema kwamba ujumbe Wake ni ujumbe wa mgawanyiko.</w:t>
      </w:r>
    </w:p>
    <w:p>
      <w:pPr>
        <w:pStyle w:val="ArticleScripture"/>
        <w:jc w:val="left"/>
      </w:pPr>
      <w:r>
        <w:rPr>
          <w:rFonts w:ascii="Times New Roman" w:hAnsi="Times New Roman" w:eastAsia="Times New Roman" w:cs="Times New Roman"/>
        </w:rPr>
        <w:t>Ndzi lo ndzi tele ku: Xana mi ehleketa leswaku ndzi tile ku tisa ku rhula emisaveni? Ndzi mi byela ndzi ku, Ee; kambe ematshan’weni ya kona, ku avana: hikuva ku sukela sweswi ku ta va ni vanhu va ntlhanu endlwini yin’we, va avanyetiwile, vanharhu va lwa ni vambirhi, ni vambirhi va lwa ni vanharhu. Tata u ta avana ni n’wana wa yena wa jaha, ni n’wana wa jaha a avana ni tata wa yena; manana ni n’wana wa yena wa nhwanyana, ni n’wana wa nhwanyana ni manana wa yena; mana wa nuna ni makoti wa yena, ni makoti ni mana wa nuna wa yena. A tlhela a byela vanhu a ku, Loko mi vona papa ri huma evupela-dyambu, hi ku hatlisa mi vula mi ku, Ku ta na mpfula; naswona swi va tano. Naswona loko mi vona moya wa dzonga wu ba, mi vula mi ku, Ku ta va ni ku hisa; naswona swi humelela tano. N’wina vakanganyisi, mi kota ku twisisa xivumbeko xa tilo ni xa misava; kambe swi njhani leswi mi nga kotiki ku twisisa nkarhi lowu? Luka 12:51–56.</w:t>
      </w:r>
    </w:p>
    <w:p>
      <w:pPr>
        <w:pStyle w:val="ArticleBody"/>
        <w:jc w:val="left"/>
      </w:pPr>
      <w:r>
        <w:rPr>
          <w:rFonts w:ascii="Times New Roman" w:hAnsi="Times New Roman" w:eastAsia="Times New Roman" w:cs="Times New Roman"/>
        </w:rPr>
        <w:t>Ujumbe wa mjumbe kwa Yerusalemu unabeba saini ya Alfa na Omega, kwa maana mwanzo na mwisho humtambulisha Uislamu wa Ole wa tatu, na kwa sauti ya “mashariki” wakati huohuo hutambulisha ujumbe wa Uislamu kuwa ni ujumbe wa kutiwa muhuri. “Sauti ya pili” kutoka “magharibi” hutambulisha mvua ya vuli, ambayo ndiyo mvua ya mwisho, na manabii wote wanazungumza juu ya siku za mwisho. Ujumbe wa “magharibi” ni ishara ya ujumbe wa mvua ya vuli, ambao huzalisha makundi mawili ya waabuduo. Kundi moja haliwezi kuutambua ujumbe wa mvua ya vuli, kwa maana “hawautambui wakati huu.”</w:t>
      </w:r>
    </w:p>
    <w:p>
      <w:pPr>
        <w:pStyle w:val="ArticleBody"/>
        <w:jc w:val="left"/>
      </w:pPr>
      <w:r>
        <w:rPr>
          <w:rFonts w:ascii="Times New Roman" w:hAnsi="Times New Roman" w:eastAsia="Times New Roman" w:cs="Times New Roman"/>
        </w:rPr>
        <w:t>ئەو توخمەی دواتری نامەی پەیامنێر، دەنگی «چوار با»کانە، کە هەمان کات هەم پەیامی مۆرکردنەکەیە و هەم پەیامی ئەسپە تووڕەکەی ئیسلام، وەک لە لایەن سێیەم وای بەڵا نیشان دراوە. توخمەی دواتر لە دژی ئۆرشەلیم و پەرستگاکەیە؛ بەمەش پەیامی هەموو پێغەمبەران دیاری دەکرێت، کە پۆلێک خەڵک ناساندن دەکات کە بەجێ دەهێڵدرێن، چونکە بانگەوازی ڕزگارییان نە لە مەسیحدا بنیات ناوە، بەڵکو لە پەرستگا و لە میراتی خۆیان وەک گەلی هەڵبژێردراوی خودا. ئەوانەن لە سەرانسەری مێژووی پیرۆزدا کە وەک ئەوانە نوێنەرایەتی دەکرێن کە بانگەشە دەکەن: «پەرستگای یەزدان، پەرستگای یەزدان ئێمەین.» پەیامی دژی ئۆرشەلیم و پەرستگا، پەیامی لاودیسیاییە.</w:t>
      </w:r>
    </w:p>
    <w:p>
      <w:pPr>
        <w:pStyle w:val="ArticleScripture"/>
        <w:jc w:val="left"/>
      </w:pPr>
      <w:r>
        <w:rPr>
          <w:rFonts w:ascii="Times New Roman" w:hAnsi="Times New Roman" w:eastAsia="Times New Roman" w:cs="Times New Roman"/>
        </w:rPr>
        <w:t>“</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आश्चर्य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स्त्रियाँ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लोभ</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कुटिल</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उद्धारकर्ता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चेतावनियों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दीपाधार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विवेक</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भ्रमित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न्यून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कल्पना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Review and Herald, April 8, 1902.</w:t>
      </w:r>
    </w:p>
    <w:p>
      <w:pPr>
        <w:pStyle w:val="ArticleBody"/>
        <w:jc w:val="left"/>
      </w:pPr>
      <w:r>
        <w:rPr>
          <w:rFonts w:ascii="Times New Roman" w:hAnsi="Times New Roman" w:eastAsia="Times New Roman" w:cs="Times New Roman"/>
        </w:rPr>
        <w:t>Mutumwa mwandima akazamura izwi ry’ubutumwa bwe bwo kuburira, aribwira abakwe n’abageni, nk’ikimenyetso cy’uburyo bwa “umurongo ku wundi murongo”; kuko umurongo w’ubuhanuzi wo mu minsi y’imperuka uzaba nk’uko umurongo w’ubuhanuzi wari uri mu minsi ya Nowa, igihe bahaga kandi bagashyingirwa mu gihe nyir’izina umwuzure wo kurimbura wari ugiye kurengerera ibyifuzo byabo by’isi n’imigambi yabo.</w:t>
      </w:r>
    </w:p>
    <w:p>
      <w:pPr>
        <w:pStyle w:val="ArticleScripture"/>
        <w:jc w:val="left"/>
      </w:pPr>
      <w:r>
        <w:rPr>
          <w:rFonts w:ascii="Times New Roman" w:hAnsi="Times New Roman" w:eastAsia="Times New Roman" w:cs="Times New Roman"/>
        </w:rPr>
        <w:t>“Muandiko wa Leza ulumbula ukuti mu nshiku sha kulekelesha abantu bakaba abalefwilwa sana ku fintu fya pano nse, ku kusekelela no kufwaya impiya. Bakaba impofu ku bushinka bwa muyayaya. Kristu atila, ‘Nga filya inshiku shakwa Noa shaali, efyo no kwisa kwa Mwana wa muntu kukaba. Pantu nga mu nshiku ishaali ilyo ubushiku bwa mu mafula tabulaisa, baali ukulya no kunwa, ukuupa no kupelwa mu cupo, ukufika ku bushiku ubwaingililepo Noa mu bwato; kabili tabaishibe nangu panono ukufika ilyo aaya amenshi yaisa no kubasenda bonse; efyo no kwisa kwa Mwana wa muntu kukaba.’ Mateo 24:37–39.”</w:t>
      </w:r>
    </w:p>
    <w:p>
      <w:pPr>
        <w:pStyle w:val="ArticleScripture"/>
        <w:jc w:val="left"/>
      </w:pPr>
      <w:r>
        <w:rPr>
          <w:rFonts w:ascii="Times New Roman" w:hAnsi="Times New Roman" w:eastAsia="Times New Roman" w:cs="Times New Roman"/>
        </w:rPr>
        <w:t>“Nivy’ukya lelo. Abantu balebutukila mu kulonda inyungu no mu kwikunda okwabo, nk’aho ata Mana iriho, ata juru, kandi ata buzima bw’inyuma y’ubu. Mu minsi ya Nowa, imburi y’umwuzure yararungitswe kugira ngo ihahamure abantu mu bugome bwabo kandi ibahamagare ukwihana. Uko ni ko n’ubutumwa bw’ukuza kwa Kristo kwegereje bwateguriwe gukangura abantu bakava mu kwibanda ku bintu vy’isi. Bugenewe kubakangura ngo bamenye ivy’ukuri vy’ibihe bidashira, kugira ngo bitabire ubutumire bwo ku meza y’Umwami.”</w:t>
      </w:r>
    </w:p>
    <w:p>
      <w:pPr>
        <w:pStyle w:val="ArticleScripture"/>
        <w:jc w:val="left"/>
      </w:pPr>
      <w:r>
        <w:rPr>
          <w:rFonts w:ascii="Times New Roman" w:hAnsi="Times New Roman" w:eastAsia="Times New Roman" w:cs="Times New Roman"/>
        </w:rPr>
        <w:t>“Looñg yii waññi ci xibaar bu baax bi mooy ñu ko jox àddina bépp—‘ci bépp xeet, ak giir, ak làmmiñ, ak xeet wu nekk ci nit ñi.’ Peeñu Yàlla 14:6. Bàyyi-bés bi mujj ci artu ak yërmande war na leerël suuf sépp ak ndam-lëram. War na jot ci nit ñépp ci seen xeeti bopp, ku bare alal ak ku néew alal, ku kawe ak ku suufe. ‘Demleen ci yoon yu mag yi ak ci wàll yi,’ la Kirist nee, ‘te gaawleen leen ñu dugg, ngir sama kër man a fees.’” Léebooni Kirist, 228.</w:t>
      </w:r>
    </w:p>
    <w:p>
      <w:pPr>
        <w:pStyle w:val="ArticleBody"/>
        <w:jc w:val="left"/>
      </w:pPr>
      <w:r>
        <w:rPr>
          <w:rFonts w:ascii="Times New Roman" w:hAnsi="Times New Roman" w:eastAsia="Times New Roman" w:cs="Times New Roman"/>
        </w:rPr>
        <w:t>Endi ey’okulabula esembayo essa kimu ku nsonga mu kitundu ekyakulembera. Obubaka obukiikiriziddwa ng’eddoboozi erivuganya “abantu bonna”, bwe Bujulizi Obulamu Emirembe n’Emirembe, obulaga obwetaavu okutuukiriza ebyetaagisa eby’Enjiri olw’okulokolebwa. Ekyetaagisa ekisooka eky’Enjiri ey’emirembe n’emirembe kwe kutya Katonda, era okutya okwo kusinziira ku mazima nti ebibi byaffe bye byateeka Kristo, Omwana wa Katonda omulamu, ku musaalaba.</w:t>
      </w:r>
    </w:p>
    <w:p>
      <w:pPr>
        <w:pStyle w:val="ArticleBody"/>
        <w:jc w:val="left"/>
      </w:pPr>
      <w:r>
        <w:rPr>
          <w:rFonts w:ascii="Times New Roman" w:hAnsi="Times New Roman" w:eastAsia="Times New Roman" w:cs="Times New Roman"/>
        </w:rPr>
        <w:t>Ubutumwa bwose bw’uwari intumwa i Yerusalemu mu myaka irindwi y’umurimo we bwagereranyaga ubutumwa bwiza bw’iteka ryose, ari bwo butumwa bwiza bumwe rwose bwatanzwe mu myaka irindwi Kristo yahamije isezerano na benshi kuva mu mwaka wa 27 kugeza mu mwaka wa 34. Kandi ni na bwo butumwa bwiza bw’iteka ryose butangazwa mu bihe bibiri bya nyuma by’iminsi y’imperuka, kandi bufitanye isano yihariye n’ubutumwa bw’imvura y’itumba, bukaba ari ubutumwa bwa Isilamu bwo “Bara ya gatatu.” Bugaragaza ishyirwaho ikimenyetso ry’abihumbi ijana na mirongo ine na bane, itandukanywa ry’ingano n’urumamfu, imimerere ya Lawodikiya y’urumamfu, n’imikoreshereze y’ubuhanuzi mu buryo butatu nk’ikimenyetso cy’uburyo bw’imikorere bw’imvura y’itumba, ari bwo “umurongo ku wundi murongo.”</w:t>
      </w:r>
    </w:p>
    <w:p>
      <w:pPr>
        <w:pStyle w:val="ArticleBody"/>
        <w:jc w:val="left"/>
      </w:pPr>
      <w:r>
        <w:rPr>
          <w:rFonts w:ascii="Times New Roman" w:hAnsi="Times New Roman" w:eastAsia="Times New Roman" w:cs="Times New Roman"/>
        </w:rPr>
        <w:t>Meseji ya myaka irindwi muri ayo mateka yashyizwe mu buryo bw’ubuhanuzi mu “minsi yo kwihorera” yari igice cy’ivugwa rya mbere rwose ry’ubutumwa bwa Kristo n’umurimo We, kandi ubutumwa Bwe n’umurimo We bigomba kuzongera gusubirwamo mu minsi y’imperuka n’ibihumbi ijana na mirongo ine na bine. Bityo bazamenyekanisha ubutumwa bwabo mu rwego rw’ubuhanuzi rw’“iminsi yo kwihorera kw’Imana”. Muri Bibiliya harimo ibyitegererezo bibiri by’“kwihorera” kw’Imana bihagarariwe mu Ijambo Ryayo: ukwihorera kwayo ku bwoko bwayo, ndetse n’ukwihorera kwayo ku banzi bayo.</w:t>
      </w:r>
    </w:p>
    <w:p>
      <w:pPr>
        <w:pStyle w:val="ArticleBody"/>
        <w:jc w:val="left"/>
      </w:pPr>
      <w:r>
        <w:rPr>
          <w:rFonts w:ascii="Times New Roman" w:hAnsi="Times New Roman" w:eastAsia="Times New Roman" w:cs="Times New Roman"/>
        </w:rPr>
        <w:t>“nyakati saba” za Mambo ya Walawi ishirini na sita zinaonyesha kisasi cha Mungu juu ya watu Wake waasi, na kisasi hicho kinajumuisha kukanyagwa halisi na kiroho kwa patakatifu na jeshi. Ndani ya ishara ya kukanyagwa kwa patakatifu na jeshi, ishara ya kisasi cha Mungu juu ya adui Zake nayo pia inawakilishwa. Katika siku za mwisho kisasi cha Mungu dhidi ya watu Wake kinawakilishwa kama kutapikwa nje kwa Uadventista wa Laodikia katika sheria ya Jumapili inayokaribia kuja. Katika alama hiyo ya njia kisasi Chake juu ya Babeli ya Kisasa nacho pia huanza.</w:t>
      </w:r>
    </w:p>
    <w:p>
      <w:pPr>
        <w:pStyle w:val="ArticleBody"/>
        <w:jc w:val="left"/>
      </w:pPr>
      <w:r>
        <w:rPr>
          <w:rFonts w:ascii="Times New Roman" w:hAnsi="Times New Roman" w:eastAsia="Times New Roman" w:cs="Times New Roman"/>
        </w:rPr>
        <w:t xml:space="preserve">Laodicean Adventism-ийн </w:t>
      </w:r>
      <w:r>
        <w:rPr>
          <w:rFonts w:ascii="Myanmar Text" w:hAnsi="Myanmar Text" w:eastAsia="Myanmar Text" w:cs="Myanmar Text"/>
        </w:rPr>
        <w:t>ဒိဋ္ဌဇီဝိတရှိသူများအပေါ်</w:t>
      </w:r>
      <w:r>
        <w:rPr>
          <w:rFonts w:ascii="Times New Roman" w:hAnsi="Times New Roman" w:eastAsia="Times New Roman" w:cs="Times New Roman"/>
        </w:rPr>
        <w:t xml:space="preserve"> </w:t>
      </w:r>
      <w:r>
        <w:rPr>
          <w:rFonts w:ascii="Myanmar Text" w:hAnsi="Myanmar Text" w:eastAsia="Myanmar Text" w:cs="Myanmar Text"/>
        </w:rPr>
        <w:t>ပြုလုပ်သည့်</w:t>
      </w:r>
      <w:r>
        <w:rPr>
          <w:rFonts w:ascii="Times New Roman" w:hAnsi="Times New Roman" w:eastAsia="Times New Roman" w:cs="Times New Roman"/>
        </w:rPr>
        <w:t xml:space="preserve"> </w:t>
      </w:r>
      <w:r>
        <w:rPr>
          <w:rFonts w:ascii="Myanmar Text" w:hAnsi="Myanmar Text" w:eastAsia="Myanmar Text" w:cs="Myanmar Text"/>
        </w:rPr>
        <w:t>စုံစမ်းစစ်ဆေးရေးတရားစီရင်ခြင်းနှင့်၊</w:t>
      </w:r>
      <w:r>
        <w:rPr>
          <w:rFonts w:ascii="Times New Roman" w:hAnsi="Times New Roman" w:eastAsia="Times New Roman" w:cs="Times New Roman"/>
        </w:rPr>
        <w:t xml:space="preserve"> </w:t>
      </w:r>
      <w:r>
        <w:rPr>
          <w:rFonts w:ascii="Myanmar Text" w:hAnsi="Myanmar Text" w:eastAsia="Myanmar Text" w:cs="Myanmar Text"/>
        </w:rPr>
        <w:t>ထိုအရာနောက်</w:t>
      </w:r>
      <w:r>
        <w:rPr>
          <w:rFonts w:ascii="Times New Roman" w:hAnsi="Times New Roman" w:eastAsia="Times New Roman" w:cs="Times New Roman"/>
        </w:rPr>
        <w:t xml:space="preserve"> </w:t>
      </w:r>
      <w:r>
        <w:rPr>
          <w:rFonts w:ascii="Myanmar Text" w:hAnsi="Myanmar Text" w:eastAsia="Myanmar Text" w:cs="Myanmar Text"/>
        </w:rPr>
        <w:t>ဆိုးညစ်သော</w:t>
      </w:r>
      <w:r>
        <w:rPr>
          <w:rFonts w:ascii="Times New Roman" w:hAnsi="Times New Roman" w:eastAsia="Times New Roman" w:cs="Times New Roman"/>
        </w:rPr>
        <w:t xml:space="preserve"> </w:t>
      </w:r>
      <w:r>
        <w:rPr>
          <w:rFonts w:ascii="Myanmar Text" w:hAnsi="Myanmar Text" w:eastAsia="Myanmar Text" w:cs="Myanmar Text"/>
        </w:rPr>
        <w:t>တိုင်ရုမြို့၏</w:t>
      </w:r>
      <w:r>
        <w:rPr>
          <w:rFonts w:ascii="Times New Roman" w:hAnsi="Times New Roman" w:eastAsia="Times New Roman" w:cs="Times New Roman"/>
        </w:rPr>
        <w:t xml:space="preserve"> </w:t>
      </w:r>
      <w:r>
        <w:rPr>
          <w:rFonts w:ascii="Myanmar Text" w:hAnsi="Myanmar Text" w:eastAsia="Myanmar Text" w:cs="Myanmar Text"/>
        </w:rPr>
        <w:t>ပြည့်တန်ဆာမိန်းမနှင့်</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စီးနင်း၍</w:t>
      </w:r>
      <w:r>
        <w:rPr>
          <w:rFonts w:ascii="Times New Roman" w:hAnsi="Times New Roman" w:eastAsia="Times New Roman" w:cs="Times New Roman"/>
        </w:rPr>
        <w:t xml:space="preserve"> </w:t>
      </w:r>
      <w:r>
        <w:rPr>
          <w:rFonts w:ascii="Myanmar Text" w:hAnsi="Myanmar Text" w:eastAsia="Myanmar Text" w:cs="Myanmar Text"/>
        </w:rPr>
        <w:t>အုပ်စိုးလျက်ရှိသော</w:t>
      </w:r>
      <w:r>
        <w:rPr>
          <w:rFonts w:ascii="Times New Roman" w:hAnsi="Times New Roman" w:eastAsia="Times New Roman" w:cs="Times New Roman"/>
        </w:rPr>
        <w:t xml:space="preserve"> </w:t>
      </w:r>
      <w:r>
        <w:rPr>
          <w:rFonts w:ascii="Myanmar Text" w:hAnsi="Myanmar Text" w:eastAsia="Myanmar Text" w:cs="Myanmar Text"/>
        </w:rPr>
        <w:t>သားရဲအပေါ်</w:t>
      </w:r>
      <w:r>
        <w:rPr>
          <w:rFonts w:ascii="Times New Roman" w:hAnsi="Times New Roman" w:eastAsia="Times New Roman" w:cs="Times New Roman"/>
        </w:rPr>
        <w:t xml:space="preserve"> </w:t>
      </w:r>
      <w:r>
        <w:rPr>
          <w:rFonts w:ascii="Myanmar Text" w:hAnsi="Myanmar Text" w:eastAsia="Myanmar Text" w:cs="Myanmar Text"/>
        </w:rPr>
        <w:t>ပြုလုပ်သည့်</w:t>
      </w:r>
      <w:r>
        <w:rPr>
          <w:rFonts w:ascii="Times New Roman" w:hAnsi="Times New Roman" w:eastAsia="Times New Roman" w:cs="Times New Roman"/>
        </w:rPr>
        <w:t xml:space="preserve"> </w:t>
      </w:r>
      <w:r>
        <w:rPr>
          <w:rFonts w:ascii="Myanmar Text" w:hAnsi="Myanmar Text" w:eastAsia="Myanmar Text" w:cs="Myanmar Text"/>
        </w:rPr>
        <w:t>အကောင်အထည်ဖော်တရားစီရင်ခြင်းတို့သည်၊</w:t>
      </w:r>
      <w:r>
        <w:rPr>
          <w:rFonts w:ascii="Times New Roman" w:hAnsi="Times New Roman" w:eastAsia="Times New Roman" w:cs="Times New Roman"/>
        </w:rPr>
        <w:t xml:space="preserve"> </w:t>
      </w:r>
      <w:r>
        <w:rPr>
          <w:rFonts w:ascii="Myanmar Text" w:hAnsi="Myanmar Text" w:eastAsia="Myanmar Text" w:cs="Myanmar Text"/>
        </w:rPr>
        <w:t>ရူပါရုံတိုင်း၏</w:t>
      </w:r>
      <w:r>
        <w:rPr>
          <w:rFonts w:ascii="Times New Roman" w:hAnsi="Times New Roman" w:eastAsia="Times New Roman" w:cs="Times New Roman"/>
        </w:rPr>
        <w:t xml:space="preserve"> </w:t>
      </w:r>
      <w:r>
        <w:rPr>
          <w:rFonts w:ascii="Myanmar Text" w:hAnsi="Myanmar Text" w:eastAsia="Myanmar Text" w:cs="Myanmar Text"/>
        </w:rPr>
        <w:t>အကျိုးသက်ရောက်မှု</w:t>
      </w:r>
      <w:r>
        <w:rPr>
          <w:rFonts w:ascii="Times New Roman" w:hAnsi="Times New Roman" w:eastAsia="Times New Roman" w:cs="Times New Roman"/>
        </w:rPr>
        <w:t xml:space="preserve"> </w:t>
      </w:r>
      <w:r>
        <w:rPr>
          <w:rFonts w:ascii="Myanmar Text" w:hAnsi="Myanmar Text" w:eastAsia="Myanmar Text" w:cs="Myanmar Text"/>
        </w:rPr>
        <w:t>ပြည့်စုံအကောင်အထည်ဖော်လျက်ရှိသော</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ပရောဖက်ပြုသမိုင်းဖြစ်သည်။</w:t>
      </w:r>
      <w:r>
        <w:rPr>
          <w:rFonts w:ascii="Times New Roman" w:hAnsi="Times New Roman" w:eastAsia="Times New Roman" w:cs="Times New Roman"/>
        </w:rPr>
        <w:t xml:space="preserve"> </w:t>
      </w:r>
      <w:r>
        <w:rPr>
          <w:rFonts w:ascii="Myanmar Text" w:hAnsi="Myanmar Text" w:eastAsia="Myanmar Text" w:cs="Myanmar Text"/>
        </w:rPr>
        <w:t>ရူပါရုံတိုင်းကို</w:t>
      </w:r>
      <w:r>
        <w:rPr>
          <w:rFonts w:ascii="Times New Roman" w:hAnsi="Times New Roman" w:eastAsia="Times New Roman" w:cs="Times New Roman"/>
        </w:rPr>
        <w:t xml:space="preserve"> </w:t>
      </w:r>
      <w:r>
        <w:rPr>
          <w:rFonts w:ascii="Myanmar Text" w:hAnsi="Myanmar Text" w:eastAsia="Myanmar Text" w:cs="Myanmar Text"/>
        </w:rPr>
        <w:t>ထိုပရောဖက်ပြုကာလနှစ်ခု၌သာ</w:t>
      </w:r>
      <w:r>
        <w:rPr>
          <w:rFonts w:ascii="Times New Roman" w:hAnsi="Times New Roman" w:eastAsia="Times New Roman" w:cs="Times New Roman"/>
        </w:rPr>
        <w:t xml:space="preserve"> </w:t>
      </w:r>
      <w:r>
        <w:rPr>
          <w:rFonts w:ascii="Myanmar Text" w:hAnsi="Myanmar Text" w:eastAsia="Myanmar Text" w:cs="Myanmar Text"/>
        </w:rPr>
        <w:t>အသုံးချရမည်ဖြစ်သည်၊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နည်းစနစ်သည်</w:t>
      </w:r>
      <w:r>
        <w:rPr>
          <w:rFonts w:ascii="Times New Roman" w:hAnsi="Times New Roman" w:eastAsia="Times New Roman" w:cs="Times New Roman"/>
        </w:rPr>
        <w:t xml:space="preserve"> </w:t>
      </w:r>
      <w:r>
        <w:rPr>
          <w:rFonts w:ascii="Myanmar Text" w:hAnsi="Myanmar Text" w:eastAsia="Myanmar Text" w:cs="Myanmar Text"/>
        </w:rPr>
        <w:t>ပရောဖက်ပြုလိုင်းပေါ်၌</w:t>
      </w:r>
      <w:r>
        <w:rPr>
          <w:rFonts w:ascii="Times New Roman" w:hAnsi="Times New Roman" w:eastAsia="Times New Roman" w:cs="Times New Roman"/>
        </w:rPr>
        <w:t xml:space="preserve"> </w:t>
      </w:r>
      <w:r>
        <w:rPr>
          <w:rFonts w:ascii="Myanmar Text" w:hAnsi="Myanmar Text" w:eastAsia="Myanmar Text" w:cs="Myanmar Text"/>
        </w:rPr>
        <w:t>ပရောဖက်ပြုလိုင်းကို</w:t>
      </w:r>
      <w:r>
        <w:rPr>
          <w:rFonts w:ascii="Times New Roman" w:hAnsi="Times New Roman" w:eastAsia="Times New Roman" w:cs="Times New Roman"/>
        </w:rPr>
        <w:t xml:space="preserve"> </w:t>
      </w:r>
      <w:r>
        <w:rPr>
          <w:rFonts w:ascii="Myanmar Text" w:hAnsi="Myanmar Text" w:eastAsia="Myanmar Text" w:cs="Myanmar Text"/>
        </w:rPr>
        <w:t>အသုံးချခြင်းဖြစ်သောကြောင့်ဖြစ်သည်။</w:t>
      </w:r>
      <w:r>
        <w:rPr>
          <w:rFonts w:ascii="Times New Roman" w:hAnsi="Times New Roman" w:eastAsia="Times New Roman" w:cs="Times New Roman"/>
        </w:rPr>
        <w:t xml:space="preserve"> </w:t>
      </w:r>
      <w:r>
        <w:rPr>
          <w:rFonts w:ascii="Myanmar Text" w:hAnsi="Myanmar Text" w:eastAsia="Myanmar Text" w:cs="Myanmar Text"/>
        </w:rPr>
        <w:t>ထိုသမိုင်းနှစ်ခု၏</w:t>
      </w:r>
      <w:r>
        <w:rPr>
          <w:rFonts w:ascii="Times New Roman" w:hAnsi="Times New Roman" w:eastAsia="Times New Roman" w:cs="Times New Roman"/>
        </w:rPr>
        <w:t xml:space="preserve"> </w:t>
      </w:r>
      <w:r>
        <w:rPr>
          <w:rFonts w:ascii="Myanmar Text" w:hAnsi="Myanmar Text" w:eastAsia="Myanmar Text" w:cs="Myanmar Text"/>
        </w:rPr>
        <w:t>အစတွင်</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w:t>
      </w:r>
      <w:r>
        <w:rPr>
          <w:rFonts w:ascii="Myanmar Text" w:hAnsi="Myanmar Text" w:eastAsia="Myanmar Text" w:cs="Myanmar Text"/>
        </w:rPr>
        <w:t>အသက်ရှင်လျက်ရှိသူများသည်</w:t>
      </w:r>
      <w:r>
        <w:rPr>
          <w:rFonts w:ascii="Times New Roman" w:hAnsi="Times New Roman" w:eastAsia="Times New Roman" w:cs="Times New Roman"/>
        </w:rPr>
        <w:t xml:space="preserve"> </w:t>
      </w:r>
      <w:r>
        <w:rPr>
          <w:rFonts w:ascii="Myanmar Text" w:hAnsi="Myanmar Text" w:eastAsia="Myanmar Text" w:cs="Myanmar Text"/>
        </w:rPr>
        <w:t>ကမ္ဘာမြေသမိုင်း၏</w:t>
      </w:r>
      <w:r>
        <w:rPr>
          <w:rFonts w:ascii="Times New Roman" w:hAnsi="Times New Roman" w:eastAsia="Times New Roman" w:cs="Times New Roman"/>
        </w:rPr>
        <w:t xml:space="preserve"> </w:t>
      </w:r>
      <w:r>
        <w:rPr>
          <w:rFonts w:ascii="Myanmar Text" w:hAnsi="Myanmar Text" w:eastAsia="Myanmar Text" w:cs="Myanmar Text"/>
        </w:rPr>
        <w:t>နောက်ဆုံးမျိုးဆက်အတွင်း</w:t>
      </w:r>
      <w:r>
        <w:rPr>
          <w:rFonts w:ascii="Times New Roman" w:hAnsi="Times New Roman" w:eastAsia="Times New Roman" w:cs="Times New Roman"/>
        </w:rPr>
        <w:t xml:space="preserve"> </w:t>
      </w:r>
      <w:r>
        <w:rPr>
          <w:rFonts w:ascii="Myanmar Text" w:hAnsi="Myanmar Text" w:eastAsia="Myanmar Text" w:cs="Myanmar Text"/>
        </w:rPr>
        <w:t>ရှိကြသည်ကို</w:t>
      </w:r>
      <w:r>
        <w:rPr>
          <w:rFonts w:ascii="Times New Roman" w:hAnsi="Times New Roman" w:eastAsia="Times New Roman" w:cs="Times New Roman"/>
        </w:rPr>
        <w:t xml:space="preserve"> </w:t>
      </w:r>
      <w:r>
        <w:rPr>
          <w:rFonts w:ascii="Myanmar Text" w:hAnsi="Myanmar Text" w:eastAsia="Myanmar Text" w:cs="Myanmar Text"/>
        </w:rPr>
        <w:t>သက်သေပြသော</w:t>
      </w:r>
      <w:r>
        <w:rPr>
          <w:rFonts w:ascii="Times New Roman" w:hAnsi="Times New Roman" w:eastAsia="Times New Roman" w:cs="Times New Roman"/>
        </w:rPr>
        <w:t xml:space="preserve"> “</w:t>
      </w:r>
      <w:r>
        <w:rPr>
          <w:rFonts w:ascii="Myanmar Text" w:hAnsi="Myanmar Text" w:eastAsia="Myanmar Text" w:cs="Myanmar Text"/>
        </w:rPr>
        <w:t>နိမိတ်လက္ခဏာ</w:t>
      </w:r>
      <w:r>
        <w:rPr>
          <w:rFonts w:ascii="Times New Roman" w:hAnsi="Times New Roman" w:eastAsia="Times New Roman" w:cs="Times New Roman"/>
        </w:rPr>
        <w:t xml:space="preserve">” </w:t>
      </w:r>
      <w:r>
        <w:rPr>
          <w:rFonts w:ascii="Myanmar Text" w:hAnsi="Myanmar Text" w:eastAsia="Myanmar Text" w:cs="Myanmar Text"/>
        </w:rPr>
        <w:t>တစ်ရပ်ကို</w:t>
      </w:r>
      <w:r>
        <w:rPr>
          <w:rFonts w:ascii="Times New Roman" w:hAnsi="Times New Roman" w:eastAsia="Times New Roman" w:cs="Times New Roman"/>
        </w:rPr>
        <w:t xml:space="preserve"> </w:t>
      </w:r>
      <w:r>
        <w:rPr>
          <w:rFonts w:ascii="Myanmar Text" w:hAnsi="Myanmar Text" w:eastAsia="Myanmar Text" w:cs="Myanmar Text"/>
        </w:rPr>
        <w:t>ဖော်ထုတ်သတ်မှတ်တော်မူခဲ့သည်။</w:t>
      </w:r>
    </w:p>
    <w:p>
      <w:pPr>
        <w:pStyle w:val="ArticleBody"/>
        <w:jc w:val="left"/>
      </w:pPr>
      <w:r>
        <w:rPr>
          <w:rFonts w:ascii="Times New Roman" w:hAnsi="Times New Roman" w:eastAsia="Times New Roman" w:cs="Times New Roman"/>
        </w:rPr>
        <w:t>Ukahulo wa ntete waalombweleho panze ukutimbilila kwa baana ba pa maelufu umwanda umo na makumi yane na bane pa Septemba 11, 2001. Muli iyo waymark ni mo mwaikishilwe “echishininkisho” icho Kristi aishile mu Luka 21.</w:t>
      </w:r>
    </w:p>
    <w:p>
      <w:pPr>
        <w:pStyle w:val="ArticleBody"/>
        <w:jc w:val="left"/>
      </w:pPr>
      <w:r>
        <w:rPr>
          <w:rFonts w:ascii="Times New Roman" w:hAnsi="Times New Roman" w:eastAsia="Times New Roman" w:cs="Times New Roman"/>
        </w:rPr>
        <w:t>Katika makala inayofuata tutaendelea na somo hili.</w:t>
      </w:r>
    </w:p>
    <w:p>
      <w:pPr>
        <w:pStyle w:val="ArticleScripture"/>
        <w:jc w:val="left"/>
      </w:pPr>
      <w:r>
        <w:rPr>
          <w:rFonts w:ascii="Times New Roman" w:hAnsi="Times New Roman" w:eastAsia="Times New Roman" w:cs="Times New Roman"/>
        </w:rPr>
        <w:t>“</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ਭਰਾਵੋ</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ਥਾਂ</w:t>
      </w:r>
      <w:r>
        <w:rPr>
          <w:rFonts w:ascii="Times New Roman" w:hAnsi="Times New Roman" w:eastAsia="Times New Roman" w:cs="Times New Roman"/>
        </w:rPr>
        <w:t xml:space="preserve"> </w:t>
      </w:r>
      <w:r>
        <w:rPr>
          <w:rFonts w:ascii="Nirmala UI" w:hAnsi="Nirmala UI" w:eastAsia="Nirmala UI" w:cs="Nirmala UI"/>
        </w:rPr>
        <w:t>ਲਵੀਂਏ</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ਲਾਲਟੈਨ</w:t>
      </w:r>
      <w:r>
        <w:rPr>
          <w:rFonts w:ascii="Times New Roman" w:hAnsi="Times New Roman" w:eastAsia="Times New Roman" w:cs="Times New Roman"/>
        </w:rPr>
        <w:t xml:space="preserve"> </w:t>
      </w:r>
      <w:r>
        <w:rPr>
          <w:rFonts w:ascii="Nirmala UI" w:hAnsi="Nirmala UI" w:eastAsia="Nirmala UI" w:cs="Nirmala UI"/>
        </w:rPr>
        <w:t>ਢੋ</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ਥਾਂ</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ਲੈਣੀ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ਚਾਨਣ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ਨਿਸ਼ਚਿਤ</w:t>
      </w:r>
      <w:r>
        <w:rPr>
          <w:rFonts w:ascii="Times New Roman" w:hAnsi="Times New Roman" w:eastAsia="Times New Roman" w:cs="Times New Roman"/>
        </w:rPr>
        <w:t xml:space="preserve"> </w:t>
      </w:r>
      <w:r>
        <w:rPr>
          <w:rFonts w:ascii="Nirmala UI" w:hAnsi="Nirmala UI" w:eastAsia="Nirmala UI" w:cs="Nirmala UI"/>
        </w:rPr>
        <w:t>ਧੁਨ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ਨਿਸ਼ਚਿਤ</w:t>
      </w:r>
      <w:r>
        <w:rPr>
          <w:rFonts w:ascii="Times New Roman" w:hAnsi="Times New Roman" w:eastAsia="Times New Roman" w:cs="Times New Roman"/>
        </w:rPr>
        <w:t xml:space="preserve"> </w:t>
      </w:r>
      <w:r>
        <w:rPr>
          <w:rFonts w:ascii="Nirmala UI" w:hAnsi="Nirmala UI" w:eastAsia="Nirmala UI" w:cs="Nirmala UI"/>
        </w:rPr>
        <w:t>ਧੁਨ</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ਉਲਝਣ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ਸੰਦੇਹ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ਕਲੀਸਿਆਵਾਂ</w:t>
      </w:r>
      <w:r>
        <w:rPr>
          <w:rFonts w:ascii="Times New Roman" w:hAnsi="Times New Roman" w:eastAsia="Times New Roman" w:cs="Times New Roman"/>
        </w:rPr>
        <w:t xml:space="preserve"> </w:t>
      </w:r>
      <w:r>
        <w:rPr>
          <w:rFonts w:ascii="Nirmala UI" w:hAnsi="Nirmala UI" w:eastAsia="Nirmala UI" w:cs="Nirmala UI"/>
        </w:rPr>
        <w:t>ਮਰਨ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ਇੱਥੇ</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ਪੜ੍ਹਦੇ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ਸੁਰਗ</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ਉਤਰਦਾ</w:t>
      </w:r>
      <w:r>
        <w:rPr>
          <w:rFonts w:ascii="Times New Roman" w:hAnsi="Times New Roman" w:eastAsia="Times New Roman" w:cs="Times New Roman"/>
        </w:rPr>
        <w:t xml:space="preserve"> </w:t>
      </w:r>
      <w:r>
        <w:rPr>
          <w:rFonts w:ascii="Nirmala UI" w:hAnsi="Nirmala UI" w:eastAsia="Nirmala UI" w:cs="Nirmala UI"/>
        </w:rPr>
        <w:t>ਵੇਖਿਆ</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ਪ੍ਰਕਾਸ਼ਿਤ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ਬਲਵਾਨ</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ਡਿੱਗ</w:t>
      </w:r>
      <w:r>
        <w:rPr>
          <w:rFonts w:ascii="Times New Roman" w:hAnsi="Times New Roman" w:eastAsia="Times New Roman" w:cs="Times New Roman"/>
        </w:rPr>
        <w:t xml:space="preserve"> </w:t>
      </w:r>
      <w:r>
        <w:rPr>
          <w:rFonts w:ascii="Nirmala UI" w:hAnsi="Nirmala UI" w:eastAsia="Nirmala UI" w:cs="Nirmala UI"/>
        </w:rPr>
        <w:t>ਪਿਆ</w:t>
      </w:r>
      <w:r>
        <w:rPr>
          <w:rFonts w:ascii="Times New Roman" w:hAnsi="Times New Roman" w:eastAsia="Times New Roman" w:cs="Times New Roman"/>
        </w:rPr>
        <w:t xml:space="preserve">, </w:t>
      </w:r>
      <w:r>
        <w:rPr>
          <w:rFonts w:ascii="Nirmala UI" w:hAnsi="Nirmala UI" w:eastAsia="Nirmala UI" w:cs="Nirmala UI"/>
        </w:rPr>
        <w:t>ਡਿੱਗ</w:t>
      </w:r>
      <w:r>
        <w:rPr>
          <w:rFonts w:ascii="Times New Roman" w:hAnsi="Times New Roman" w:eastAsia="Times New Roman" w:cs="Times New Roman"/>
        </w:rPr>
        <w:t xml:space="preserve"> </w:t>
      </w:r>
      <w:r>
        <w:rPr>
          <w:rFonts w:ascii="Nirmala UI" w:hAnsi="Nirmala UI" w:eastAsia="Nirmala UI" w:cs="Nirmala UI"/>
        </w:rPr>
        <w:t>ਪਿਆ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ਨਿਵਾਸ</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ਅਸ਼ੁੱਧ</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ਅੱਡਾ</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ਅਸ਼ੁੱਧ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ਘਿਨਾਉਣੇ</w:t>
      </w:r>
      <w:r>
        <w:rPr>
          <w:rFonts w:ascii="Times New Roman" w:hAnsi="Times New Roman" w:eastAsia="Times New Roman" w:cs="Times New Roman"/>
        </w:rPr>
        <w:t xml:space="preserve"> </w:t>
      </w:r>
      <w:r>
        <w:rPr>
          <w:rFonts w:ascii="Nirmala UI" w:hAnsi="Nirmala UI" w:eastAsia="Nirmala UI" w:cs="Nirmala UI"/>
        </w:rPr>
        <w:t>ਪੰਛੀ</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ਪਿੰਜਰਾ</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18:1, 2]</w:t>
      </w:r>
      <w:r>
        <w:rPr>
          <w:rFonts w:ascii="Nirmala UI" w:hAnsi="Nirmala UI" w:eastAsia="Nirmala UI" w:cs="Nirmala UI"/>
        </w:rPr>
        <w:t>।</w:t>
      </w:r>
    </w:p>
    <w:p>
      <w:pPr>
        <w:pStyle w:val="ArticleScripture"/>
        <w:jc w:val="left"/>
      </w:pPr>
      <w:r>
        <w:rPr>
          <w:rFonts w:ascii="Times New Roman" w:hAnsi="Times New Roman" w:eastAsia="Times New Roman" w:cs="Times New Roman"/>
        </w:rPr>
        <w:t>“Ndzi ri ke, xana hi ta swi tivisa ku yini hi ta ku yini hi rungula rero loko hi nga ri eka xiyimo xo lemuka nchumu na wun’we wa ku vonakala ka le tilweni loko ku fika eka hina? Naswona hi ta hatla hi amukela vuxisi lebyi nga bya munyama lowukulu loko byi fika eka hina hi munhu loyi a pfumanaka na hina, loko hi nga ri na xiphemu ni xin’we xa vumbhoni leswaku Moya wa Xikwembu hi wona wu n’wi rhumeke. Kreste u te, ‘Ndzi ta hi vito ra Tatana wa mina, kambe a mi ndzi amukeli’ [vona Yohane 5:43]. Kutani, wona lowo hi wona ntirho lowu wu yaka emahlweni laha ku sukela enhlanganweni wa le Minneapolis. Hikuva Xikwembu xi rhumela rungula hi vito ra xona leri nga pfumalaniki ni mianakanyo ya n’wina, hikwalaho [mi gimeta hi ku vula leswaku] a ri nge vi rungula leri humaka eka Xikwembu.” Sermons and Talks, volume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Kumi na Nane</dc:title>
  <dc:subject>Îqdara Pêşbînîyê bo Orşelîmê: Wêneyek Sembolik a Bûyerên Dawiya Demê</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