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Buchu bwa Danieri - Namba Ikumi na Ibbiri</w:t>
      </w:r>
    </w:p>
    <w:p>
      <w:pPr>
        <w:pStyle w:val="ArticleSubtitle"/>
        <w:jc w:val="left"/>
      </w:pPr>
      <w:r>
        <w:rPr>
          <w:rFonts w:ascii="Arial" w:hAnsi="Arial" w:eastAsia="Arial" w:cs="Arial"/>
        </w:rPr>
        <w:t>Ubwiza bw’umwijima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Peyvekek gotinek kuşandin ku gotineya îlhambaxş de du caran tê dubarekirin, nîşaneya peyama milyaketa duyemîn e.</w:t>
      </w:r>
    </w:p>
    <w:p>
      <w:pPr>
        <w:pStyle w:val="ArticleScripture"/>
        <w:jc w:val="left"/>
      </w:pP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ಆಳ್ವಿಕೆಯ</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ವರ್ಷದಲ್ಲಿ</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ಕನಸುಗಳನ್ನು</w:t>
      </w:r>
      <w:r>
        <w:rPr>
          <w:rFonts w:ascii="Times New Roman" w:hAnsi="Times New Roman" w:eastAsia="Times New Roman" w:cs="Times New Roman"/>
        </w:rPr>
        <w:t xml:space="preserve"> </w:t>
      </w:r>
      <w:r>
        <w:rPr>
          <w:rFonts w:ascii="Nirmala UI" w:hAnsi="Nirmala UI" w:eastAsia="Nirmala UI" w:cs="Nirmala UI"/>
        </w:rPr>
        <w:t>ಕಂಡನು</w:t>
      </w:r>
      <w:r>
        <w:rPr>
          <w:rFonts w:ascii="Times New Roman" w:hAnsi="Times New Roman" w:eastAsia="Times New Roman" w:cs="Times New Roman"/>
        </w:rPr>
        <w:t xml:space="preserve">; </w:t>
      </w:r>
      <w:r>
        <w:rPr>
          <w:rFonts w:ascii="Nirmala UI" w:hAnsi="Nirmala UI" w:eastAsia="Nirmala UI" w:cs="Nirmala UI"/>
        </w:rPr>
        <w:t>ಅವುಗಳಿಂದ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ಆತ್ಮವು</w:t>
      </w:r>
      <w:r>
        <w:rPr>
          <w:rFonts w:ascii="Times New Roman" w:hAnsi="Times New Roman" w:eastAsia="Times New Roman" w:cs="Times New Roman"/>
        </w:rPr>
        <w:t xml:space="preserve"> </w:t>
      </w:r>
      <w:r>
        <w:rPr>
          <w:rFonts w:ascii="Nirmala UI" w:hAnsi="Nirmala UI" w:eastAsia="Nirmala UI" w:cs="Nirmala UI"/>
        </w:rPr>
        <w:t>ಕಲಕಿತವಾಯಿತು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ನಿದ್ರೆಯು</w:t>
      </w:r>
      <w:r>
        <w:rPr>
          <w:rFonts w:ascii="Times New Roman" w:hAnsi="Times New Roman" w:eastAsia="Times New Roman" w:cs="Times New Roman"/>
        </w:rPr>
        <w:t xml:space="preserve"> </w:t>
      </w:r>
      <w:r>
        <w:rPr>
          <w:rFonts w:ascii="Nirmala UI" w:hAnsi="Nirmala UI" w:eastAsia="Nirmala UI" w:cs="Nirmala UI"/>
        </w:rPr>
        <w:t>ಅವನನ್ನು</w:t>
      </w:r>
      <w:r>
        <w:rPr>
          <w:rFonts w:ascii="Times New Roman" w:hAnsi="Times New Roman" w:eastAsia="Times New Roman" w:cs="Times New Roman"/>
        </w:rPr>
        <w:t xml:space="preserve"> </w:t>
      </w:r>
      <w:r>
        <w:rPr>
          <w:rFonts w:ascii="Nirmala UI" w:hAnsi="Nirmala UI" w:eastAsia="Nirmala UI" w:cs="Nirmala UI"/>
        </w:rPr>
        <w:t>ಬಿಟ್ಟುಹೋಯಿತು</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ಮಂತ್ರಿಕರನ್ನು</w:t>
      </w:r>
      <w:r>
        <w:rPr>
          <w:rFonts w:ascii="Times New Roman" w:hAnsi="Times New Roman" w:eastAsia="Times New Roman" w:cs="Times New Roman"/>
        </w:rPr>
        <w:t xml:space="preserve">, </w:t>
      </w:r>
      <w:r>
        <w:rPr>
          <w:rFonts w:ascii="Nirmala UI" w:hAnsi="Nirmala UI" w:eastAsia="Nirmala UI" w:cs="Nirmala UI"/>
        </w:rPr>
        <w:t>ಜ್ಯೋತಿಷಿಗಳನ್ನು</w:t>
      </w:r>
      <w:r>
        <w:rPr>
          <w:rFonts w:ascii="Times New Roman" w:hAnsi="Times New Roman" w:eastAsia="Times New Roman" w:cs="Times New Roman"/>
        </w:rPr>
        <w:t xml:space="preserve">, </w:t>
      </w:r>
      <w:r>
        <w:rPr>
          <w:rFonts w:ascii="Nirmala UI" w:hAnsi="Nirmala UI" w:eastAsia="Nirmala UI" w:cs="Nirmala UI"/>
        </w:rPr>
        <w:t>ಮಾಂತ್ರಿಕರನ್ನು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ಕಲ್ದಾಯರನ್ನು</w:t>
      </w:r>
      <w:r>
        <w:rPr>
          <w:rFonts w:ascii="Times New Roman" w:hAnsi="Times New Roman" w:eastAsia="Times New Roman" w:cs="Times New Roman"/>
        </w:rPr>
        <w:t xml:space="preserve"> </w:t>
      </w:r>
      <w:r>
        <w:rPr>
          <w:rFonts w:ascii="Nirmala UI" w:hAnsi="Nirmala UI" w:eastAsia="Nirmala UI" w:cs="Nirmala UI"/>
        </w:rPr>
        <w:t>ಕರೆಯಿಸಬೇಕೆಂದು</w:t>
      </w:r>
      <w:r>
        <w:rPr>
          <w:rFonts w:ascii="Times New Roman" w:hAnsi="Times New Roman" w:eastAsia="Times New Roman" w:cs="Times New Roman"/>
        </w:rPr>
        <w:t xml:space="preserve"> </w:t>
      </w:r>
      <w:r>
        <w:rPr>
          <w:rFonts w:ascii="Nirmala UI" w:hAnsi="Nirmala UI" w:eastAsia="Nirmala UI" w:cs="Nirmala UI"/>
        </w:rPr>
        <w:t>ಆಜ್ಞಾಪಿಸಿದನು</w:t>
      </w:r>
      <w:r>
        <w:rPr>
          <w:rFonts w:ascii="Times New Roman" w:hAnsi="Times New Roman" w:eastAsia="Times New Roman" w:cs="Times New Roman"/>
        </w:rPr>
        <w:t xml:space="preserve">, </w:t>
      </w:r>
      <w:r>
        <w:rPr>
          <w:rFonts w:ascii="Nirmala UI" w:hAnsi="Nirmala UI" w:eastAsia="Nirmala UI" w:cs="Nirmala UI"/>
        </w:rPr>
        <w:t>ರಾಜನಿಗೆ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ಕನಸುಗಳನ್ನು</w:t>
      </w:r>
      <w:r>
        <w:rPr>
          <w:rFonts w:ascii="Times New Roman" w:hAnsi="Times New Roman" w:eastAsia="Times New Roman" w:cs="Times New Roman"/>
        </w:rPr>
        <w:t xml:space="preserve"> </w:t>
      </w:r>
      <w:r>
        <w:rPr>
          <w:rFonts w:ascii="Nirmala UI" w:hAnsi="Nirmala UI" w:eastAsia="Nirmala UI" w:cs="Nirmala UI"/>
        </w:rPr>
        <w:t>ತಿಳಿಸಲೆಂದು</w:t>
      </w:r>
      <w:r>
        <w:rPr>
          <w:rFonts w:ascii="Times New Roman" w:hAnsi="Times New Roman" w:eastAsia="Times New Roman" w:cs="Times New Roman"/>
        </w:rPr>
        <w:t xml:space="preserve">. </w:t>
      </w:r>
      <w:r>
        <w:rPr>
          <w:rFonts w:ascii="Nirmala UI" w:hAnsi="Nirmala UI" w:eastAsia="Nirmala UI" w:cs="Nirmala UI"/>
        </w:rPr>
        <w:t>ಹೀಗಾಗಿ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ಸಮ್ಮುಖದಲ್ಲಿ</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ಹೇಳಿದನು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ಕನಸನ್ನು</w:t>
      </w:r>
      <w:r>
        <w:rPr>
          <w:rFonts w:ascii="Times New Roman" w:hAnsi="Times New Roman" w:eastAsia="Times New Roman" w:cs="Times New Roman"/>
        </w:rPr>
        <w:t xml:space="preserve"> </w:t>
      </w:r>
      <w:r>
        <w:rPr>
          <w:rFonts w:ascii="Nirmala UI" w:hAnsi="Nirmala UI" w:eastAsia="Nirmala UI" w:cs="Nirmala UI"/>
        </w:rPr>
        <w:t>ಕಂಡಿದ್ದೇನೆ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ಕನಸನ್ನು</w:t>
      </w:r>
      <w:r>
        <w:rPr>
          <w:rFonts w:ascii="Times New Roman" w:hAnsi="Times New Roman" w:eastAsia="Times New Roman" w:cs="Times New Roman"/>
        </w:rPr>
        <w:t xml:space="preserve"> </w:t>
      </w:r>
      <w:r>
        <w:rPr>
          <w:rFonts w:ascii="Nirmala UI" w:hAnsi="Nirmala UI" w:eastAsia="Nirmala UI" w:cs="Nirmala UI"/>
        </w:rPr>
        <w:t>ತಿಳಿದುಕೊಳ್ಳಬೇಕೆಂದು</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ಆತ್ಮವು</w:t>
      </w:r>
      <w:r>
        <w:rPr>
          <w:rFonts w:ascii="Times New Roman" w:hAnsi="Times New Roman" w:eastAsia="Times New Roman" w:cs="Times New Roman"/>
        </w:rPr>
        <w:t xml:space="preserve"> </w:t>
      </w:r>
      <w:r>
        <w:rPr>
          <w:rFonts w:ascii="Nirmala UI" w:hAnsi="Nirmala UI" w:eastAsia="Nirmala UI" w:cs="Nirmala UI"/>
        </w:rPr>
        <w:t>ಕಲಕಿತವಾಗಿದೆ</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2:1–3.</w:t>
      </w:r>
    </w:p>
    <w:p>
      <w:pPr>
        <w:pStyle w:val="ArticleBody"/>
        <w:jc w:val="left"/>
      </w:pPr>
      <w:r>
        <w:rPr>
          <w:rFonts w:ascii="Times New Roman" w:hAnsi="Times New Roman" w:eastAsia="Times New Roman" w:cs="Times New Roman"/>
        </w:rPr>
        <w:t>Mu “mwijima” y’ijoro, Nebukadinezari yarose ikigirwamana, ariko ntiyashoboye kwibuka iyo nzozi. Mu nzozi zo mu ijoro, yarose ikigirwamana, ariko inzozi z’icyo kigirwamana zari umwijima ku bwenge bwe nk’uko ijoro yaroteyemo iyo nzozi na ryo ryari umwijima.</w:t>
      </w:r>
    </w:p>
    <w:p>
      <w:pPr>
        <w:pStyle w:val="ArticleScripture"/>
        <w:jc w:val="left"/>
      </w:pPr>
      <w:r>
        <w:rPr>
          <w:rFonts w:ascii="Malgun Gothic" w:hAnsi="Malgun Gothic" w:eastAsia="Malgun Gothic" w:cs="Malgun Gothic"/>
        </w:rPr>
        <w:t>칼데아</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아람</w:t>
      </w:r>
      <w:r>
        <w:rPr>
          <w:rFonts w:ascii="Times New Roman" w:hAnsi="Times New Roman" w:eastAsia="Times New Roman" w:cs="Times New Roman"/>
        </w:rPr>
        <w:t xml:space="preserve"> </w:t>
      </w:r>
      <w:r>
        <w:rPr>
          <w:rFonts w:ascii="Malgun Gothic" w:hAnsi="Malgun Gothic" w:eastAsia="Malgun Gothic" w:cs="Malgun Gothic"/>
        </w:rPr>
        <w:t>말로</w:t>
      </w:r>
      <w:r>
        <w:rPr>
          <w:rFonts w:ascii="Times New Roman" w:hAnsi="Times New Roman" w:eastAsia="Times New Roman" w:cs="Times New Roman"/>
        </w:rPr>
        <w:t xml:space="preserve"> </w:t>
      </w:r>
      <w:r>
        <w:rPr>
          <w:rFonts w:ascii="Malgun Gothic" w:hAnsi="Malgun Gothic" w:eastAsia="Malgun Gothic" w:cs="Malgun Gothic"/>
        </w:rPr>
        <w:t>왕에게</w:t>
      </w:r>
      <w:r>
        <w:rPr>
          <w:rFonts w:ascii="Times New Roman" w:hAnsi="Times New Roman" w:eastAsia="Times New Roman" w:cs="Times New Roman"/>
        </w:rPr>
        <w:t xml:space="preserve"> </w:t>
      </w:r>
      <w:r>
        <w:rPr>
          <w:rFonts w:ascii="Malgun Gothic" w:hAnsi="Malgun Gothic" w:eastAsia="Malgun Gothic" w:cs="Malgun Gothic"/>
        </w:rPr>
        <w:t>아뢰되</w:t>
      </w:r>
      <w:r>
        <w:rPr>
          <w:rFonts w:ascii="Times New Roman" w:hAnsi="Times New Roman" w:eastAsia="Times New Roman" w:cs="Times New Roman"/>
        </w:rPr>
        <w:t xml:space="preserve">, </w:t>
      </w:r>
      <w:r>
        <w:rPr>
          <w:rFonts w:ascii="Malgun Gothic" w:hAnsi="Malgun Gothic" w:eastAsia="Malgun Gothic" w:cs="Malgun Gothic"/>
        </w:rPr>
        <w:t>왕이여</w:t>
      </w:r>
      <w:r>
        <w:rPr>
          <w:rFonts w:ascii="Times New Roman" w:hAnsi="Times New Roman" w:eastAsia="Times New Roman" w:cs="Times New Roman"/>
        </w:rPr>
        <w:t xml:space="preserve">, </w:t>
      </w:r>
      <w:r>
        <w:rPr>
          <w:rFonts w:ascii="Malgun Gothic" w:hAnsi="Malgun Gothic" w:eastAsia="Malgun Gothic" w:cs="Malgun Gothic"/>
        </w:rPr>
        <w:t>만수무강하옵소서</w:t>
      </w:r>
      <w:r>
        <w:rPr>
          <w:rFonts w:ascii="Times New Roman" w:hAnsi="Times New Roman" w:eastAsia="Times New Roman" w:cs="Times New Roman"/>
        </w:rPr>
        <w:t xml:space="preserve">. </w:t>
      </w:r>
      <w:r>
        <w:rPr>
          <w:rFonts w:ascii="Malgun Gothic" w:hAnsi="Malgun Gothic" w:eastAsia="Malgun Gothic" w:cs="Malgun Gothic"/>
        </w:rPr>
        <w:t>왕께서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꿈을</w:t>
      </w:r>
      <w:r>
        <w:rPr>
          <w:rFonts w:ascii="Times New Roman" w:hAnsi="Times New Roman" w:eastAsia="Times New Roman" w:cs="Times New Roman"/>
        </w:rPr>
        <w:t xml:space="preserve"> </w:t>
      </w:r>
      <w:r>
        <w:rPr>
          <w:rFonts w:ascii="Malgun Gothic" w:hAnsi="Malgun Gothic" w:eastAsia="Malgun Gothic" w:cs="Malgun Gothic"/>
        </w:rPr>
        <w:t>종들에게</w:t>
      </w:r>
      <w:r>
        <w:rPr>
          <w:rFonts w:ascii="Times New Roman" w:hAnsi="Times New Roman" w:eastAsia="Times New Roman" w:cs="Times New Roman"/>
        </w:rPr>
        <w:t xml:space="preserve"> </w:t>
      </w:r>
      <w:r>
        <w:rPr>
          <w:rFonts w:ascii="Malgun Gothic" w:hAnsi="Malgun Gothic" w:eastAsia="Malgun Gothic" w:cs="Malgun Gothic"/>
        </w:rPr>
        <w:t>말씀하소서</w:t>
      </w:r>
      <w:r>
        <w:rPr>
          <w:rFonts w:ascii="Times New Roman" w:hAnsi="Times New Roman" w:eastAsia="Times New Roman" w:cs="Times New Roman"/>
        </w:rPr>
        <w:t xml:space="preserve">. </w:t>
      </w:r>
      <w:r>
        <w:rPr>
          <w:rFonts w:ascii="Malgun Gothic" w:hAnsi="Malgun Gothic" w:eastAsia="Malgun Gothic" w:cs="Malgun Gothic"/>
        </w:rPr>
        <w:t>그리하시면</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해석을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드리겠나이다</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칼데아</w:t>
      </w:r>
      <w:r>
        <w:rPr>
          <w:rFonts w:ascii="Times New Roman" w:hAnsi="Times New Roman" w:eastAsia="Times New Roman" w:cs="Times New Roman"/>
        </w:rPr>
        <w:t xml:space="preserve"> </w:t>
      </w:r>
      <w:r>
        <w:rPr>
          <w:rFonts w:ascii="Malgun Gothic" w:hAnsi="Malgun Gothic" w:eastAsia="Malgun Gothic" w:cs="Malgun Gothic"/>
        </w:rPr>
        <w:t>사람들에게</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내게서</w:t>
      </w:r>
      <w:r>
        <w:rPr>
          <w:rFonts w:ascii="Times New Roman" w:hAnsi="Times New Roman" w:eastAsia="Times New Roman" w:cs="Times New Roman"/>
        </w:rPr>
        <w:t xml:space="preserve"> </w:t>
      </w:r>
      <w:r>
        <w:rPr>
          <w:rFonts w:ascii="Malgun Gothic" w:hAnsi="Malgun Gothic" w:eastAsia="Malgun Gothic" w:cs="Malgun Gothic"/>
        </w:rPr>
        <w:t>떠났나니</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해석을</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사지가</w:t>
      </w:r>
      <w:r>
        <w:rPr>
          <w:rFonts w:ascii="Times New Roman" w:hAnsi="Times New Roman" w:eastAsia="Times New Roman" w:cs="Times New Roman"/>
        </w:rPr>
        <w:t xml:space="preserve"> </w:t>
      </w:r>
      <w:r>
        <w:rPr>
          <w:rFonts w:ascii="Malgun Gothic" w:hAnsi="Malgun Gothic" w:eastAsia="Malgun Gothic" w:cs="Malgun Gothic"/>
        </w:rPr>
        <w:t>찢기고</w:t>
      </w:r>
      <w:r>
        <w:rPr>
          <w:rFonts w:ascii="Times New Roman" w:hAnsi="Times New Roman" w:eastAsia="Times New Roman" w:cs="Times New Roman"/>
        </w:rPr>
        <w:t xml:space="preserve"> </w:t>
      </w:r>
      <w:r>
        <w:rPr>
          <w:rFonts w:ascii="Malgun Gothic" w:hAnsi="Malgun Gothic" w:eastAsia="Malgun Gothic" w:cs="Malgun Gothic"/>
        </w:rPr>
        <w:t>너희</w:t>
      </w:r>
      <w:r>
        <w:rPr>
          <w:rFonts w:ascii="Times New Roman" w:hAnsi="Times New Roman" w:eastAsia="Times New Roman" w:cs="Times New Roman"/>
        </w:rPr>
        <w:t xml:space="preserve"> </w:t>
      </w:r>
      <w:r>
        <w:rPr>
          <w:rFonts w:ascii="Malgun Gothic" w:hAnsi="Malgun Gothic" w:eastAsia="Malgun Gothic" w:cs="Malgun Gothic"/>
        </w:rPr>
        <w:t>집들은</w:t>
      </w:r>
      <w:r>
        <w:rPr>
          <w:rFonts w:ascii="Times New Roman" w:hAnsi="Times New Roman" w:eastAsia="Times New Roman" w:cs="Times New Roman"/>
        </w:rPr>
        <w:t xml:space="preserve"> </w:t>
      </w:r>
      <w:r>
        <w:rPr>
          <w:rFonts w:ascii="Malgun Gothic" w:hAnsi="Malgun Gothic" w:eastAsia="Malgun Gothic" w:cs="Malgun Gothic"/>
        </w:rPr>
        <w:t>거름더미가</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해석을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주면</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내게서</w:t>
      </w:r>
      <w:r>
        <w:rPr>
          <w:rFonts w:ascii="Times New Roman" w:hAnsi="Times New Roman" w:eastAsia="Times New Roman" w:cs="Times New Roman"/>
        </w:rPr>
        <w:t xml:space="preserve"> </w:t>
      </w:r>
      <w:r>
        <w:rPr>
          <w:rFonts w:ascii="Malgun Gothic" w:hAnsi="Malgun Gothic" w:eastAsia="Malgun Gothic" w:cs="Malgun Gothic"/>
        </w:rPr>
        <w:t>예물과</w:t>
      </w:r>
      <w:r>
        <w:rPr>
          <w:rFonts w:ascii="Times New Roman" w:hAnsi="Times New Roman" w:eastAsia="Times New Roman" w:cs="Times New Roman"/>
        </w:rPr>
        <w:t xml:space="preserve"> </w:t>
      </w:r>
      <w:r>
        <w:rPr>
          <w:rFonts w:ascii="Malgun Gothic" w:hAnsi="Malgun Gothic" w:eastAsia="Malgun Gothic" w:cs="Malgun Gothic"/>
        </w:rPr>
        <w:t>상과</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영예를</w:t>
      </w:r>
      <w:r>
        <w:rPr>
          <w:rFonts w:ascii="Times New Roman" w:hAnsi="Times New Roman" w:eastAsia="Times New Roman" w:cs="Times New Roman"/>
        </w:rPr>
        <w:t xml:space="preserve"> </w:t>
      </w:r>
      <w:r>
        <w:rPr>
          <w:rFonts w:ascii="Malgun Gothic" w:hAnsi="Malgun Gothic" w:eastAsia="Malgun Gothic" w:cs="Malgun Gothic"/>
        </w:rPr>
        <w:t>받으리니</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해석을</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2:4–7.</w:t>
      </w:r>
    </w:p>
    <w:p>
      <w:pPr>
        <w:pStyle w:val="ArticleBody"/>
        <w:jc w:val="left"/>
      </w:pPr>
      <w:r>
        <w:rPr>
          <w:rFonts w:ascii="Times New Roman" w:hAnsi="Times New Roman" w:eastAsia="Times New Roman" w:cs="Times New Roman"/>
        </w:rPr>
        <w:t>Nabukadnezzar’ın heykel düşü sınavı, karanlıkla örtülmüş bir heykelin doğru peygamberlik tanımını ve bununla birlikte düşün içeriğinin yorumunu kimin sağlayabileceğini belirlemek üzere tasarlanmış bir sınavdı. Millerci tarihte Gece Yarısı Feryadı mesajıyla birleşen ikinci meleğin mesajı, Karmel Dağı’ndaki karşılaşmada İlyas tarafından örneklendirilmişti. Bu da yalnızca gerçek Tanrı’nın kim olduğunu değil, aynı zamanda gerçek peygamberin kim olduğunu da ortaya koyacak bir sınavdı. Kız Kardeş White’ın açıkça İlyas tarafından örneklendirildiğini söylediği William Miller, Karmel Dağı’nda İlyas’ı temsil ediyordu. Ne var ki temsil edilen, William Miller’ın şahsından çok, onun anlamaya yönlendirildiği peygamberlik yorumlama kurallarıydı. Karmel Dağı’nda erkek tanrı Baal’ın peygamberleri ile kadın tanrı Aştoret’in peygamberlerinin sahte peygamberler olduğu gösterildi. Millercilerin tarihinde ise, Karmel Dağı tarafından örneklendirildiği üzere, Protestan kiliselerinin sahte peygamberler olduğu gösterildi.</w:t>
      </w:r>
    </w:p>
    <w:p>
      <w:pPr>
        <w:pStyle w:val="ArticleBody"/>
        <w:jc w:val="left"/>
      </w:pPr>
      <w:r>
        <w:rPr>
          <w:rFonts w:ascii="Times New Roman" w:hAnsi="Times New Roman" w:eastAsia="Times New Roman" w:cs="Times New Roman"/>
        </w:rPr>
        <w:t>When the Protestant churches manifested their rejection of William Miller’s rules of prophetic interpretation, they became the daughters of Rome. Prophetically, a daughter is an image of her mother. The test that the Protestants failed in Millerite history was the test that identified and produced an image (daughter) of the beast. It is there that the horn of true Protestantism was manifested in opposition to the horn of apostate Protestantism. Nebuchadnezzar was demanding an interpretation, and in so doing, he was providentially involved in producing a manifestation of both the false and the true prophets.</w:t>
      </w:r>
    </w:p>
    <w:p>
      <w:pPr>
        <w:pStyle w:val="ArticleScripture"/>
        <w:jc w:val="left"/>
      </w:pPr>
      <w:r>
        <w:rPr>
          <w:rFonts w:ascii="Times New Roman" w:hAnsi="Times New Roman" w:eastAsia="Times New Roman" w:cs="Times New Roman"/>
        </w:rPr>
        <w:t>Bakaikubuliza kandi ne bagamba nti: “Kabaka abuulire abaddu be ekirooto, naffe tunaalaga amakulu gaakyo.” Kabaka naddamu n’agamba nti: “Nkimanyi ddala nga mwagala kuwangayo budde, kubanga mulabye ng’ekigambo kino kinvuddeko. Naye bwe mutaambuulire ekirooto, mulina ekiragiro kimu kyokka: kubanga mwetegekedde ebigambo eby’obulimba n’ebivundu okwogera mu maaso gange okutuusa ebiseera lwe binaakyuka. Kale mumbuulire ekirooto, nange ndimanya nga musobola okulaga amakulu gaakyo.” Danyeri 2:7–9.</w:t>
      </w:r>
    </w:p>
    <w:p>
      <w:pPr>
        <w:pStyle w:val="ArticleBody"/>
        <w:jc w:val="left"/>
      </w:pPr>
      <w:r>
        <w:rPr>
          <w:rFonts w:ascii="Times New Roman" w:hAnsi="Times New Roman" w:eastAsia="Times New Roman" w:cs="Times New Roman"/>
        </w:rPr>
        <w:t>Mikolo ya meseko ntangu isukaki, bokeseni oyo emonisamaki na Ngomba Karmeli mpe na mokolo mwa 22 Octobre 1844, emonisamaki mpe kati na Daniel mokapo ya mibale. Na bililingi misato ya esakweli ya Ngomba Karmeli, lisolo ya ba-Millerite, mpe ndoto ya Nebukadenezare ya ekeko, motuya ya makasi ezali likoló ya ndimbola ya solo ya esakweli, ndenge emonisami na Eliya, Miller, mpe Daniel. Ndimbola ya ndoto yango nde nsango oyo efungolami na lisolo epai wapi bituluku mibale ya baprofeta bimonisami.</w:t>
      </w:r>
    </w:p>
    <w:p>
      <w:pPr>
        <w:pStyle w:val="ArticleScripture"/>
        <w:jc w:val="left"/>
      </w:pPr>
      <w:r>
        <w:rPr>
          <w:rFonts w:ascii="Times New Roman" w:hAnsi="Times New Roman" w:eastAsia="Times New Roman" w:cs="Times New Roman"/>
        </w:rPr>
        <w:t>Wakaldea wakamjibu mfalme na kusema, Hakuna mtu juu ya dunia awezaye kumwonyesha mfalme jambo lake; kwa hiyo hakuna mfalme, wala bwana, wala mtawala, aliyepata kuwataka mambo kama hayo mganga yeyote, au mnajimu, au Mkaldea. Nalo jambo analolitaka mfalme ni gumu mno, wala hakuna mwingine awezaye kulionyesha mbele ya mfalme, ila miungu, ambao makao yao hayako pamoja na wenye mwili. Kwa sababu hiyo mfalme akakasirika na kughadhibika sana, akaamuru kuwaangamiza watu wote wenye hekima wa Babeli. Danieli 2:10–12.</w:t>
      </w:r>
    </w:p>
    <w:p>
      <w:pPr>
        <w:pStyle w:val="ArticleBody"/>
        <w:jc w:val="left"/>
      </w:pPr>
      <w:r>
        <w:rPr>
          <w:rFonts w:ascii="Times New Roman" w:hAnsi="Times New Roman" w:eastAsia="Times New Roman" w:cs="Times New Roman"/>
        </w:rPr>
        <w:t>Ku Muso wa Karamele, Eliya alipendekeza jaribu, na jaribu alilopendekeza halikuwa tu la kudhihirisha ni nani aliyekuwa Mungu wa kweli, bali pia ni nani aliyekuwa nabii wa kweli. Katika Danieli sura ya pili, ni Wakaldayo wanaolitambua jaribu lililodhihirisha tofauti kati ya yaliyo ya kweli na yaliyo ya uongo. Wanaeleza kwamba tafsiri ambayo Nebukadreza anaitafuta yaweza kutambuliwa na Mungu peke yake, wala si na wanadamu. Pia walilalamika kwamba uhusiano kati ya Nebukadreza na watu wake wenye hekima wa kidini ulikuwa uhusiano usio sahihi waliposema kwamba “ni jambo adimu ambalo mfalme analidai.” Wanatamani kwamba mfalme, akiwakilisha Serikali, angebaki nje ya nyanja ya kidini ambayo ndani yake wameeleweka kuwa wenye mamlaka. Hawapingi kanuni za muungano wa kanisa na serikali, wanapinga kwamba Nebukadreza, akiwakilisha Serikali, anataka kuwa ndiye mwenye kuitawala kanisa. Wangekuwa na urahisi na uhusiano wa kanisa na serikali, kama viongozi wa kidini wangetawala juu ya serikali. Jaribu la sanamu ya mnyama ndiko tunakoamua hatima yetu ya milele—kama ilivyokuwa ndoto ya sanamu ya Nebukadreza—ni jaribu la uzima au mauti.</w:t>
      </w:r>
    </w:p>
    <w:p>
      <w:pPr>
        <w:pStyle w:val="ArticleScripture"/>
        <w:jc w:val="left"/>
      </w:pPr>
      <w:r>
        <w:rPr>
          <w:rFonts w:ascii="Times New Roman" w:hAnsi="Times New Roman" w:eastAsia="Times New Roman" w:cs="Times New Roman"/>
        </w:rPr>
        <w:t>ꞌƗhꞌa tsꞌin ndza̱h ꞌe̱n ya̱n, ndzin nda̱a̱n da̱hniꞌin ꞌu̱n ntseje̱n; ne bi nduku̱ Daniel ne ya̱ ni̱nꞌi̱nra, da xi da̱hniꞌinꞌi̱n. Tɨꞌi̱n Daniel bi ndakone̱he̱n ɨhɨꞌin consejo ne sabiduría ni Arioch, capitán ni guardia ni rey, nú bi zéꞌen xi da̱hniꞌinꞌi̱n ya̱ ntseje̱n ni Babilonia. Bi ndakone̱he̱n ne bi ndeꞌe̱: “¿Ndáa ní tsꞌin decreto ni rey kuáa̱n xi hasty?” Tɨꞌi̱n Arioch bi ka̱ma ko̱no̱o̱ Daniel xa̱n tsꞌin. Daniel 2:13–15.</w:t>
      </w:r>
    </w:p>
    <w:p>
      <w:pPr>
        <w:pStyle w:val="ArticleBody"/>
        <w:jc w:val="left"/>
      </w:pPr>
      <w:r>
        <w:rPr>
          <w:rFonts w:ascii="Times New Roman" w:hAnsi="Times New Roman" w:eastAsia="Times New Roman" w:cs="Times New Roman"/>
        </w:rPr>
        <w:t>Ekyo Daniel amanyisibwa ku kutegeera embeera z’obulamu n’okufa ezikwata ku kirooto ky’ekifaananyi ekyali tekinnamanyibwa, aba akiikirira okumanyisibwa kw’abantu obukumi kikumi mu enkumi nnya mu enkumi nnya nti bali mu byafaayo eby’okugezebwa okwokubiri era okulabika obulungi mu nkola ey’okugezebwa ey’emitendera esatu. Naye Daniel takoma ku kukiikirira abo abaasalawo okulya emmere entuufu, era bwe batyo ne bayita mu kugezebwa okw’olubereberye, naye era akiikirira omukiikirizi ow’obuntu Katonda gwe yali awadde okutegeera okw’enjawulo mu bunnabbi bwa Bayibuli.</w:t>
      </w:r>
    </w:p>
    <w:p>
      <w:pPr>
        <w:pStyle w:val="ArticleScripture"/>
        <w:jc w:val="left"/>
      </w:pPr>
      <w:r>
        <w:rPr>
          <w:rFonts w:ascii="Times New Roman" w:hAnsi="Times New Roman" w:eastAsia="Times New Roman" w:cs="Times New Roman"/>
        </w:rPr>
        <w:t>Ná wana bane, Nzambe apesaki bango boyebi mpe mayele na mateya nyonso mpe na bwanya nyonso; mpe Danyele azalaki na bososoli na bimonaneli nyonso mpe na bandoto nyonso. Danyele 1:17.</w:t>
      </w:r>
    </w:p>
    <w:p>
      <w:pPr>
        <w:pStyle w:val="ArticleBody"/>
        <w:jc w:val="left"/>
      </w:pPr>
      <w:r>
        <w:rPr>
          <w:rFonts w:ascii="Times New Roman" w:hAnsi="Times New Roman" w:eastAsia="Times New Roman" w:cs="Times New Roman"/>
        </w:rPr>
        <w:t>Nors keturi ištikimieji hebrajai visi išlaikė mitybos išbandymą, Danielius buvo išrinktas regėjimų ir sapnų pasiuntiniu. Danielius vaizduoja pranašiškąjį pasiuntinį, kurį taip pat vaizduoja Elijas, Jonas Krikštytojas, Jonas Apreiškėjas, William Miller ir Future for America. Pranašiškasis pasiuntinys niekada nėra atskiriamas nuo pranašiškojo išbandymo.</w:t>
      </w:r>
    </w:p>
    <w:p>
      <w:pPr>
        <w:pStyle w:val="ArticleBody"/>
        <w:jc w:val="left"/>
      </w:pPr>
      <w:r>
        <w:rPr>
          <w:rFonts w:ascii="Times New Roman" w:hAnsi="Times New Roman" w:eastAsia="Times New Roman" w:cs="Times New Roman"/>
        </w:rPr>
        <w:t>Di dema Mesîh de, yên ku şahidiya Yûhenna red kirin, ji Îsa re nikaribûn sûdê bistînin. Di dîroka Millerî de, yên ku peyama yekem (ku bi William Miller hate temsîl kirin) red kirin, ji peyama duyem re nikaribûn sûdê bistînin. Di herdu dîrokan de, dilsoz nekarîn bibînin ku pêvajoya ceribandinê ber bi ku ve dibir. Şagirtan xaçê qebûl nekirin, her çend bi eşkereyî jê re hate gotin ku ew ê pêk were. Millerîyan nekarîn şikestina mezin bibînin. Daniel, dema ku ji aliyê Aryok ve li ser şert û mercên jiyan û mirinê yên girêdayî bi xewna peykerê Nebukednezar hate agahdarkirin, nizanibû naveroka xewnê çi bû an ceribandina peykerê ber bi ku ve dibir. Tişta ku tenê dizanibû ev bû ku rewşek jiyan û mirinê bû. Ji ber vê yekê, Daniel hewceyê demê bû da ku şirovekirinê fam bike.</w:t>
      </w:r>
    </w:p>
    <w:p>
      <w:pPr>
        <w:pStyle w:val="ArticleScripture"/>
        <w:jc w:val="left"/>
      </w:pPr>
      <w:r>
        <w:rPr>
          <w:rFonts w:ascii="Times New Roman" w:hAnsi="Times New Roman" w:eastAsia="Times New Roman" w:cs="Times New Roman"/>
        </w:rPr>
        <w:t>Kani Danieri akota kwa mfalme, akamwomba ampe wakati, ili amwonyeshe mfalme tafsiri yake. Danieli 2:16.</w:t>
      </w:r>
    </w:p>
    <w:p>
      <w:pPr>
        <w:pStyle w:val="ArticleBody"/>
        <w:jc w:val="left"/>
      </w:pPr>
      <w:r>
        <w:rPr>
          <w:rFonts w:ascii="Times New Roman" w:hAnsi="Times New Roman" w:eastAsia="Times New Roman" w:cs="Times New Roman"/>
        </w:rPr>
        <w:t>Daniel akalangijia kwitikia katika chakula (mbinu) alichokuwa ameamua kula katika jaribu la kwanza. Kwa hiyo akapewa wakati, kama vile wanafunzi walivyopewa katika wakati wa Kristo. Wakati waliopewa wanafunzi ulikuwa ni kipindi cha kifo cha Kristo, kuzikwa kwake, kufufuka kwake, na kupaa kwake kwa kwanza, kabla hajakutana na wanafunzi katika njia ya kwenda Emau, kisha tena katika chumba cha juu. Ndipo mwisho wa wakati huo akawavuvia Roho Mtakatifu.</w:t>
      </w:r>
    </w:p>
    <w:p>
      <w:pPr>
        <w:pStyle w:val="ArticleScripture"/>
        <w:jc w:val="left"/>
      </w:pPr>
      <w:r>
        <w:rPr>
          <w:rFonts w:ascii="Times New Roman" w:hAnsi="Times New Roman" w:eastAsia="Times New Roman" w:cs="Times New Roman"/>
        </w:rPr>
        <w:t>Na alipokwisha kusema hayo, akawapulizia, akawaambia, Pokeeni Roho Mtakatifu. Yohana 20:22.</w:t>
      </w:r>
    </w:p>
    <w:p>
      <w:pPr>
        <w:pStyle w:val="ArticleBody"/>
        <w:jc w:val="left"/>
      </w:pPr>
      <w:r>
        <w:rPr>
          <w:rFonts w:ascii="Times New Roman" w:hAnsi="Times New Roman" w:eastAsia="Times New Roman" w:cs="Times New Roman"/>
        </w:rPr>
        <w:t>Ezekiel akahanura, kandi amagufwa yapfuye arahurizwa hamwe. Hanyuma Ezekiel yongera guhanura, kandi Umwuka Wera ahumekwa kuri iyo mibiri yari imaze kuremwa bushya, maze ihaguruka nk’ingabo ikomeye. Igihe Kristo yahumekeraga ku bigishwa, yabuguruye ubwenge.</w:t>
      </w:r>
    </w:p>
    <w:p>
      <w:pPr>
        <w:pStyle w:val="ArticleScripture"/>
        <w:jc w:val="left"/>
      </w:pPr>
      <w:r>
        <w:rPr>
          <w:rFonts w:ascii="Times New Roman" w:hAnsi="Times New Roman" w:eastAsia="Times New Roman" w:cs="Times New Roman"/>
        </w:rPr>
        <w:t>ئینجا تێگەیشتنییان بۆ کردەوە، تاکو نووسراوە پیرۆزەکان تێبگەن. لۆقا 24:25.</w:t>
      </w:r>
    </w:p>
    <w:p>
      <w:pPr>
        <w:pStyle w:val="ArticleBody"/>
        <w:jc w:val="left"/>
      </w:pPr>
      <w:r>
        <w:rPr>
          <w:rFonts w:ascii="Times New Roman" w:hAnsi="Times New Roman" w:eastAsia="Times New Roman" w:cs="Times New Roman"/>
        </w:rPr>
        <w:t>Abahanuzikizi bose bavuga ibyerekeye iherezo ry’isi, kandi Daniyeli na we si uwihariye. Igihe yasabye cyari igihe kugira ngo ahabwe kumurikirwa. Igihe cyo gutegereza ku ba Millerites cyari kuva ku gutenguha kwa mbere kugeza igihe bamenyeye ko bari mu gihe cyo gutinda gifitanye isano n’ubuhanuzi bwo muri Matayo igice cya makumyabiri na gatanu n’ubwo muri Habakuki igice cya kabiri. Amateka y’igihe cyo gutinda mu mateka y’Abamillerite yasohorejwe mu gihe cy’ubutumwa bw’umumarayika wa kabiri. Daniyeli igice cya kabiri kigaragaza ayo mateka nyene, bityo gusaba kwa Daniyeli igihe guhuza mu buryo bw’ubuhanuzi n’igihe cyo gutinda kw’Abamillerite. Ni cyo gituma gusaba kwa Daniyeli igihe n’igihe cyo gutinda kw’Abamillerite bishushanya igihe cyo gutinda cy’abihumbi ijana na mirongo ine na bine, cyatangiye ku itariki ya 18 Nyakanga 2020.</w:t>
      </w:r>
    </w:p>
    <w:p>
      <w:pPr>
        <w:pStyle w:val="ArticleBody"/>
        <w:jc w:val="left"/>
      </w:pPr>
      <w:r>
        <w:rPr>
          <w:rFonts w:ascii="Malgun Gothic" w:hAnsi="Malgun Gothic" w:eastAsia="Malgun Gothic" w:cs="Malgun Gothic"/>
        </w:rPr>
        <w:t>삐물</w:t>
      </w:r>
      <w:r>
        <w:rPr>
          <w:rFonts w:ascii="Times New Roman" w:hAnsi="Times New Roman" w:eastAsia="Times New Roman" w:cs="Times New Roman"/>
        </w:rPr>
        <w:t xml:space="preserve"> </w:t>
      </w:r>
      <w:r>
        <w:rPr>
          <w:rFonts w:ascii="Malgun Gothic" w:hAnsi="Malgun Gothic" w:eastAsia="Malgun Gothic" w:cs="Malgun Gothic"/>
        </w:rPr>
        <w:t>예한날</w:t>
      </w:r>
      <w:r>
        <w:rPr>
          <w:rFonts w:ascii="Times New Roman" w:hAnsi="Times New Roman" w:eastAsia="Times New Roman" w:cs="Times New Roman"/>
        </w:rPr>
        <w:t xml:space="preserve"> </w:t>
      </w:r>
      <w:r>
        <w:rPr>
          <w:rFonts w:ascii="Malgun Gothic" w:hAnsi="Malgun Gothic" w:eastAsia="Malgun Gothic" w:cs="Malgun Gothic"/>
        </w:rPr>
        <w:t>온상</w:t>
      </w:r>
      <w:r>
        <w:rPr>
          <w:rFonts w:ascii="Times New Roman" w:hAnsi="Times New Roman" w:eastAsia="Times New Roman" w:cs="Times New Roman"/>
        </w:rPr>
        <w:t xml:space="preserve"> </w:t>
      </w:r>
      <w:r>
        <w:rPr>
          <w:rFonts w:ascii="Malgun Gothic" w:hAnsi="Malgun Gothic" w:eastAsia="Malgun Gothic" w:cs="Malgun Gothic"/>
        </w:rPr>
        <w:t>느부갓네살의</w:t>
      </w:r>
      <w:r>
        <w:rPr>
          <w:rFonts w:ascii="Times New Roman" w:hAnsi="Times New Roman" w:eastAsia="Times New Roman" w:cs="Times New Roman"/>
        </w:rPr>
        <w:t xml:space="preserve"> </w:t>
      </w:r>
      <w:r>
        <w:rPr>
          <w:rFonts w:ascii="Malgun Gothic" w:hAnsi="Malgun Gothic" w:eastAsia="Malgun Gothic" w:cs="Malgun Gothic"/>
        </w:rPr>
        <w:t>신상</w:t>
      </w:r>
      <w:r>
        <w:rPr>
          <w:rFonts w:ascii="Times New Roman" w:hAnsi="Times New Roman" w:eastAsia="Times New Roman" w:cs="Times New Roman"/>
        </w:rPr>
        <w:t xml:space="preserve"> </w:t>
      </w:r>
      <w:r>
        <w:rPr>
          <w:rFonts w:ascii="Malgun Gothic" w:hAnsi="Malgun Gothic" w:eastAsia="Malgun Gothic" w:cs="Malgun Gothic"/>
        </w:rPr>
        <w:t>꿈을</w:t>
      </w:r>
      <w:r>
        <w:rPr>
          <w:rFonts w:ascii="Times New Roman" w:hAnsi="Times New Roman" w:eastAsia="Times New Roman" w:cs="Times New Roman"/>
        </w:rPr>
        <w:t xml:space="preserve"> </w:t>
      </w:r>
      <w:r>
        <w:rPr>
          <w:rFonts w:ascii="Malgun Gothic" w:hAnsi="Malgun Gothic" w:eastAsia="Malgun Gothic" w:cs="Malgun Gothic"/>
        </w:rPr>
        <w:t>깨닫기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시간을</w:t>
      </w:r>
      <w:r>
        <w:rPr>
          <w:rFonts w:ascii="Times New Roman" w:hAnsi="Times New Roman" w:eastAsia="Times New Roman" w:cs="Times New Roman"/>
        </w:rPr>
        <w:t xml:space="preserve"> </w:t>
      </w:r>
      <w:r>
        <w:rPr>
          <w:rFonts w:ascii="Malgun Gothic" w:hAnsi="Malgun Gothic" w:eastAsia="Malgun Gothic" w:cs="Malgun Gothic"/>
        </w:rPr>
        <w:t>구한</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요청은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증인이</w:t>
      </w:r>
      <w:r>
        <w:rPr>
          <w:rFonts w:ascii="Times New Roman" w:hAnsi="Times New Roman" w:eastAsia="Times New Roman" w:cs="Times New Roman"/>
        </w:rPr>
        <w:t xml:space="preserve"> </w:t>
      </w:r>
      <w:r>
        <w:rPr>
          <w:rFonts w:ascii="Malgun Gothic" w:hAnsi="Malgun Gothic" w:eastAsia="Malgun Gothic" w:cs="Malgun Gothic"/>
        </w:rPr>
        <w:t>거리에</w:t>
      </w:r>
      <w:r>
        <w:rPr>
          <w:rFonts w:ascii="Times New Roman" w:hAnsi="Times New Roman" w:eastAsia="Times New Roman" w:cs="Times New Roman"/>
        </w:rPr>
        <w:t xml:space="preserve"> </w:t>
      </w:r>
      <w:r>
        <w:rPr>
          <w:rFonts w:ascii="Malgun Gothic" w:hAnsi="Malgun Gothic" w:eastAsia="Malgun Gothic" w:cs="Malgun Gothic"/>
        </w:rPr>
        <w:t>죽어</w:t>
      </w:r>
      <w:r>
        <w:rPr>
          <w:rFonts w:ascii="Times New Roman" w:hAnsi="Times New Roman" w:eastAsia="Times New Roman" w:cs="Times New Roman"/>
        </w:rPr>
        <w:t xml:space="preserve"> </w:t>
      </w:r>
      <w:r>
        <w:rPr>
          <w:rFonts w:ascii="Malgun Gothic" w:hAnsi="Malgun Gothic" w:eastAsia="Malgun Gothic" w:cs="Malgun Gothic"/>
        </w:rPr>
        <w:t>누워</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광야를</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가운데에는</w:t>
      </w:r>
      <w:r>
        <w:rPr>
          <w:rFonts w:ascii="Times New Roman" w:hAnsi="Times New Roman" w:eastAsia="Times New Roman" w:cs="Times New Roman"/>
        </w:rPr>
        <w:t xml:space="preserve"> </w:t>
      </w:r>
      <w:r>
        <w:rPr>
          <w:rFonts w:ascii="Malgun Gothic" w:hAnsi="Malgun Gothic" w:eastAsia="Malgun Gothic" w:cs="Malgun Gothic"/>
        </w:rPr>
        <w:t>외치는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음성이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마른</w:t>
      </w:r>
      <w:r>
        <w:rPr>
          <w:rFonts w:ascii="Times New Roman" w:hAnsi="Times New Roman" w:eastAsia="Times New Roman" w:cs="Times New Roman"/>
        </w:rPr>
        <w:t xml:space="preserve"> </w:t>
      </w:r>
      <w:r>
        <w:rPr>
          <w:rFonts w:ascii="Malgun Gothic" w:hAnsi="Malgun Gothic" w:eastAsia="Malgun Gothic" w:cs="Malgun Gothic"/>
        </w:rPr>
        <w:t>뼈들을</w:t>
      </w:r>
      <w:r>
        <w:rPr>
          <w:rFonts w:ascii="Times New Roman" w:hAnsi="Times New Roman" w:eastAsia="Times New Roman" w:cs="Times New Roman"/>
        </w:rPr>
        <w:t xml:space="preserve"> </w:t>
      </w:r>
      <w:r>
        <w:rPr>
          <w:rFonts w:ascii="Malgun Gothic" w:hAnsi="Malgun Gothic" w:eastAsia="Malgun Gothic" w:cs="Malgun Gothic"/>
        </w:rPr>
        <w:t>일깨워</w:t>
      </w:r>
      <w:r>
        <w:rPr>
          <w:rFonts w:ascii="Times New Roman" w:hAnsi="Times New Roman" w:eastAsia="Times New Roman" w:cs="Times New Roman"/>
        </w:rPr>
        <w:t xml:space="preserve"> </w:t>
      </w:r>
      <w:r>
        <w:rPr>
          <w:rFonts w:ascii="Malgun Gothic" w:hAnsi="Malgun Gothic" w:eastAsia="Malgun Gothic" w:cs="Malgun Gothic"/>
        </w:rPr>
        <w:t>생명에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위로자께서</w:t>
      </w:r>
      <w:r>
        <w:rPr>
          <w:rFonts w:ascii="Times New Roman" w:hAnsi="Times New Roman" w:eastAsia="Times New Roman" w:cs="Times New Roman"/>
        </w:rPr>
        <w:t xml:space="preserve"> </w:t>
      </w:r>
      <w:r>
        <w:rPr>
          <w:rFonts w:ascii="Malgun Gothic" w:hAnsi="Malgun Gothic" w:eastAsia="Malgun Gothic" w:cs="Malgun Gothic"/>
        </w:rPr>
        <w:t>사용하시는</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꿈이</w:t>
      </w:r>
      <w:r>
        <w:rPr>
          <w:rFonts w:ascii="Times New Roman" w:hAnsi="Times New Roman" w:eastAsia="Times New Roman" w:cs="Times New Roman"/>
        </w:rPr>
        <w:t xml:space="preserve"> </w:t>
      </w:r>
      <w:r>
        <w:rPr>
          <w:rFonts w:ascii="Malgun Gothic" w:hAnsi="Malgun Gothic" w:eastAsia="Malgun Gothic" w:cs="Malgun Gothic"/>
        </w:rPr>
        <w:t>무엇이었으며</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표상하는지를</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계시를</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다니엘로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광야에서</w:t>
      </w:r>
      <w:r>
        <w:rPr>
          <w:rFonts w:ascii="Times New Roman" w:hAnsi="Times New Roman" w:eastAsia="Times New Roman" w:cs="Times New Roman"/>
        </w:rPr>
        <w:t xml:space="preserve"> </w:t>
      </w:r>
      <w:r>
        <w:rPr>
          <w:rFonts w:ascii="Malgun Gothic" w:hAnsi="Malgun Gothic" w:eastAsia="Malgun Gothic" w:cs="Malgun Gothic"/>
        </w:rPr>
        <w:t>외치는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다니엘로</w:t>
      </w:r>
      <w:r>
        <w:rPr>
          <w:rFonts w:ascii="Times New Roman" w:hAnsi="Times New Roman" w:eastAsia="Times New Roman" w:cs="Times New Roman"/>
        </w:rPr>
        <w:t xml:space="preserve"> </w:t>
      </w:r>
      <w:r>
        <w:rPr>
          <w:rFonts w:ascii="Malgun Gothic" w:hAnsi="Malgun Gothic" w:eastAsia="Malgun Gothic" w:cs="Malgun Gothic"/>
        </w:rPr>
        <w:t>표상되듯이</w:t>
      </w:r>
      <w:r>
        <w:rPr>
          <w:rFonts w:ascii="Times New Roman" w:hAnsi="Times New Roman" w:eastAsia="Times New Roman" w:cs="Times New Roman"/>
        </w:rPr>
        <w:t xml:space="preserve"> </w:t>
      </w:r>
      <w:r>
        <w:rPr>
          <w:rFonts w:ascii="Malgun Gothic" w:hAnsi="Malgun Gothic" w:eastAsia="Malgun Gothic" w:cs="Malgun Gothic"/>
        </w:rPr>
        <w:t>꿈들과</w:t>
      </w:r>
      <w:r>
        <w:rPr>
          <w:rFonts w:ascii="Times New Roman" w:hAnsi="Times New Roman" w:eastAsia="Times New Roman" w:cs="Times New Roman"/>
        </w:rPr>
        <w:t xml:space="preserve"> </w:t>
      </w:r>
      <w:r>
        <w:rPr>
          <w:rFonts w:ascii="Malgun Gothic" w:hAnsi="Malgun Gothic" w:eastAsia="Malgun Gothic" w:cs="Malgun Gothic"/>
        </w:rPr>
        <w:t>이상들에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이해를</w:t>
      </w:r>
      <w:r>
        <w:rPr>
          <w:rFonts w:ascii="Times New Roman" w:hAnsi="Times New Roman" w:eastAsia="Times New Roman" w:cs="Times New Roman"/>
        </w:rPr>
        <w:t xml:space="preserve"> </w:t>
      </w:r>
      <w:r>
        <w:rPr>
          <w:rFonts w:ascii="Malgun Gothic" w:hAnsi="Malgun Gothic" w:eastAsia="Malgun Gothic" w:cs="Malgun Gothic"/>
        </w:rPr>
        <w:t>부여받았다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외치고</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자정의</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받았음이</w:t>
      </w:r>
      <w:r>
        <w:rPr>
          <w:rFonts w:ascii="Times New Roman" w:hAnsi="Times New Roman" w:eastAsia="Times New Roman" w:cs="Times New Roman"/>
        </w:rPr>
        <w:t xml:space="preserve"> </w:t>
      </w:r>
      <w:r>
        <w:rPr>
          <w:rFonts w:ascii="Malgun Gothic" w:hAnsi="Malgun Gothic" w:eastAsia="Malgun Gothic" w:cs="Malgun Gothic"/>
        </w:rPr>
        <w:t>드러나며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외침은</w:t>
      </w:r>
      <w:r>
        <w:rPr>
          <w:rFonts w:ascii="Times New Roman" w:hAnsi="Times New Roman" w:eastAsia="Times New Roman" w:cs="Times New Roman"/>
        </w:rPr>
        <w:t xml:space="preserve"> </w:t>
      </w:r>
      <w:r>
        <w:rPr>
          <w:rFonts w:ascii="Malgun Gothic" w:hAnsi="Malgun Gothic" w:eastAsia="Malgun Gothic" w:cs="Malgun Gothic"/>
        </w:rPr>
        <w:t>어두움을</w:t>
      </w:r>
      <w:r>
        <w:rPr>
          <w:rFonts w:ascii="Times New Roman" w:hAnsi="Times New Roman" w:eastAsia="Times New Roman" w:cs="Times New Roman"/>
        </w:rPr>
        <w:t xml:space="preserve"> </w:t>
      </w:r>
      <w:r>
        <w:rPr>
          <w:rFonts w:ascii="Malgun Gothic" w:hAnsi="Malgun Gothic" w:eastAsia="Malgun Gothic" w:cs="Malgun Gothic"/>
        </w:rPr>
        <w:t>표상하는</w:t>
      </w:r>
      <w:r>
        <w:rPr>
          <w:rFonts w:ascii="Times New Roman" w:hAnsi="Times New Roman" w:eastAsia="Times New Roman" w:cs="Times New Roman"/>
        </w:rPr>
        <w:t xml:space="preserve"> </w:t>
      </w:r>
      <w:r>
        <w:rPr>
          <w:rFonts w:ascii="Malgun Gothic" w:hAnsi="Malgun Gothic" w:eastAsia="Malgun Gothic" w:cs="Malgun Gothic"/>
        </w:rPr>
        <w:t>자정에</w:t>
      </w:r>
      <w:r>
        <w:rPr>
          <w:rFonts w:ascii="Times New Roman" w:hAnsi="Times New Roman" w:eastAsia="Times New Roman" w:cs="Times New Roman"/>
        </w:rPr>
        <w:t xml:space="preserve"> </w:t>
      </w:r>
      <w:r>
        <w:rPr>
          <w:rFonts w:ascii="Malgun Gothic" w:hAnsi="Malgun Gothic" w:eastAsia="Malgun Gothic" w:cs="Malgun Gothic"/>
        </w:rPr>
        <w:t>주어진다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Nakusama yovene kumutwe wa ufuku, izwi (Daniel) lyapewa kuumvwisisa ubutumwa bwali bwafimbilwa mu mfifi. Ilamulo ilyapelwa ku izwi (Ezekiel), lyakuti ashinge ubusesemo ku mafupa yumile aya bafwa. Apo akucita ifyo, Umunyamfwa alepumulwa pa bafwa abali mu musebo, kabili “balabushiwa.” Nomba ukubushiwa kwine kwafikilishiwa fye ku mupashi wa mapepo. Ipepo ni cishininkisho ca munshila mu lyashi lya kubushiwa kwa mafupa yumile aya bafwa, ayesulwa mu musebo. Daniel mu busesemo aleimininako ico cishininkisho ca munshila, pene pa ncende iyalinga apo ico cishininkisho ca munshila cailulwa.</w:t>
      </w:r>
    </w:p>
    <w:p>
      <w:pPr>
        <w:pStyle w:val="ArticleScripture"/>
        <w:jc w:val="left"/>
      </w:pPr>
      <w:r>
        <w:rPr>
          <w:rFonts w:ascii="Times New Roman" w:hAnsi="Times New Roman" w:eastAsia="Times New Roman" w:cs="Times New Roman"/>
        </w:rPr>
        <w:t>“Katŭlĩ kamũtwega wa kũhooya ũnene wa ũrũa rwa maũndũ ma Ngai gatagatĩ-inĩ gatũ ni nĩ kĩrĩa gĩkuru mũno na gĩa ũhoro wa mbiro gukira indo ciothe iria twĩ na cio. Gũcaria ũguo no guoya gũtuĩke wĩra witũ wa mbere. No nginya kũrĩ na wĩra wa maũndũ maingĩ, wa kwĩhũthĩra na mĩoyo yothe, nĩguo tũnyitĩre kĩrathimo kĩa Mwathani, ti atĩ Ngai ndarĩ mũtwega wa gũtũhe kĩrathimo gĩake, no nĩ tondũ ithuĩ tũtirĩ andũ a kwĩyũrĩrwo nĩ kĩrĩa kĩu. Ithe witũ wa igũrũ nĩ mũtwega mũno gũhe Roho Mũtheru wake arĩa mamũhooya, gũkĩra atĩa atĩ aciari a thĩ mamaga kũhe ciana ciao iheo njega. No nĩ wĩra witũ, na kwĩyũrĩra mehia, na kwĩnyihia, na kwĩrutĩra mehia, na mahooya ma mĩoyo yothe, gũhingia meciiria marĩa Ngai araaganĩte gũtwĩra kĩrathimo gĩake. Gũcookio kwa ũrũa rwa maũndũ ma Ngai no kũragĩrĩrwo tu rĩrĩa kwĩ na marĩmũ ma mahooya. Rĩrĩa andũ marĩ a gũkena mũno kwa gũkorwo matina Roho Mũtheru wa Ngai, matikũhota kũigua na kũrũgamĩrĩra ũhunjia wa Kiugo; no hĩndĩ ĩrĩa hinya wa Roho ũgũtina ngoro ciao, nĩho mahunjio marĩa meheanĩtio matigakorwo matirĩ na maciaro. Matarĩte nĩ mahĩtũ ma Kiugo kĩa Ngai, hamwe na kwonania kwa Roho wake, na rĩrĩa magĩthiĩ na mbele kũrĩ mĩtugo ya ũhoro mwega na wa ũmenyo mũgima, arĩa maathii ngurario ciitũ nĩmagĩcooka makorwo marĩ na ũtonga mũiganu wa mĩoyo, na magĩcooka kwao nĩmagĩtuĩka a kwĩhota gũruta watho wa ũgima na wa kũhonokia.”</w:t>
      </w:r>
    </w:p>
    <w:p>
      <w:pPr>
        <w:pStyle w:val="ArticleScripture"/>
        <w:jc w:val="left"/>
      </w:pPr>
      <w:r>
        <w:rPr>
          <w:rFonts w:ascii="Times New Roman" w:hAnsi="Times New Roman" w:eastAsia="Times New Roman" w:cs="Times New Roman"/>
        </w:rPr>
        <w:t>“Babataki ba kale ba bendera bajulile icyo ari cyo kurwanana n’Imana mu isengesho, no kunezezwa no gusukwa k’Umwuka wayo. Ariko aba baragenda bava ku rubyiniro rw’ibikorwa; none ni ba nde bazamuka gusimbura imyanya yabo? Bimeze bite ku gisekuru kizamuka? Bihindukiriye Imana? Mbese turi maso ku murimo ukorerwa mu buturo bwo mu ijuru, cyangwa dutegereje ko hari imbaraga runaka zihata ziza ku itorero mbere y’uko dukanguka? Mbese twiringiye kuzabona itorero ryose rihagurutswa mu bugingo? Icyo gihe ntikizigera kibaho.”</w:t>
      </w:r>
    </w:p>
    <w:p>
      <w:pPr>
        <w:pStyle w:val="ArticleScripture"/>
        <w:jc w:val="left"/>
      </w:pPr>
      <w:r>
        <w:rPr>
          <w:rFonts w:ascii="Times New Roman" w:hAnsi="Times New Roman" w:eastAsia="Times New Roman" w:cs="Times New Roman"/>
        </w:rPr>
        <w:t>“Kanisani harimo abantu batarahindutse rwose, kandi batazifatanya mu gusenga kudacogora, kuvuye ku mutima, kandi kunesha. Tugomba gutangira uwo murimo umuntu ku giti cye. Tugomba gusenga cyane kurushaho, kandi tukavuga bike. Ubugoryi bw’icyaha buragwiriye, kandi abantu bagomba kwigishwa kutanyurwa n’ishusho yo kubaha Imana idafite umwuka n’imbaraga. Niba dushyize umutima ku gusuzuma imitima yacu, tukareka ibyaha byacu, kandi tugakosora impengamiro zacu mbi, ubugingo bwacu ntibuzishyira hejuru ku busa; tuzaba tutiyiringira, dufite mu mutima ihoraho ko ubushobozi bwacu buva ku Mana.” Selected Messages, igitabo cya 1, 121, 122.</w:t>
      </w:r>
    </w:p>
    <w:p>
      <w:pPr>
        <w:pStyle w:val="ArticleBody"/>
        <w:jc w:val="left"/>
      </w:pPr>
      <w:r>
        <w:rPr>
          <w:rFonts w:ascii="Times New Roman" w:hAnsi="Times New Roman" w:eastAsia="Times New Roman" w:cs="Times New Roman"/>
        </w:rPr>
        <w:t>Kulingana na imani katika lishe ambayo Danieli alikuwa amechagua kula, ndipo akaingizwa katika mchakato wa majaribio wa kuona uliomtaka atumie mbinu iliyowakilishwa na lishe yake, kwanza kuahidi kwamba Mungu wake angebainisha na kuifafanua ndoto hiyo, na baadaye kutekeleza kuiwasilisha ndoto hiyo kwa mfalme. Alikuwa na lishe sahihi, au mbinu sahihi, kisha akapaswa kudhihirisha imani yake kwa namna ya kuona kwa kuwasilisha ujumbe wa ndoto ya sanamu ya Nebukadreza iliyokuwa katika “giza” kamili. Tendo lake lililofuata lilikuwa udhihirisho wake wa kuona wa imani, kwa maana ndipo alipotumia kanuni ya kimungu kwa watu wa Mungu wanapojikuta katika giza.</w:t>
      </w:r>
    </w:p>
    <w:p>
      <w:pPr>
        <w:pStyle w:val="ArticleScripture"/>
        <w:jc w:val="left"/>
      </w:pPr>
      <w:r>
        <w:rPr>
          <w:rFonts w:ascii="Times New Roman" w:hAnsi="Times New Roman" w:eastAsia="Times New Roman" w:cs="Times New Roman"/>
        </w:rPr>
        <w:t>«تاریکیِ آن شریر کسانی را در بر می‌گیرد که از دعا غفلت می‌ورزند. وسوسه‌های نجواگونهٔ دشمن آنان را به گناه می‌فریبد؛ و همهٔ این از آن روست که از امتیازاتی که خدا در تعیین الهیِ دعا به ایشان عطا کرده است بهره نمی‌گیرند. چرا پسران و دختران خدا باید در دعا کردن بی‌میل باشند، حال آنکه دعا کلیدی است در دست ایمان برای گشودن خزانهٔ آسمان، جایی که ذخایر بی‌کرانِ قادرِ مطلق در آن نهفته است؟ بدون دعای بی‌وقفه و بیداریِ کوشا، در خطر آن هستیم که سهل‌انگار شویم و از راه راست منحرف گردیم. خصم پیوسته می‌کوشد راهِ رسیدن به مسندِ رحمت را سد کند، تا مبادا به‌وسیلهٔ تضرعِ جدّی و ایمان، فیض و قدرتی برای مقاومت در برابر وسوسه به دست آوریم.» Steps to Christ, 94.</w:t>
      </w:r>
    </w:p>
    <w:p>
      <w:pPr>
        <w:pStyle w:val="ArticleBody"/>
        <w:jc w:val="left"/>
      </w:pPr>
      <w:r>
        <w:rPr>
          <w:rFonts w:ascii="Times New Roman" w:hAnsi="Times New Roman" w:eastAsia="Times New Roman" w:cs="Times New Roman"/>
        </w:rPr>
        <w:t>Li gorî tarîtiya naveroka xewna şevê ya Nebukadnezar, Danîel bi sê hevalên xwe re civiyan û dua kirin.</w:t>
      </w:r>
    </w:p>
    <w:p>
      <w:pPr>
        <w:pStyle w:val="ArticleScripture"/>
        <w:jc w:val="left"/>
      </w:pPr>
      <w:r>
        <w:rPr>
          <w:rFonts w:ascii="Times New Roman" w:hAnsi="Times New Roman" w:eastAsia="Times New Roman" w:cs="Times New Roman"/>
        </w:rPr>
        <w:t>Basi Daniel akendaga ku nyumba yakwe, akabamanyisha Hanania, Mishaeli, na Azaria, banu bakwe: ukuti basabe luse ku Nkulunkulu wa mwilu pa ino nsinsimu; ukuti Danieli na banabakwe baleke kufwa pamo ne bambi bonse abamano ba mu Babuloni. Elyo insinsimu yalamwenekelwanga Danieli mu kimwesho kya bushiku. Elyo Danieli akapalaminanga Nkulunkulu wa mwilu. Danieli akaswanga no kwamba ati, Libe ilina lya Nkulunkulu ilyapalaminwa imyaka ne myaka: pantu amano na amaka fyakwe. Kandi ashintha ibihe ne nsita: afumyapo bashemi, kandi abikapo bashemi: apana amano ku bano abamano, ne kumanya ku bano bamanya ukuteganya: Asokolola ifintu ifitala ne fyansinsimu: amanya ifili mu mfifi, ne lubuuto lubelekala pamo naye. Nkukusansha, kandi nkukulumbanya, we Nkulunkulu wa bashikulu bange, wewampela amano na amaka, kandi none wanjimanyisha ifyo twakulombile kuli iwe: pantu none watumanyisha ilyashi lya mfumu. Danieli 2:17–23.</w:t>
      </w:r>
    </w:p>
    <w:p>
      <w:pPr>
        <w:pStyle w:val="ArticleBody"/>
        <w:jc w:val="left"/>
      </w:pPr>
      <w:r>
        <w:rPr>
          <w:rFonts w:ascii="Times New Roman" w:hAnsi="Times New Roman" w:eastAsia="Times New Roman" w:cs="Times New Roman"/>
        </w:rPr>
        <w:t>Daniele bwasheebwa awo n’Oyo “amanyire ekiri omu mwirima.” Enteko y’okuteekaho amateeka ga Sande erikugyenda omu mwirima, kandi abo abariko bemereza ngu balya ebyokurya by’Obwaruhanga bashemereire kumanya oku ekishushani ky’enshamba kirikukorwa, ekirikuteekateekyera omusingye gw’eby’ediini n’eby’obutegyeki ogw’okukakasa akamanyiso k’obushoboorozi bwa papa.</w:t>
      </w:r>
    </w:p>
    <w:p>
      <w:pPr>
        <w:pStyle w:val="ArticleBody"/>
        <w:jc w:val="left"/>
      </w:pPr>
      <w:r>
        <w:rPr>
          <w:rFonts w:ascii="Times New Roman" w:hAnsi="Times New Roman" w:eastAsia="Times New Roman" w:cs="Times New Roman"/>
        </w:rPr>
        <w:t>Mu Daniel kapetala mbili hakitambulishi tu historia ya malaika wa pili katika historia ya Wamillerite, bali kwa njia ya moja kwa moja zaidi kinaonyesha historia ya malaika wa pili katika mwendo wa malaika wa tatu. Katika kupimwa kwa ndoto ya sanamu ya Nebukadneza, jaribu la sanamu ya mnyama linawakilishwa. Hatua za kinabii za watu wa Mungu kuamshwa kwa hali za uzima na mauti za sheria ya Jumapili inayokaribia zinatambulishwa kwa umahususi mkubwa sana katika vitabu vya Danieli na Ufunuo.</w:t>
      </w:r>
    </w:p>
    <w:p>
      <w:pPr>
        <w:pStyle w:val="ArticleBody"/>
        <w:jc w:val="left"/>
      </w:pPr>
      <w:r>
        <w:rPr>
          <w:rFonts w:ascii="Times New Roman" w:hAnsi="Times New Roman" w:eastAsia="Times New Roman" w:cs="Times New Roman"/>
        </w:rPr>
        <w:t>Danyeli, amagerero y’amateka aho ubutumwa bw’ubugingo n’urupfu bw’inzozi z’ishusho busohokera ahagarariwe na we. Ahagarara ku mirire yagezeho arayisobanukirwa, kandi kubw’ukwizera avuga ko Imana ishobora kumenyekanisha iyerekwa, ariko agasaba igihe. Icyo gihe ni igihe cyo gutinda. Ku iherezo ry’igihe cyo gutinda, ahabwa ubumenyi bw’ibyari mu nzozi z’umwijima za Nebukadinezari, ariko si ibyo gusa. Ntabwo yakiriye gusa gusobanukirwa inzozi z’ishusho, zigereranya ishusho ya ya nyamaswa n’ikigeragezo cyayo kijyana na yo, ahubwo ku iherezo ry’igihe cyo gutinda anasingiza Imana kuko Imana “itanga ubwenge ku banyabwenge, kandi igaha ubumenyi abazi gusobanukirwa: ihishura ibintu byimbitse n’ibihishwe: izi ibiri mu mwijima, kandi umucyo ubana na yo.”</w:t>
      </w:r>
    </w:p>
    <w:p>
      <w:pPr>
        <w:pStyle w:val="ArticleBody"/>
        <w:jc w:val="left"/>
      </w:pPr>
      <w:r>
        <w:rPr>
          <w:rFonts w:ascii="Times New Roman" w:hAnsi="Times New Roman" w:eastAsia="Times New Roman" w:cs="Times New Roman"/>
        </w:rPr>
        <w:t>Nabii Daan'el asiri hano kusifu kwake katika muktadha wa kuwapo kwa “kuongezeka kwa maarifa”; kwa maana yeye ambaye katika sura ya kumi na mbili anatambulisha kwamba “wenye hekima” wataelewa “kuongezeka kwa maarifa”, naye pia anamsifu Mungu kwa kuwa Yeye amewapa “hekima” na “maarifa” “wenye hekima.” Anawarejelea moja kwa moja wanawali wenye hekima, na kuiunganisha nyakati zake na wakati wa kukawia. Anaweka moja kwa moja mfano unaopatikana katika sura ya pili ndani ya utimilifu mkamilifu wa wakati wa kukawia wa Mathayo ishirini na tano katika uamsho wa malaika wa tatu. La maana zaidi ni ukweli kwamba kitabu cha Ufunuo kinatambulisha ya kuwa, muda mfupi kabla ya kufungwa kwa muda wa rehema, Yohana aliambiwa asiyatie muhuri maneno ya unabii wa vitabu vya Daan'el na Ufunuo, kwa maana ni kitabu kilekile.</w:t>
      </w:r>
    </w:p>
    <w:p>
      <w:pPr>
        <w:pStyle w:val="ArticleScripture"/>
        <w:jc w:val="left"/>
      </w:pPr>
      <w:r>
        <w:rPr>
          <w:rFonts w:ascii="Times New Roman" w:hAnsi="Times New Roman" w:eastAsia="Times New Roman" w:cs="Times New Roman"/>
        </w:rPr>
        <w:t>Na akaniambia, Usiyatie muhuri maneno ya unabii wa kitabu hiki, kwa maana wakati umekaribia. Yeye asiye haki, na azidi kuwa asiye haki bado; na yeye aliye mchafu, na azidi kuwa mchafu bado; na yeye aliye mwenye haki, na azidi kuwa mwenye haki bado; na yeye aliye mtakatifu, na azidi kuwa mtakatifu bado. Ufunuo 22:10, 11.</w:t>
      </w:r>
    </w:p>
    <w:p>
      <w:pPr>
        <w:pStyle w:val="ArticleBody"/>
        <w:jc w:val="left"/>
      </w:pPr>
      <w:r>
        <w:rPr>
          <w:rFonts w:ascii="Times New Roman" w:hAnsi="Times New Roman" w:eastAsia="Times New Roman" w:cs="Times New Roman"/>
        </w:rPr>
        <w:t>Muda lapho iziprofetho zikaDanyela nezeSambulo kuyakuvululwa khona kusemkhathini wokulibala womfanekiso wezintombi eziyishumi, futhi leso sikhathi simelwe yisicelo sikaDanyela sokunikwa isikhathi. Isicelo sakhe sesikhathi salandelwa ngumkhuleko, okumelwe kwenzeke ngaphambi kovuko lwamathambo omile abafileyo. Esikhathini lapho kwembulwa khona ukwanda kolwazi nokuqonda komfanekiso wephupho owembeswe ubumnyama, uNkulunkulu wamenzela uDanyela okunye futhi. “Wembula izinto ezijulileyo neziyimfihlo.” Into eyimfihlo emlandweni weSikhalo Saphakathi Kwamabili iyisiprofetho esiseSambulweni esivulwa kancane ngaphambi kokuba umusa wokuhlolwa uvalwe. Leyo nto “ejulileyo neyimfihlo” iyi “qiniso.”</w:t>
      </w:r>
    </w:p>
    <w:p>
      <w:pPr>
        <w:pStyle w:val="ArticleBody"/>
        <w:jc w:val="left"/>
      </w:pPr>
      <w:r>
        <w:rPr>
          <w:rFonts w:ascii="Times New Roman" w:hAnsi="Times New Roman" w:eastAsia="Times New Roman" w:cs="Times New Roman"/>
        </w:rPr>
        <w:t>Ukuri kuba urufunguzo rw’ubuhanuzi rufungurirwa intumwa igereranywa na Daniyeli, rugatuma amateka ahishwe y’“inkuba ndwi” amenyekana. Ayo mateka ahishwe ni amateka y’ibimenyetso bitatu by’inzira. Icya mbere ni ugucika intege, kandi icya nyuma ni ugucika intege, nk’uko byagaragajwe mu mateka y’Abamilerite. Ijambo ry’Igiheburayo risobanurwa ngo “ukuri” ryaremwe n’“Umuhanga w’Indimi w’Igitangaza,” binyuze mu guhuza inyuguti ya mbere, iya cumi na gatatu, n’iya nyuma yo mu nyuguti z’Igiheburayo. Yesu ni Uwa mbere n’Uwa nyuma, kandi ni we “kuri.” Imiterere y’iryo jambo ryaremwe n’“Umuhanga w’Indimi w’Igitangaza” igaragaza ibimenyetso bitatu by’ubuhanuzi byari amateka ahishwe y’“inkuba ndwi,” byagombaga gushyirwaho ikimenyetso kugeza Daniyeli asabye “igihe” maze akajya gusenga.</w:t>
      </w:r>
    </w:p>
    <w:p>
      <w:pPr>
        <w:pStyle w:val="ArticleBody"/>
        <w:jc w:val="left"/>
      </w:pPr>
      <w:r>
        <w:rPr>
          <w:rFonts w:ascii="Times New Roman" w:hAnsi="Times New Roman" w:eastAsia="Times New Roman" w:cs="Times New Roman"/>
        </w:rPr>
        <w:t>Хәбәрдарбуунигә، 2020-жил 18-июлдики көңүл қайтиш биринчи бәлгү нуқтиси иди، вә у үч бәлгү нуқтисиниң ахирқиси болған Йәкшәнбә қануниға мунасивәтлик көңүл қайтишни тәсвирләйду. Оттуридики һәрп, он үчинчи һәрп, исиянниң рәмзидур, шундақла у йәттә гүлдүрмаминиң йошурун тарихидики оттура бәлгү нуқтисиниң рәмзидур. Бу исиян Түн йеримдики Чақириқ вақтида әқилсиз қизлар арқилиқ ипадилиниду, чүнки Түн йеримдики Чақириқ 2020-жил 18-июлниң үч басқучлуқ тарихи, Түн йеримдики Чақириқ вә тез арида келидиған Йәкшәнбә қанунидин ибарәт болған тарихниң оттура бәлгү нуқтисидур. Түн йерим болған һаман, вақит он үчинчи саәткә кириду; шу йәрдә әқилсиз қизларниң көзгә көрүнәрлик ипадиси уларниң алтун йеғи йоқлуқини тонуп йетиши арқилиқ намайән болиду.</w:t>
      </w:r>
    </w:p>
    <w:p>
      <w:pPr>
        <w:pStyle w:val="ArticleBody"/>
        <w:jc w:val="left"/>
      </w:pPr>
      <w:r>
        <w:rPr>
          <w:rFonts w:ascii="Times New Roman" w:hAnsi="Times New Roman" w:eastAsia="Times New Roman" w:cs="Times New Roman"/>
        </w:rPr>
        <w:t>Ufunuo wa ishara wa “jangwani” wa “siku tatu na nusu” wa Ufunuo sura ya kumi na moja unaonyesha kwamba watu wa Mungu wamo katika historia ya kiishara ya laana ya “nyakati saba.” Mwishoni mwa kipindi hicho, wanapaswa kutambua kwamba wametawanywa, kwamba wametenda dhambi, kwamba baba zao wametenda dhambi, kwamba wamekuwa wakienenda kinyume na Mungu, na kwamba Mungu amekuwa akienenda kinyume nao. Utambuzi huo unapaswa kuwaongoza kuomba sala ya Mambo ya Walawi ishirini na sita. Utambuzi huo, kwamba ni lazima waombe sala ya Mambo ya Walawi ishirini na sita, unaafikiana kinabii na sala ya Danieli ya Danieli sura ya pili, na unaonyeshwa kwa mfano na sala ya Danieli katika sura ya tisa. Sababu iliyomfanya Danieli kuomba sala ya Mambo ya Walawi ishirini na sita katika sura ya tisa ilitegemea utambuzi wake kwamba alikuwa kwenye mwisho wa ile miaka sabini ya unabii wa Yeremia kuhusu utumwa wa watu wa Mungu.</w:t>
      </w:r>
    </w:p>
    <w:p>
      <w:pPr>
        <w:pStyle w:val="ArticleBody"/>
        <w:jc w:val="left"/>
      </w:pPr>
      <w:r>
        <w:rPr>
          <w:rFonts w:ascii="Times New Roman" w:hAnsi="Times New Roman" w:eastAsia="Times New Roman" w:cs="Times New Roman"/>
        </w:rPr>
        <w:t>A myaka makumi musanvu ayo nyene aserukira amateka y’ugushirwako ikimenyetso kw’ubwoko bw’Imana. Ayo myaka makumi musanvu aserukira uguhumanurwa kwa Malaki igice ca gatatu n’uguhumanura urusengero kwa Kristo incuro zibiri. Aserukira amateka y’ikigeragezo c’ishusho y’inyamaswa. Ayo mateka yatanguye ku wa 11 Nyakanga 2001, kandi arangirira ku tegeko ryo ku wa Mungu rigiye kuza vuba. Ku mpera y’ico kiringo c’ikigereranyo c’imyaka makumi musanvu, Daniyeli arondera “igihe co guteba” kugira ngo ashobore gusenga. Isengesho ryiwe ryarishuwe igihe ibanga rya nyuma ry’ubuhanuzi ryahishurirwa we. Iryo hishurwa ryaje igihe ubwoko bw’Imana nyakuri bw’Abaporotesitanti bwari bukiri mu “bugaragwa” mu gihe c’ugusabagurikira inyuma ya 18 Mukakaro 2020. Muri ico gihe “ukuri” kwahishuriwe “ijwi rivugiriza mu bugaragwa”.</w:t>
      </w:r>
    </w:p>
    <w:p>
      <w:pPr>
        <w:pStyle w:val="ArticleBody"/>
        <w:jc w:val="left"/>
      </w:pPr>
      <w:r>
        <w:rPr>
          <w:rFonts w:ascii="Times New Roman" w:hAnsi="Times New Roman" w:eastAsia="Times New Roman" w:cs="Times New Roman"/>
        </w:rPr>
        <w:t>Tukwendelea na Danieli sura ya pili katika makala inayofuata.</w:t>
      </w:r>
    </w:p>
    <w:p>
      <w:pPr>
        <w:pStyle w:val="ArticleScripture"/>
        <w:jc w:val="left"/>
      </w:pPr>
      <w:r>
        <w:rPr>
          <w:rFonts w:ascii="Times New Roman" w:hAnsi="Times New Roman" w:eastAsia="Times New Roman" w:cs="Times New Roman"/>
        </w:rPr>
        <w:t>Û hêrsa Xudan li ser vê welatê hate şewitandin, da ku hemû nifirên ku di vê pirtûkê de hatine nivîsandin bi ser wê bîne; û Xudan wan bi hêrs, bi gazeb, û bi xezeba mezin ji axa xwe derqetand û avêtin welatekî din, wek ku îro ye. Tiştên veşartî ji Xudanê me yê Xwedê ne; lê tiştên ku hatine eşkerekirin ji me û ji zarokên me re heta hetayê ne, da ku em hemû gotinên vê zagona pêk bînin. Tesniye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Buchu bwa Danieri - Namba Ikumi na Ibbiri</dc:title>
  <dc:subject>Ubwiza bw’umwijima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