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Moja</w:t>
      </w:r>
    </w:p>
    <w:p>
      <w:pPr>
        <w:pStyle w:val="ArticleSubtitle"/>
        <w:jc w:val="left"/>
      </w:pPr>
      <w:r>
        <w:rPr>
          <w:rFonts w:ascii="Segoe UI" w:hAnsi="Segoe UI" w:eastAsia="Segoe UI" w:cs="Segoe UI"/>
        </w:rPr>
        <w:t>سیمبولیسمی</w:t>
      </w:r>
      <w:r>
        <w:rPr>
          <w:rFonts w:ascii="Arial" w:hAnsi="Arial" w:eastAsia="Arial" w:cs="Arial"/>
        </w:rPr>
        <w:t xml:space="preserve"> </w:t>
      </w:r>
      <w:r>
        <w:rPr>
          <w:rFonts w:ascii="Segoe UI" w:hAnsi="Segoe UI" w:eastAsia="Segoe UI" w:cs="Segoe UI"/>
        </w:rPr>
        <w:t>هیکل</w:t>
      </w:r>
      <w:r>
        <w:rPr>
          <w:rFonts w:ascii="Arial" w:hAnsi="Arial" w:eastAsia="Arial" w:cs="Arial"/>
        </w:rPr>
        <w:t xml:space="preserve">: </w:t>
      </w:r>
      <w:r>
        <w:rPr>
          <w:rFonts w:ascii="Segoe UI" w:hAnsi="Segoe UI" w:eastAsia="Segoe UI" w:cs="Segoe UI"/>
        </w:rPr>
        <w:t>آشکارکردن</w:t>
      </w:r>
      <w:r>
        <w:rPr>
          <w:rFonts w:ascii="Arial" w:hAnsi="Arial" w:eastAsia="Arial" w:cs="Arial"/>
        </w:rPr>
        <w:t xml:space="preserve"> </w:t>
      </w:r>
      <w:r>
        <w:rPr>
          <w:rFonts w:ascii="Segoe UI" w:hAnsi="Segoe UI" w:eastAsia="Segoe UI" w:cs="Segoe UI"/>
        </w:rPr>
        <w:t>رازەکانی</w:t>
      </w:r>
      <w:r>
        <w:rPr>
          <w:rFonts w:ascii="Arial" w:hAnsi="Arial" w:eastAsia="Arial" w:cs="Arial"/>
        </w:rPr>
        <w:t xml:space="preserve"> </w:t>
      </w:r>
      <w:r>
        <w:rPr>
          <w:rFonts w:ascii="Segoe UI" w:hAnsi="Segoe UI" w:eastAsia="Segoe UI" w:cs="Segoe UI"/>
        </w:rPr>
        <w:t>پەیوەندیی</w:t>
      </w:r>
      <w:r>
        <w:rPr>
          <w:rFonts w:ascii="Arial" w:hAnsi="Arial" w:eastAsia="Arial" w:cs="Arial"/>
        </w:rPr>
        <w:t xml:space="preserve"> </w:t>
      </w:r>
      <w:r>
        <w:rPr>
          <w:rFonts w:ascii="Segoe UI" w:hAnsi="Segoe UI" w:eastAsia="Segoe UI" w:cs="Segoe UI"/>
        </w:rPr>
        <w:t>خودایی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مرۆیی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डंडे</w:t>
      </w:r>
      <w:r>
        <w:rPr>
          <w:rFonts w:ascii="Times New Roman" w:hAnsi="Times New Roman" w:eastAsia="Times New Roman" w:cs="Times New Roman"/>
        </w:rPr>
        <w:t xml:space="preserve"> </w:t>
      </w:r>
      <w:r>
        <w:rPr>
          <w:rFonts w:ascii="Nirmala UI" w:hAnsi="Nirmala UI" w:eastAsia="Nirmala UI" w:cs="Nirmala UI"/>
        </w:rPr>
        <w:t>आपस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723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ढा</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2001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धकेल</w:t>
      </w:r>
      <w:r>
        <w:rPr>
          <w:rFonts w:ascii="Times New Roman" w:hAnsi="Times New Roman" w:eastAsia="Times New Roman" w:cs="Times New Roman"/>
        </w:rPr>
        <w:t xml:space="preserve"> </w:t>
      </w:r>
      <w:r>
        <w:rPr>
          <w:rFonts w:ascii="Nirmala UI" w:hAnsi="Nirmala UI" w:eastAsia="Nirmala UI" w:cs="Nirmala UI"/>
        </w:rPr>
        <w:t>दिया।</w:t>
      </w:r>
    </w:p>
    <w:p>
      <w:pPr>
        <w:pStyle w:val="ArticleBody"/>
        <w:jc w:val="left"/>
      </w:pPr>
      <w:r>
        <w:rPr>
          <w:rFonts w:ascii="Times New Roman" w:hAnsi="Times New Roman" w:eastAsia="Times New Roman" w:cs="Times New Roman"/>
        </w:rPr>
        <w:t>Pawulo aheereekya ekanisa nk’omubiri, kandi Kristo nk’omutwe; kandi Pawulo akozesa omubiri nk’akamanyiso k’omubiri gw’ennyama. Ebigambo “ennyama” n’“omubiri” eri Pawulo nibisobola okukozesebwa mu buryo obw’okuwanyisigana.</w:t>
      </w:r>
    </w:p>
    <w:p>
      <w:pPr>
        <w:pStyle w:val="ArticleScripture"/>
        <w:jc w:val="left"/>
      </w:pPr>
      <w:r>
        <w:rPr>
          <w:rFonts w:ascii="Times New Roman" w:hAnsi="Times New Roman" w:eastAsia="Times New Roman" w:cs="Times New Roman"/>
        </w:rPr>
        <w:t>Nkambo kana nǔ bena kuishi ku nzutu ya mubili, nǔ fwa; kanshi kana nǔ bena kuponena ku meso a Mpeve, mukafwelela miimo ya mubili, nǔ kala ne mwoyo. Roma 8:13.</w:t>
      </w:r>
    </w:p>
    <w:p>
      <w:pPr>
        <w:pStyle w:val="ArticleBody"/>
        <w:jc w:val="left"/>
      </w:pPr>
      <w:r>
        <w:rPr>
          <w:rFonts w:ascii="Times New Roman" w:hAnsi="Times New Roman" w:eastAsia="Times New Roman" w:cs="Times New Roman"/>
        </w:rPr>
        <w:t>Kutegura kw’urusengero rw’umuntu gushingiye ku kutegura kw’urusengero rw’Imana. Umubiri, ari wo Torero, ugereranywa n’umubiri w’inyama mu rusengero rw’umuntu ku giti cye. Mu rusengero rw’umuntu ku giti cye, ubwenge ni bwo mutwe, kandi umubiri ni wo nyama.</w:t>
      </w:r>
    </w:p>
    <w:p>
      <w:pPr>
        <w:pStyle w:val="ArticleScripture"/>
        <w:jc w:val="left"/>
      </w:pPr>
      <w:r>
        <w:rPr>
          <w:rFonts w:ascii="Times New Roman" w:hAnsi="Times New Roman" w:eastAsia="Times New Roman" w:cs="Times New Roman"/>
        </w:rPr>
        <w:t>Hinu twebake ba mubili wakwe, ba mubili gw’inyama yakwe, kandi ba magufa ye. Ni co gituma umuntu azosiga se na nyina, akifatanya n’umugore wiwe, kandi abo babiri bazoba umubiri umwe. Iri ni banga rikomeye cane: ariko ndavuga ibya Kristo n’Ishengero. Abanyefeso 5:30–32.</w:t>
      </w:r>
    </w:p>
    <w:p>
      <w:pPr>
        <w:pStyle w:val="ArticleBody"/>
        <w:jc w:val="left"/>
      </w:pPr>
      <w:r>
        <w:rPr>
          <w:rFonts w:ascii="Times New Roman" w:hAnsi="Times New Roman" w:eastAsia="Times New Roman" w:cs="Times New Roman"/>
        </w:rPr>
        <w:t>Ithempeli uJohane ayemelwe ukuyikala, ngesikhathi ukukhala kwengelosi yesikhombisa kuphawula ukuqala komsebenzi wokuqedela imfihlakalo kaNkulunkulu, kwakuyithempeli likaNkulunkulu; kodwa ithempeli lomuntu ladalwa ngomfanekiso wethempeli likaNkulunkulu. Ziyizimpawu ezingasetshenziswa ngokushintshana. UMose wayesentabeni izinsuku ezingamashumi amane nesithupha lapho ekhombiswa isibonelo ayemelwe ukusisebenzisa ekumiseni itabernakele lasemhlabeni. Leso sibonelo sathathwa ethempelini lasezulwini.</w:t>
      </w:r>
    </w:p>
    <w:p>
      <w:pPr>
        <w:pStyle w:val="ArticleBody"/>
        <w:jc w:val="left"/>
      </w:pPr>
      <w:r>
        <w:rPr>
          <w:rFonts w:ascii="Times New Roman" w:hAnsi="Times New Roman" w:eastAsia="Times New Roman" w:cs="Times New Roman"/>
        </w:rPr>
        <w:t>Kriste akali Tempelo ya likulu, yashoonywilwe mu mubili, kabiji Yewe ulekelesha kilengelo kya tempelo ya muntu, mambo bantu bapangilwe mu kifwanyikisho Kyanje. Pa mulandu uno, kilengelo kya tempelo ya muntu kilekeleshiwa na ma-chromosome makumi anayi na mutanda.</w:t>
      </w:r>
    </w:p>
    <w:p>
      <w:pPr>
        <w:pStyle w:val="ArticleBody"/>
        <w:jc w:val="left"/>
      </w:pPr>
      <w:r>
        <w:rPr>
          <w:rFonts w:ascii="Times New Roman" w:hAnsi="Times New Roman" w:eastAsia="Times New Roman" w:cs="Times New Roman"/>
        </w:rPr>
        <w:t>Mahalu ni ya kubadilishana kiunabii. Kwa hiyo, hekalu ambalo Yohana aliagizwa kulipima lilikuwa na vyumba viwili tu, bila ua. Chumba cha kwanza kinawakilisha hekalu la kibinadamu, kanisa (bibi-arusi), taifa, mwili, yaani, mwili wa nyama. Chumba cha pili kinawakilisha hekalu la kiungu, bwana-arusi, mfalme, kichwa, yaani, akili. Ahadi ya agano la milele inayotimizwa kwa ajili ya wale mia moja arobaini na nne elfu katika siku za mwisho, imeonyeshwa kwa mifano kwa vijiti viwili vya Ezekieli sura ya thelathini na saba. Imeonyeshwa kwa mfano kwa hekalu la Yohana, ambalo lina vyumba viwili. Imeonyeshwa kwa mifano kwa ufafanuzi mahsusi wa Paulo kuhusu siri ya Kristo ndani ya mwamini, tumaini la utukufu.</w:t>
      </w:r>
    </w:p>
    <w:p>
      <w:pPr>
        <w:pStyle w:val="ArticleBody"/>
        <w:jc w:val="left"/>
      </w:pPr>
      <w:r>
        <w:rPr>
          <w:rFonts w:ascii="Times New Roman" w:hAnsi="Times New Roman" w:eastAsia="Times New Roman" w:cs="Times New Roman"/>
        </w:rPr>
        <w:t>144,000-cüleriň möhürleniş işi, Hudaýlyk bilen adamzat tebigatynyň hemişelik birleşdiriliş işidir. Bu iş Ýedinji Surnaýyň sesleniş döwründe amala aşyrylýar. Bu birleşme Mukaddes Ýazgylarda, setir üstüne setir, dürli usullar bilen görkezilýär. Aklandyrylyş we mukaddesleniş işi bu işiň teologik atlarydyr. Aklandyrylyş Mesihiň biziň Orun Tutujymyz hökmünde edýän işidir, mukaddesleniş işi bolsa Mesihiň biziň Göreldämiz hökmünde edýän işidir. Aklandyrylyş biziň gök üçin hukugymyzy, mukaddesleniş bolsa gök üçin laýyklygymyzy aňladýar. Bu işleriň ikisi-de mukaddes Ruhuň huzury arkaly ynanýana ýetirilýär. Bu iş, ebedi ähete kabul edilenleriň ýüreklerine we akyllaryna Hudaýyň kanunynyň ýazylmagy hökmünde görkezilýär.</w:t>
      </w:r>
    </w:p>
    <w:p>
      <w:pPr>
        <w:pStyle w:val="ArticleBody"/>
        <w:jc w:val="left"/>
      </w:pPr>
      <w:r>
        <w:rPr>
          <w:rFonts w:ascii="Times New Roman" w:hAnsi="Times New Roman" w:eastAsia="Times New Roman" w:cs="Times New Roman"/>
        </w:rPr>
        <w:t>“Ubwenge” bugereranya icyumba cyo mu rusengero, aho umutwe uba. Ubwenge ni bwo bwitwa kamere yo hejuru, butandukanye n’umubiri, ari wo kamere yo hasi. Ubwenge bugereranywa n’ibitekerezo byacu, umubiri na wo ugasobanurwa n’amarangamutima yacu.</w:t>
      </w:r>
    </w:p>
    <w:p>
      <w:pPr>
        <w:pStyle w:val="ArticleScripture"/>
        <w:jc w:val="left"/>
      </w:pPr>
      <w:r>
        <w:rPr>
          <w:rFonts w:ascii="Times New Roman" w:hAnsi="Times New Roman" w:eastAsia="Times New Roman" w:cs="Times New Roman"/>
        </w:rPr>
        <w:t>“Gelek kê bêpêdivî dikevin nav xemgîniyê. Ew hişê xwe ji Îsa vedigirin û zêde li ser xwe disekinin. Ew zehmetiyên biçûk mezin dikin û axaftinên bêhêvîbûnê dikin. Ew bi gunehê mezin yê gazindebûna bêpêdivî li ser xwedîtiya Xwedê suçdar in. Ji bo her tiştê ku em hene û em in, em deyndarê Xwedê ne. Wî hêzên me dayîn ku, heta radeyekê, dişibin wan hêzên ku ew bixwe xwedî wan e; û divê em bi cidî bixebitin da ku van hêzan pêş bixînin, ne ji bo ku xwe razî bikin û xwe bilind bikin, lê ji bo ku wî rûmetdar bikin.”</w:t>
      </w:r>
    </w:p>
    <w:p>
      <w:pPr>
        <w:pStyle w:val="ArticleScripture"/>
        <w:jc w:val="left"/>
      </w:pPr>
      <w:r>
        <w:rPr>
          <w:rFonts w:ascii="Times New Roman" w:hAnsi="Times New Roman" w:eastAsia="Times New Roman" w:cs="Times New Roman"/>
        </w:rPr>
        <w:t>“Kimana tulenge vevulanu vietu vihehuhia kutoka katika uaminifu kwa Mungu. Kupitia kwa Kristo twaweza, tena twapaswa, kuwa na furaha, na twapaswa kujipatia mazoea ya kujitawala. Hata mawazo yenyewe sharti yatiishwe chini ya mapenzi ya Mungu, na hisia ziwekwe chini ya uongozi wa akili na dini. Mawazo ya kubuni hatukupewa ili yaachwe yakimbie ovyo na kufuata njia yake yenyewe, pasipo jitihada yo yote ya kuyazuia na kuyafundisha nidhamu. Ikiwa mawazo ni mabaya, hisia zitakuwa mbaya; na mawazo na hisia kwa pamoja ndivyo vinavyoufanya tabia ya maadili. Tunapoamua kwamba sisi, kama Wakristo, hatuhitaji kuyazuia mawazo na hisia zetu, tunawekwa chini ya mvuto wa malaika waovu, nasi twakaribisha uwepo wao na utawala wao. Tukijisalimisha kwa hisia zetu za ndani na kuyaacha mawazo yetu yaende katika mkondo wa mashaka, kutokuamini, na kulalamika, tutakuwa wenye kutokuwa na furaha, na maisha yetu yatathibitika kuwa kushindwa.” Review and Herald, April 21, 1885.</w:t>
      </w:r>
    </w:p>
    <w:p>
      <w:pPr>
        <w:pStyle w:val="ArticleBody"/>
        <w:jc w:val="left"/>
      </w:pPr>
      <w:r>
        <w:rPr>
          <w:rFonts w:ascii="Times New Roman" w:hAnsi="Times New Roman" w:eastAsia="Times New Roman" w:cs="Times New Roman"/>
        </w:rPr>
        <w:t>Mawazo na hisia vikichangamana huunda tabia ya maadili. Tabia yetu inaundwa na asili ya chini na asili ya juu; akili ndiyo asili ya juu, na kama mawazo ya akili yametakaswa, hisia zetu zitatakaswa. Hili ni kwa sababu akili ndiyo asili ya juu inayotawala miongoni mwa hizi asili mbili zinazounda ubinadamu wetu. “Uwezo” ambao uliumbwa kuwa sehemu ya nafsi yetu, “kwa kadiri fulani,” “unafanana na ule ambao” Kristo “anao,” kwa maana tuliumbwa kwa mfano Wake, nasi “tunapaswa kujitahidi kwa bidii kuukuza” huo “uwezo.”</w:t>
      </w:r>
    </w:p>
    <w:p>
      <w:pPr>
        <w:pStyle w:val="ArticleBody"/>
        <w:jc w:val="left"/>
      </w:pPr>
      <w:r>
        <w:rPr>
          <w:rFonts w:ascii="Times New Roman" w:hAnsi="Times New Roman" w:eastAsia="Times New Roman" w:cs="Times New Roman"/>
        </w:rPr>
        <w:t>Amaka agali mu butonde obusingako obwa waggulu, oba mu magezi g’omuntu, ge gano: okusalawo, okujjukira, omwoyo gw’okumanya ekituufu n’ekikyamu, era naddala okwagala okw’okusalawo.</w:t>
      </w:r>
    </w:p>
    <w:p>
      <w:pPr>
        <w:pStyle w:val="ArticleScripture"/>
        <w:jc w:val="left"/>
      </w:pPr>
      <w:r>
        <w:rPr>
          <w:rFonts w:ascii="Times New Roman" w:hAnsi="Times New Roman" w:eastAsia="Times New Roman" w:cs="Times New Roman"/>
        </w:rPr>
        <w:t>“Bavangi bi na kuyuulanga nti, ‘Ningakola ntya okwewaayo kwange eri Katonda?’ Oyagala okwewaayo gy’ali, naye oli munafu mu maanyi ag’empisa, oli mu buddu bw’okubuusabuusa, era ofugibwa emize gy’obulamu bwo obw’ekibi. Ebyo by’osuubiza n’ebyo by’oteesa biba ng’emigwa gy’omusenyu. Toyinza kufuga birowoozo byo, ebyo ebikusindiikiriza, n’okwagala kwo. Okumanya nti osuubizza n’omenya, era nti ojeemye ebyo bye weeyama, kunafuya obwesige bwo mu bwesimbu bwo ggwe kennyini, ne kukuleetera okuwulira nti Katonda tayinza kukukkiriza; naye teweetaaga kuvunaanwa essuubi. Ky’olina okwetegeera ge maanyi amatuufu ag’okwagala. Gano ge maanyi agafuga mu butonde bw’omuntu, amaanyi ag’okusalawo oba ag’okulonda. Buli kintu kyesigamye ku kukola okutufu okw’okwagala. Amaanyi ag’okulonda Katonda yagawa abantu; gaabwe okugakozesa. Toyinza kukyusa mutima gwo, toyinza ggwe kennyini kuwa Katonda okwagala kwagwo; naye osobola okulonda okumuweereza. Osobola okumuwa okwagala kwo; awo nno Alikola mu ggwe okwagalanga n’okukolanga ng’okusiima Kwe bwe kuli. Bwe kityo obutonde bwo bwonna bulifugibwa Omwoyo wa Kristo; okwagala kwo kulisinga kwesimba ku Ye, n’ebiroowoozo byo birikwatagana naye.”</w:t>
      </w:r>
    </w:p>
    <w:p>
      <w:pPr>
        <w:pStyle w:val="ArticleScripture"/>
        <w:jc w:val="left"/>
      </w:pPr>
      <w:r>
        <w:rPr>
          <w:rFonts w:ascii="Times New Roman" w:hAnsi="Times New Roman" w:eastAsia="Times New Roman" w:cs="Times New Roman"/>
        </w:rPr>
        <w:t>“Ubuhizi bwo kugira neza n’ubweranda ni bwiza uko bugera hose; ariko nimuhagarara aha, nta cyo buzamarira. Benshi bazarimbuka bari mu kwiringira no kwifuza kuba Abakristo. Ntibagera aho bemerera ubushake bwabo gushyikirizwa Imana. Nta bwo ubu bahitamo kuba Abakristo.</w:t>
      </w:r>
    </w:p>
    <w:p>
      <w:pPr>
        <w:pStyle w:val="ArticleScripture"/>
        <w:jc w:val="left"/>
      </w:pPr>
      <w:r>
        <w:rPr>
          <w:rFonts w:ascii="Times New Roman" w:hAnsi="Times New Roman" w:eastAsia="Times New Roman" w:cs="Times New Roman"/>
        </w:rPr>
        <w:t>“Nakit babae ti umno a panangaramid iti pagayat, mabalin a mapasamak ti naan-anay a panagbaliw iti biagmo. Babaen ti panangisuko iti pagayatmo ken Cristo, makikammayetka iti pannakabalin nga adda iti ngatoen dagiti amin a pagturayan ken pannakabalin. Addanto kenka ti pigsa a naggapu iti ngato tapno salaknibannaka a natibker, ket kasta babaen ti di mapukaw a panagisuko iti Dios, mapabalinka a mangbiag iti baro a biag, wenno ti mismo a biag ti pammati.” Steps to Christ, 47, 48.</w:t>
      </w:r>
    </w:p>
    <w:p>
      <w:pPr>
        <w:pStyle w:val="ArticleBody"/>
        <w:jc w:val="left"/>
      </w:pPr>
      <w:r>
        <w:rPr>
          <w:rFonts w:ascii="Times New Roman" w:hAnsi="Times New Roman" w:eastAsia="Times New Roman" w:cs="Times New Roman"/>
        </w:rPr>
        <w:t>هِزَا ئیرادە، لە سروشتی مرۆڤدا «هێزی حوکمڕان»ە، و ئەو حوکمڕانە لەو بەشەی پەرستگای مرۆییدا جێگیرە کە هاوپەیوەستە «لەگەڵ ئەو هێزەی کە لە سەر هەموو سەرکردایەتی و دەسەڵاتێکەوەیە.» ئەو شوێنەی تێیدا یەکگرتنی خوداوەندێتی لەگەڵ مرۆڤایەتی لە پەرستگای مرۆییدا ڕوودەدات، قەڵای ڕۆحە. هەر مرۆڤێک قەڵایەکی هەیە، و یان مەسیح داگیری کردووە، یان دوژمنی گەورەی مەسیح.</w:t>
      </w:r>
    </w:p>
    <w:p>
      <w:pPr>
        <w:pStyle w:val="ArticleScripture"/>
        <w:jc w:val="left"/>
      </w:pPr>
      <w:r>
        <w:rPr>
          <w:rFonts w:ascii="Times New Roman" w:hAnsi="Times New Roman" w:eastAsia="Times New Roman" w:cs="Times New Roman"/>
        </w:rPr>
        <w:t>“Kristu napabamo kana kukwata citadel ya mweya, muntu uyo aba umo na ena. Kabili uyo uwaba umo na Kristu, ukulama ubumo bwakwe, ukumutemika pa mutima ngo Mfumu, no kumfwila amafunde yakwe, alacingililwa ku misampi ya mubifi. Uyo waikatana na Kristu, aponkela kuli ena imisango ya nkumbu yakwe Kristu, kabili atambulisha amaka, no butuntulu, no bulombolombo ku Mfumu mu kuwangila imyeyo kuli ena. Mu kubombela pamo no Mupusushi aba cintu ico Lesa abombelamo. Elyo Satana nga eisa no kwesha ukukwata mweya, asanga ukuti Kristu amucitile ukuba wa maka ukucila umuntu wa maka uyo waikala no bulwi.” Review and Herald, December 12, 1899.</w:t>
      </w:r>
    </w:p>
    <w:p>
      <w:pPr>
        <w:pStyle w:val="ArticleBody"/>
        <w:jc w:val="left"/>
      </w:pPr>
      <w:r>
        <w:rPr>
          <w:rFonts w:ascii="Nirmala UI" w:hAnsi="Nirmala UI" w:eastAsia="Nirmala UI" w:cs="Nirmala UI"/>
        </w:rPr>
        <w:t>ಉಪಮಾನಾತ್ಮದ</w:t>
      </w:r>
      <w:r>
        <w:rPr>
          <w:rFonts w:ascii="Times New Roman" w:hAnsi="Times New Roman" w:eastAsia="Times New Roman" w:cs="Times New Roman"/>
        </w:rPr>
        <w:t xml:space="preserve"> </w:t>
      </w:r>
      <w:r>
        <w:rPr>
          <w:rFonts w:ascii="Nirmala UI" w:hAnsi="Nirmala UI" w:eastAsia="Nirmala UI" w:cs="Nirmala UI"/>
        </w:rPr>
        <w:t>ಕೋಟೆಯು</w:t>
      </w:r>
      <w:r>
        <w:rPr>
          <w:rFonts w:ascii="Times New Roman" w:hAnsi="Times New Roman" w:eastAsia="Times New Roman" w:cs="Times New Roman"/>
        </w:rPr>
        <w:t xml:space="preserve"> </w:t>
      </w:r>
      <w:r>
        <w:rPr>
          <w:rFonts w:ascii="Nirmala UI" w:hAnsi="Nirmala UI" w:eastAsia="Nirmala UI" w:cs="Nirmala UI"/>
        </w:rPr>
        <w:t>ಮಾನವನ</w:t>
      </w:r>
      <w:r>
        <w:rPr>
          <w:rFonts w:ascii="Times New Roman" w:hAnsi="Times New Roman" w:eastAsia="Times New Roman" w:cs="Times New Roman"/>
        </w:rPr>
        <w:t xml:space="preserve"> </w:t>
      </w:r>
      <w:r>
        <w:rPr>
          <w:rFonts w:ascii="Nirmala UI" w:hAnsi="Nirmala UI" w:eastAsia="Nirmala UI" w:cs="Nirmala UI"/>
        </w:rPr>
        <w:t>ಹೃದಯವೂ</w:t>
      </w:r>
      <w:r>
        <w:rPr>
          <w:rFonts w:ascii="Times New Roman" w:hAnsi="Times New Roman" w:eastAsia="Times New Roman" w:cs="Times New Roman"/>
        </w:rPr>
        <w:t xml:space="preserve"> </w:t>
      </w:r>
      <w:r>
        <w:rPr>
          <w:rFonts w:ascii="Nirmala UI" w:hAnsi="Nirmala UI" w:eastAsia="Nirmala UI" w:cs="Nirmala UI"/>
        </w:rPr>
        <w:t>ಮನಸ್ಸೂ</w:t>
      </w:r>
      <w:r>
        <w:rPr>
          <w:rFonts w:ascii="Times New Roman" w:hAnsi="Times New Roman" w:eastAsia="Times New Roman" w:cs="Times New Roman"/>
        </w:rPr>
        <w:t xml:space="preserve"> </w:t>
      </w:r>
      <w:r>
        <w:rPr>
          <w:rFonts w:ascii="Nirmala UI" w:hAnsi="Nirmala UI" w:eastAsia="Nirmala UI" w:cs="Nirmala UI"/>
        </w:rPr>
        <w:t>ಆಗಿವೆ</w:t>
      </w:r>
      <w:r>
        <w:rPr>
          <w:rFonts w:ascii="Times New Roman" w:hAnsi="Times New Roman" w:eastAsia="Times New Roman" w:cs="Times New Roman"/>
        </w:rPr>
        <w:t xml:space="preserve">.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ವಾಗ್ದಾನವು</w:t>
      </w:r>
      <w:r>
        <w:rPr>
          <w:rFonts w:ascii="Times New Roman" w:hAnsi="Times New Roman" w:eastAsia="Times New Roman" w:cs="Times New Roman"/>
        </w:rPr>
        <w:t xml:space="preserve"> </w:t>
      </w:r>
      <w:r>
        <w:rPr>
          <w:rFonts w:ascii="Nirmala UI" w:hAnsi="Nirmala UI" w:eastAsia="Nirmala UI" w:cs="Nirmala UI"/>
        </w:rPr>
        <w:t>ವಿಶ್ವಾಸಿಗೆ</w:t>
      </w:r>
      <w:r>
        <w:rPr>
          <w:rFonts w:ascii="Times New Roman" w:hAnsi="Times New Roman" w:eastAsia="Times New Roman" w:cs="Times New Roman"/>
        </w:rPr>
        <w:t xml:space="preserve"> </w:t>
      </w:r>
      <w:r>
        <w:rPr>
          <w:rFonts w:ascii="Nirmala UI" w:hAnsi="Nirmala UI" w:eastAsia="Nirmala UI" w:cs="Nirmala UI"/>
        </w:rPr>
        <w:t>ಸಲ್ಲುವ</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ಪ್ರಮುಖ</w:t>
      </w:r>
      <w:r>
        <w:rPr>
          <w:rFonts w:ascii="Times New Roman" w:hAnsi="Times New Roman" w:eastAsia="Times New Roman" w:cs="Times New Roman"/>
        </w:rPr>
        <w:t xml:space="preserve"> </w:t>
      </w:r>
      <w:r>
        <w:rPr>
          <w:rFonts w:ascii="Nirmala UI" w:hAnsi="Nirmala UI" w:eastAsia="Nirmala UI" w:cs="Nirmala UI"/>
        </w:rPr>
        <w:t>ವಾಗ್ದಾನಗಳನ್ನು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ವಾಸಿಸುವುದಕ್ಕೊಂದು</w:t>
      </w:r>
      <w:r>
        <w:rPr>
          <w:rFonts w:ascii="Times New Roman" w:hAnsi="Times New Roman" w:eastAsia="Times New Roman" w:cs="Times New Roman"/>
        </w:rPr>
        <w:t xml:space="preserve"> </w:t>
      </w:r>
      <w:r>
        <w:rPr>
          <w:rFonts w:ascii="Nirmala UI" w:hAnsi="Nirmala UI" w:eastAsia="Nirmala UI" w:cs="Nirmala UI"/>
        </w:rPr>
        <w:t>ದೇಶವು</w:t>
      </w:r>
      <w:r>
        <w:rPr>
          <w:rFonts w:ascii="Times New Roman" w:hAnsi="Times New Roman" w:eastAsia="Times New Roman" w:cs="Times New Roman"/>
        </w:rPr>
        <w:t xml:space="preserve"> </w:t>
      </w:r>
      <w:r>
        <w:rPr>
          <w:rFonts w:ascii="Nirmala UI" w:hAnsi="Nirmala UI" w:eastAsia="Nirmala UI" w:cs="Nirmala UI"/>
        </w:rPr>
        <w:t>ವಾಗ್ದಾನಿಸಲ್ಪಟ್ಟಿದೆ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ಆದಾಮನಿಗೂ</w:t>
      </w:r>
      <w:r>
        <w:rPr>
          <w:rFonts w:ascii="Times New Roman" w:hAnsi="Times New Roman" w:eastAsia="Times New Roman" w:cs="Times New Roman"/>
        </w:rPr>
        <w:t xml:space="preserve"> </w:t>
      </w:r>
      <w:r>
        <w:rPr>
          <w:rFonts w:ascii="Nirmala UI" w:hAnsi="Nirmala UI" w:eastAsia="Nirmala UI" w:cs="Nirmala UI"/>
        </w:rPr>
        <w:t>ಹವ್ವಳಿಗೂ</w:t>
      </w:r>
      <w:r>
        <w:rPr>
          <w:rFonts w:ascii="Times New Roman" w:hAnsi="Times New Roman" w:eastAsia="Times New Roman" w:cs="Times New Roman"/>
        </w:rPr>
        <w:t xml:space="preserve"> </w:t>
      </w:r>
      <w:r>
        <w:rPr>
          <w:rFonts w:ascii="Nirmala UI" w:hAnsi="Nirmala UI" w:eastAsia="Nirmala UI" w:cs="Nirmala UI"/>
        </w:rPr>
        <w:t>ಏದೇನಿನ</w:t>
      </w:r>
      <w:r>
        <w:rPr>
          <w:rFonts w:ascii="Times New Roman" w:hAnsi="Times New Roman" w:eastAsia="Times New Roman" w:cs="Times New Roman"/>
        </w:rPr>
        <w:t xml:space="preserve"> </w:t>
      </w:r>
      <w:r>
        <w:rPr>
          <w:rFonts w:ascii="Nirmala UI" w:hAnsi="Nirmala UI" w:eastAsia="Nirmala UI" w:cs="Nirmala UI"/>
        </w:rPr>
        <w:t>ತೋಟವಾಗಿದ್ದಂತೆ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ತದನಂತರ</w:t>
      </w:r>
      <w:r>
        <w:rPr>
          <w:rFonts w:ascii="Times New Roman" w:hAnsi="Times New Roman" w:eastAsia="Times New Roman" w:cs="Times New Roman"/>
        </w:rPr>
        <w:t xml:space="preserve"> </w:t>
      </w:r>
      <w:r>
        <w:rPr>
          <w:rFonts w:ascii="Nirmala UI" w:hAnsi="Nirmala UI" w:eastAsia="Nirmala UI" w:cs="Nirmala UI"/>
        </w:rPr>
        <w:t>ಪ್ರಾಚೀನ</w:t>
      </w:r>
      <w:r>
        <w:rPr>
          <w:rFonts w:ascii="Times New Roman" w:hAnsi="Times New Roman" w:eastAsia="Times New Roman" w:cs="Times New Roman"/>
        </w:rPr>
        <w:t xml:space="preserve"> </w:t>
      </w:r>
      <w:r>
        <w:rPr>
          <w:rFonts w:ascii="Nirmala UI" w:hAnsi="Nirmala UI" w:eastAsia="Nirmala UI" w:cs="Nirmala UI"/>
        </w:rPr>
        <w:t>ಇಸ್ರಾಯೇಲಿನೊಂದಿಗೆ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ನಿಮಿತ್ತ</w:t>
      </w:r>
      <w:r>
        <w:rPr>
          <w:rFonts w:ascii="Times New Roman" w:hAnsi="Times New Roman" w:eastAsia="Times New Roman" w:cs="Times New Roman"/>
        </w:rPr>
        <w:t xml:space="preserve"> </w:t>
      </w:r>
      <w:r>
        <w:rPr>
          <w:rFonts w:ascii="Nirmala UI" w:hAnsi="Nirmala UI" w:eastAsia="Nirmala UI" w:cs="Nirmala UI"/>
        </w:rPr>
        <w:t>ವಾಗ್ದಾನಿಸಲ್ಪಟ್ಟ</w:t>
      </w:r>
      <w:r>
        <w:rPr>
          <w:rFonts w:ascii="Times New Roman" w:hAnsi="Times New Roman" w:eastAsia="Times New Roman" w:cs="Times New Roman"/>
        </w:rPr>
        <w:t xml:space="preserve"> </w:t>
      </w:r>
      <w:r>
        <w:rPr>
          <w:rFonts w:ascii="Nirmala UI" w:hAnsi="Nirmala UI" w:eastAsia="Nirmala UI" w:cs="Nirmala UI"/>
        </w:rPr>
        <w:t>ದೇಶವನ್ನು</w:t>
      </w:r>
      <w:r>
        <w:rPr>
          <w:rFonts w:ascii="Times New Roman" w:hAnsi="Times New Roman" w:eastAsia="Times New Roman" w:cs="Times New Roman"/>
        </w:rPr>
        <w:t xml:space="preserve"> </w:t>
      </w:r>
      <w:r>
        <w:rPr>
          <w:rFonts w:ascii="Nirmala UI" w:hAnsi="Nirmala UI" w:eastAsia="Nirmala UI" w:cs="Nirmala UI"/>
        </w:rPr>
        <w:t>ಪ್ರತಿನಿಧಿಸಿತು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ತದನಂತರ</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ಇಸ್ರಾಯೇಲಿಗಾಗಿರುವ</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ಮಹಿಮೆಯ</w:t>
      </w:r>
      <w:r>
        <w:rPr>
          <w:rFonts w:ascii="Times New Roman" w:hAnsi="Times New Roman" w:eastAsia="Times New Roman" w:cs="Times New Roman"/>
        </w:rPr>
        <w:t xml:space="preserve"> </w:t>
      </w:r>
      <w:r>
        <w:rPr>
          <w:rFonts w:ascii="Nirmala UI" w:hAnsi="Nirmala UI" w:eastAsia="Nirmala UI" w:cs="Nirmala UI"/>
        </w:rPr>
        <w:t>ದೇಶವನ್ನು</w:t>
      </w:r>
      <w:r>
        <w:rPr>
          <w:rFonts w:ascii="Times New Roman" w:hAnsi="Times New Roman" w:eastAsia="Times New Roman" w:cs="Times New Roman"/>
        </w:rPr>
        <w:t xml:space="preserve"> </w:t>
      </w:r>
      <w:r>
        <w:rPr>
          <w:rFonts w:ascii="Nirmala UI" w:hAnsi="Nirmala UI" w:eastAsia="Nirmala UI" w:cs="Nirmala UI"/>
        </w:rPr>
        <w:t>ಪ್ರತಿನಿಧಿಸಿತು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ಜಯಿಸಿದಂತೆ</w:t>
      </w:r>
      <w:r>
        <w:rPr>
          <w:rFonts w:ascii="Times New Roman" w:hAnsi="Times New Roman" w:eastAsia="Times New Roman" w:cs="Times New Roman"/>
        </w:rPr>
        <w:t xml:space="preserve"> </w:t>
      </w:r>
      <w:r>
        <w:rPr>
          <w:rFonts w:ascii="Nirmala UI" w:hAnsi="Nirmala UI" w:eastAsia="Nirmala UI" w:cs="Nirmala UI"/>
        </w:rPr>
        <w:t>ಜಯಿಸುವವರಿಗಾಗಿ</w:t>
      </w:r>
      <w:r>
        <w:rPr>
          <w:rFonts w:ascii="Times New Roman" w:hAnsi="Times New Roman" w:eastAsia="Times New Roman" w:cs="Times New Roman"/>
        </w:rPr>
        <w:t xml:space="preserve"> </w:t>
      </w:r>
      <w:r>
        <w:rPr>
          <w:rFonts w:ascii="Nirmala UI" w:hAnsi="Nirmala UI" w:eastAsia="Nirmala UI" w:cs="Nirmala UI"/>
        </w:rPr>
        <w:t>ಹೊಸದಾಗಿ</w:t>
      </w:r>
      <w:r>
        <w:rPr>
          <w:rFonts w:ascii="Times New Roman" w:hAnsi="Times New Roman" w:eastAsia="Times New Roman" w:cs="Times New Roman"/>
        </w:rPr>
        <w:t xml:space="preserve"> </w:t>
      </w:r>
      <w:r>
        <w:rPr>
          <w:rFonts w:ascii="Nirmala UI" w:hAnsi="Nirmala UI" w:eastAsia="Nirmala UI" w:cs="Nirmala UI"/>
        </w:rPr>
        <w:t>ಮಾಡಲ್ಪಟ್ಟ</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ವಾಗ್ದಾನಕ್ಕೆ</w:t>
      </w:r>
      <w:r>
        <w:rPr>
          <w:rFonts w:ascii="Times New Roman" w:hAnsi="Times New Roman" w:eastAsia="Times New Roman" w:cs="Times New Roman"/>
        </w:rPr>
        <w:t xml:space="preserve">, </w:t>
      </w:r>
      <w:r>
        <w:rPr>
          <w:rFonts w:ascii="Nirmala UI" w:hAnsi="Nirmala UI" w:eastAsia="Nirmala UI" w:cs="Nirmala UI"/>
        </w:rPr>
        <w:t>ಕ್ರಮೇಣ</w:t>
      </w:r>
      <w:r>
        <w:rPr>
          <w:rFonts w:ascii="Times New Roman" w:hAnsi="Times New Roman" w:eastAsia="Times New Roman" w:cs="Times New Roman"/>
        </w:rPr>
        <w:t xml:space="preserve"> </w:t>
      </w:r>
      <w:r>
        <w:rPr>
          <w:rFonts w:ascii="Nirmala UI" w:hAnsi="Nirmala UI" w:eastAsia="Nirmala UI" w:cs="Nirmala UI"/>
        </w:rPr>
        <w:t>ಕ್ರಮೇಣವಾಗಿ</w:t>
      </w:r>
      <w:r>
        <w:rPr>
          <w:rFonts w:ascii="Times New Roman" w:hAnsi="Times New Roman" w:eastAsia="Times New Roman" w:cs="Times New Roman"/>
        </w:rPr>
        <w:t xml:space="preserve">, </w:t>
      </w:r>
      <w:r>
        <w:rPr>
          <w:rFonts w:ascii="Nirmala UI" w:hAnsi="Nirmala UI" w:eastAsia="Nirmala UI" w:cs="Nirmala UI"/>
        </w:rPr>
        <w:t>ಸಾಕ್ಷಿಯನ್ನು</w:t>
      </w:r>
      <w:r>
        <w:rPr>
          <w:rFonts w:ascii="Times New Roman" w:hAnsi="Times New Roman" w:eastAsia="Times New Roman" w:cs="Times New Roman"/>
        </w:rPr>
        <w:t xml:space="preserve"> </w:t>
      </w:r>
      <w:r>
        <w:rPr>
          <w:rFonts w:ascii="Nirmala UI" w:hAnsi="Nirmala UI" w:eastAsia="Nirmala UI" w:cs="Nirmala UI"/>
        </w:rPr>
        <w:t>ಒದಗಿಸುತ್ತವೆ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ꞌAdamꞌ yꞌEveꞌ lukhase, ivu “vakhandwiswa” va huma eNsimini ya Edeni hi “tinkhati ta nkombo,” naswona endzhaku ka mileniyamu ya nkombo misava yi endliwa yintshwa, kutani nsimu ya Edeni yi tlhela yi vuyiseriwa. Ku hangalaka ka Israele wa khale hi “tinkhati ta nkombo,” a ku fanekiseriwile hi ku hangalaka ka Adam na Eve. Ntwanano wu tshembisa tiko ro tshama eka rona, naswona a ku ri xitshembiso xa Edeni leyi vuyiseriweke. Ku kandziyeriwa ehansi ka vukwetsimelo ni vandla swi yimela ku kula hi ku landzelana ka xidyoho endzeni ka ndyangu wa vanhu loku sunguleke hi xidyoho xa Adam.</w:t>
      </w:r>
    </w:p>
    <w:p>
      <w:pPr>
        <w:pStyle w:val="ArticleBody"/>
        <w:jc w:val="left"/>
      </w:pPr>
      <w:r>
        <w:rPr>
          <w:rFonts w:ascii="Times New Roman" w:hAnsi="Times New Roman" w:eastAsia="Times New Roman" w:cs="Times New Roman"/>
        </w:rPr>
        <w:t>Okuseesa okw’ekibiina bino ebirala bibiri kwe kuti abeesigwa balifuna omubiri omuggya n’amagezi amaggya, ge gano ge magezi ga Kristo. Omubiri gwe mubiri, obutonde obw’omu nsi obwawansi, era mu nkolagana ne Kristo gwe kkanisa. Amagezi ge butonde obw’oku ntikko, era kye Sister White ayita “ekigo ky’omwoyo.” Pawulo ayigiriza bulungi nti tufuna amagezi ga Kristo mu kiseera kyennyini lwe tukkiriza ebyetagisa eby’enjiri, lwe tuweebwa obutuukirivu. Era ayigiriza nti tetufuna mubiri muggya era ogw’ekitiibwa okutuusa ku Kujja okw’Okubiri.</w:t>
      </w:r>
    </w:p>
    <w:p>
      <w:pPr>
        <w:pStyle w:val="ArticleScripture"/>
        <w:jc w:val="left"/>
      </w:pPr>
      <w:r>
        <w:rPr>
          <w:rFonts w:ascii="Times New Roman" w:hAnsi="Times New Roman" w:eastAsia="Times New Roman" w:cs="Times New Roman"/>
        </w:rPr>
        <w:t>Rona, ndzi mi komba xihundla; a hi hinkwavo lava nga ta etlela, kambe hinkwerhu hi ta cinciwa, hi nkarhinyana, hi ku copeta ka tihlo, hi nkarhi wa nanga yo hetelela; hikuva nanga yi ta twala, kutani vafi va ta pfuxiwa va nga boli, naswona hina hi ta cinciwa. Hikuva leswi bolaka swi fanele ku ambala ku nga boli, naswona leswi faka swi fanele ku ambala ku nga fi. Kutani loko leswi bolaka swi ambale ku nga boli, ni leswi faka swi ambale ku nga fi, hi kona ku nga ta hetiseka rito leri tsariweke leri nge: Rifu ri mitiwe hi ku hlula. Wena rifu, ku tlhava ka wena ku kwihi? Wena sirha, ku hlula ka wena ku kwihi? Ku tlhava ka rifu i xidyoho; naswona matimba ya xidyoho i nawu. 1 Vakorinto 15:51–56.</w:t>
      </w:r>
    </w:p>
    <w:p>
      <w:pPr>
        <w:pStyle w:val="ArticleBody"/>
        <w:jc w:val="left"/>
      </w:pPr>
      <w:r>
        <w:rPr>
          <w:rFonts w:ascii="Times New Roman" w:hAnsi="Times New Roman" w:eastAsia="Times New Roman" w:cs="Times New Roman"/>
        </w:rPr>
        <w:t>Kwaandiko okw John kyagamba nti ekirangiriro kino kimanyisa abo abakkiriza enjigiriza ez’obulimba ng’abo balwanyisa Kristo, kigamba nti Kristo teyakkiriza na kati mubiri ogwali guli wansi w’ebiva mu kibi ebyatandika okukosa ekika ky’abantu okuva ku kibi kya Adamu n’okweyongerayo.</w:t>
      </w:r>
    </w:p>
    <w:p>
      <w:pPr>
        <w:pStyle w:val="ArticleScripture"/>
        <w:jc w:val="left"/>
      </w:pPr>
      <w:r>
        <w:rPr>
          <w:rFonts w:ascii="Times New Roman" w:hAnsi="Times New Roman" w:eastAsia="Times New Roman" w:cs="Times New Roman"/>
        </w:rPr>
        <w:t>Na roho yote isiyokiri kwamba Yesu Kristo amekuja katika mwili haitokani na Mungu; na hii ndiyo ile roho ya mpinga-Kristo, ambayo mmesikia kwamba yaja; nayo sasa imekwisha kuwapo ulimwenguni. 1 Yohana 4:3.</w:t>
      </w:r>
    </w:p>
    <w:p>
      <w:pPr>
        <w:pStyle w:val="ArticleBody"/>
        <w:jc w:val="left"/>
      </w:pPr>
      <w:r>
        <w:rPr>
          <w:rFonts w:ascii="Times New Roman" w:hAnsi="Times New Roman" w:eastAsia="Times New Roman" w:cs="Times New Roman"/>
        </w:rPr>
        <w:t>Divai ya Babiloni (mpinga-kristo) inayofundisha “Mimba Isiyo na Doa,” hudai kwamba Mariamu alifanywa mkamilifu, kama walivyokuwa Adamu na Hawa kabla ya dhambi, ili kuzaliwa kwa Yesu kuwe na msingi katika utungwaji wa uungu (Roho Mtakatifu), pamoja na ubinadamu mkamilifu (Mariamu). Fundisho la uongo la Mimba Isiyo na Doa halihusu wakati Yesu alipotungwa mimba katika tumbo la Mariamu, bali jinsi Mariamu alivyotungwa mimba akiwa na ukamilifu wa Adamu na Hawa. Kudokeza kwamba mwili ambao Kristo alijivika alipoja kumkomboa mwanadamu ulikuwa mwili usio na dhambi, ambao haukuwa na athari za urithi, ni fundisho la mpinga-kristo.</w:t>
      </w:r>
    </w:p>
    <w:p>
      <w:pPr>
        <w:pStyle w:val="ArticleScripture"/>
        <w:jc w:val="left"/>
      </w:pPr>
      <w:r>
        <w:rPr>
          <w:rFonts w:ascii="Times New Roman" w:hAnsi="Times New Roman" w:eastAsia="Times New Roman" w:cs="Times New Roman"/>
        </w:rPr>
        <w:t>Ababeyi bangi bagenze mu isi, abatakkiriza yuko Yesu Kristo yaje mu mubiri. Uwo ni umubeyi kandi ni antikristo. 2 Yohana 1:7.</w:t>
      </w:r>
    </w:p>
    <w:p>
      <w:pPr>
        <w:pStyle w:val="ArticleBody"/>
        <w:jc w:val="left"/>
      </w:pPr>
      <w:r>
        <w:rPr>
          <w:rFonts w:ascii="Times New Roman" w:hAnsi="Times New Roman" w:eastAsia="Times New Roman" w:cs="Times New Roman"/>
        </w:rPr>
        <w:t>A Klisto uvingunwike, uvwihwe bwereka n'ubwitonzi ko icyo gihe yari afite umubiri w'icyubahiro. Uku kuvinguka kwe kwagereranyaga ukuvinguka kw'abakiranutsi mu Kugaruka kwa Kabiri, kandi ni ho twakira isezerano ry'isezerano ry'umubiri mushya.</w:t>
      </w:r>
    </w:p>
    <w:p>
      <w:pPr>
        <w:pStyle w:val="ArticleScripture"/>
        <w:jc w:val="left"/>
      </w:pPr>
      <w:r>
        <w:rPr>
          <w:rFonts w:ascii="Times New Roman" w:hAnsi="Times New Roman" w:eastAsia="Times New Roman" w:cs="Times New Roman"/>
        </w:rPr>
        <w:t>“Wakati ulikuwa umewadia kwa Kristo kupaa kwenda kwenye kiti cha enzi cha Baba Yake. Akiwa mshindi wa kimungu, alikuwa karibu kurejea pamoja na nyara za ushindi katika nyua za mbinguni. Kabla ya kifo Chake alikuwa amemtangazia Baba Yake, ‘Nimeimaliza kazi ile uliyonipa niifanye.’ Yohana 17:4. Baada ya kufufuka Kwake alikaa duniani kwa muda, ili wanafunzi Wake wapate kumzoea katika mwili Wake uliokuwa umefufuka na kutukuzwa. Sasa alikuwa tayari kwa kuagana. Alikuwa amethibitisha ukweli kwamba Yeye ni Mwokozi aliye hai. Wanafunzi Wake hawakuhitaji tena kumhusisha na kaburi. Wangeweza kumfikiria akiwa ametukuzwa mbele ya ulimwengu wa mbinguni.” Tumaini la Vizazi Vyote, 829.</w:t>
      </w:r>
    </w:p>
    <w:p>
      <w:pPr>
        <w:pStyle w:val="ArticleBody"/>
        <w:jc w:val="left"/>
      </w:pPr>
      <w:r>
        <w:rPr>
          <w:rFonts w:ascii="Times New Roman" w:hAnsi="Times New Roman" w:eastAsia="Times New Roman" w:cs="Times New Roman"/>
        </w:rPr>
        <w:t>Kiambatano kia ahadi, cha inchi ya kukalia, kinatimizwa kwa dunia kufanywa mpya, wakati Edeni inarejeshwa na “nyakati saba” (miaka elfu saba), kutawanyika kwa ubinadamu wa Adamu wa kwanza kunapofikishwa mwisho. Ahadi ya kiambatano ya mwili mpya na uliotukuzwa hutolewa katika Kuja kwa Pili, kwa kufumba na kufumbua jicho.</w:t>
      </w:r>
    </w:p>
    <w:p>
      <w:pPr>
        <w:pStyle w:val="ArticleScripture"/>
        <w:jc w:val="left"/>
      </w:pPr>
      <w:r>
        <w:rPr>
          <w:rFonts w:ascii="Times New Roman" w:hAnsi="Times New Roman" w:eastAsia="Times New Roman" w:cs="Times New Roman"/>
        </w:rPr>
        <w:t>“Betlehemujo kisa ni tema isiyokwisha kamwe. Ndani yake mmefichwa ‘kina cha utajiri, hekima, na maarifa ya Mungu.’ Warumi 11:33. Tunastaajabu kwa dhabihu ya Mwokozi kwa kubadilisha kiti cha enzi cha mbinguni kwa hori, na ushirika wa malaika waabuduo kwa wanyama wa zizini. Kiburi cha kibinadamu na kujitegemea kwake husimama katika kukemewa mbele za uwepo Wake. Hata hivyo, hili lilikuwa mwanzo tu wa unyenyekevu Wake wa ajabu. Ingekuwa karibu fedheha isiyo na mwisho kwa Mwana wa Mungu kuchukua asili ya mwanadamu, hata wakati Adamu alipokuwa amesimama katika kutokuwa na hatia kwake huko Edeni. Lakini Yesu aliukubali ubinadamu wakati ambapo jamii ya wanadamu ilikuwa imedhoofishwa na miaka elfu nne ya dhambi. Kama kila mtoto wa Adamu, alikubali matokeo ya utendaji wa sheria kuu ya urithi. Matokeo hayo yalikuwa yapi huonyeshwa katika historia ya babu zake wa duniani. Alikuja akiwa na urithi wa namna hiyo ili ashike sehemu katika huzuni na majaribu yetu, na kutupa mfano wa maisha yasiyo na dhambi.” Tumaini la Vizazi Vyote, 48.</w:t>
      </w:r>
    </w:p>
    <w:p>
      <w:pPr>
        <w:pStyle w:val="ArticleBody"/>
        <w:jc w:val="left"/>
      </w:pPr>
      <w:r>
        <w:rPr>
          <w:rFonts w:ascii="Times New Roman" w:hAnsi="Times New Roman" w:eastAsia="Times New Roman" w:cs="Times New Roman"/>
        </w:rPr>
        <w:t>Aho omuntu akahikiriza ebyetaago by’Amakuru Amarungi, aho niho kandi akaheebwa omutima omuhya, ni ukuvuga omutima gwa Kristo; kwonka omubiri, oba nk’uko Pawulo nawe agwita enyama, guhindurwa kubaaho omu Kugaruka kwa Kabiri. Obuhangwa obw’ansi, obugizweho ebyiyumvo, tibwihibwaho omu guhinduka. Ebyo byiyumvo, ebiri kimwe ku bice by’empisa z’obuntu, bigumaho okuhitsya omu Kugaruka kwa Kabiri. Ebyo byiyumvo biragiraho entegeka y’eby’okwehurira, ezikora hamwe n’entegeka y’obusiringo. Biragiraho ebyumviro ebikora hamwe n’entegeka y’emitsipa. Ebitundu byona eby’obuhangwa bw’ansi bw’omuntu ebibarwa nk’ebiyumvo, byagabanyizibwamu ebika bibiri eby’oku musingi. Ekika kimwe eky’ebiyumvo ni embeera z’okwegomba twaruga nabyo omu bakuru baitu, kandi ekika ekindi eky’ebiyumvo ni embeera z’okwegomba ezarimwe omuritwe eza twakuzireho olw’okwecweramu kwaitu.</w:t>
      </w:r>
    </w:p>
    <w:p>
      <w:pPr>
        <w:pStyle w:val="ArticleBody"/>
        <w:jc w:val="left"/>
      </w:pPr>
      <w:r>
        <w:rPr>
          <w:rFonts w:ascii="Times New Roman" w:hAnsi="Times New Roman" w:eastAsia="Times New Roman" w:cs="Times New Roman"/>
        </w:rPr>
        <w:t>Aṅanṭi ṭhāri gwaloṛiṅ adiṭoṛi meyi yi si ti dwoa aṅan dima dimii nya, kŋa aṅanṭi ṭhāri gwaloṛiṅ adiṭoṛi meyi yi si mu kaṅ yi ni yeela. Meyi yi kaan ba yi daŋa gili aṅan kɛle ti ni yɛri daalo mu, kŋa adiṭoṛi meyi yi kaŋa gwaloṛiṅ yi puoni “goloŋa kpene naa puoroo ka ɗindi” ni.</w:t>
      </w:r>
    </w:p>
    <w:p>
      <w:pPr>
        <w:pStyle w:val="ArticleBody"/>
        <w:jc w:val="left"/>
      </w:pPr>
      <w:r>
        <w:rPr>
          <w:rFonts w:ascii="Times New Roman" w:hAnsi="Times New Roman" w:eastAsia="Times New Roman" w:cs="Times New Roman"/>
        </w:rPr>
        <w:t>Yesu “alipokea ubinadamu wakati jamii ya wanadamu ilikuwa imedhoofishwa na miaka elfu nne ya dhambi. Kama kila mtoto wa Adamu, Yeye alipokea matokeo ya utendaji wa sheria kuu ya urithi. Matokeo hayo yalikuwa yapi huonyeshwa katika historia ya babu zake wa duniani. Alikuja akiwa na urithi wa jinsi hiyo ili ashiriki huzuni na majaribu yetu, na kutupa kielelezo cha maisha yasiyo na dhambi.” Akiwa na matokeo ya miaka elfu nne ya utendaji wa sheria kuu ya urithi, Yesu daima aliziweka mielekeo hizo katika utiifu kwa kutumia mapenzi Yake, wala hakushiriki hata mara moja katika kukuza hisia zozote za dhambi.</w:t>
      </w:r>
    </w:p>
    <w:p>
      <w:pPr>
        <w:pStyle w:val="ArticleBody"/>
        <w:jc w:val="left"/>
      </w:pPr>
      <w:r>
        <w:rPr>
          <w:rFonts w:ascii="Times New Roman" w:hAnsi="Times New Roman" w:eastAsia="Times New Roman" w:cs="Times New Roman"/>
        </w:rPr>
        <w:t>Yesu ne akuɓa mubili wa buntu, bu ulembe wa-Adam ne Hawa kumpala bakasumina, kona kadi ku akuɓa bipeta bya kulemala kwa buntu byakadi byenzekele mu bidimu bituatua bia bupongolodi, ne kadi ngwêna kûtupela Cilele, cya mo mwana yense wa Leza wakwasa kununga.</w:t>
      </w:r>
    </w:p>
    <w:p>
      <w:pPr>
        <w:pStyle w:val="ArticleBody"/>
        <w:jc w:val="left"/>
      </w:pPr>
      <w:r>
        <w:rPr>
          <w:rFonts w:ascii="Times New Roman" w:hAnsi="Times New Roman" w:eastAsia="Times New Roman" w:cs="Times New Roman"/>
        </w:rPr>
        <w:t>Tuzokomeza somo hili katika makala inayofuata.</w:t>
      </w:r>
    </w:p>
    <w:p>
      <w:pPr>
        <w:pStyle w:val="ArticleScripture"/>
        <w:jc w:val="left"/>
      </w:pPr>
      <w:r>
        <w:rPr>
          <w:rFonts w:ascii="Times New Roman" w:hAnsi="Times New Roman" w:eastAsia="Times New Roman" w:cs="Times New Roman"/>
        </w:rPr>
        <w:t>“Bangi mbòta lòòka nkàkà mi muvwàngà wètu wa Klisto ne Satana bu ka wùdì ne tshimanyinu tshia pabwàshu mu mwoyi wabu menemene to; ne kùdìbo wùdi ne disankisha dishààdile to. Kàdi munda mwa lupangu lwa mwoyi wa muntu yônsò, nkàkà eyi idi ibììkila cyàkàbìdì. Kakwèna muntu ushiya milongo ya bubì bwà kubwela mu mudimu wa Nzambi, kaàyi ùkànda kutuutakeena ne mikùmbànyì yà Satana to. Bilembedi bìvwà Klisto mwimàne naabi, mbìvwà bìdìku bìtùsanganèsha butàpa bunène bwà kubììmana nabì. Byàkamufùndìdìlwa ne bukolè bunène be kwa mutùdìbo, bu mûdì mpàla wa bwena-bupwàngà bwèndè mutàmbe wetu. Ne budìtù butèya bwà mpèkaatù ya bàà pa buloba bônsò pabwîpì ne Yêyè, Klisto wàkìimana mu diteeta dya dyàkù, ne dya dinanga dyà bàà pa buloba, ne dya dinanga dyà kudìleeja dìdì dìfìla muntu mu didìshìndika dyà bukùtàkànyi. Ebi ke bilembedi byàkacìshinda Adama ne Eva, ne bìdì bìtùshìnda ne mùshindù wa mpatà to.</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Shetani alikuwa ameonyesha dhambi ya Adamu kuwa uthibitisho kwamba sheria ya Mungu haikuwa ya haki, na kwamba isingeweza kutiiwa. Katika ubinadamu wetu, Kristo alikuwa aukomboe upungufu wa Adamu. Lakini Adamu aliposhambuliwa na mjaribu, hakuwa chini ya athari zozote za dhambi. Alisimama katika nguvu ya utu mkamilifu, akiwa na ukamilifu wote wa nguvu za akili na za mwili. Alizingirwa na utukufu wa Edeni, naye alikuwa katika ushirika wa kila siku na viumbe wa mbinguni. Haikuwa hivyo kwa Yesu alipoingia nyikani kushindana na Shetani. Kwa miaka elfu nne jamii ya wanadamu ilikuwa imekuwa ikipungua katika nguvu za mwili, katika uwezo wa akili, na katika thamani ya maadili; naye Kristo alijitwika udhaifu wa ubinadamu uliodhoofika. Ni kwa njia hii tu ndipo angeweza kumwokoa mwanadamu kutoka katika vilindi vya mwisho vya udhalilishaji wake.</w:t>
      </w:r>
    </w:p>
    <w:p>
      <w:pPr>
        <w:pStyle w:val="ArticleScripture"/>
        <w:jc w:val="left"/>
      </w:pPr>
      <w:r>
        <w:rPr>
          <w:rFonts w:ascii="Times New Roman" w:hAnsi="Times New Roman" w:eastAsia="Times New Roman" w:cs="Times New Roman"/>
        </w:rPr>
        <w:t>“Baingi badi kwamba halimwezekananga Kristu kushindwa na majaribu. Basi hangeweza kuwekwa katika nafasi ya Adamu; hangeweza kupata ushindi ule ambao Adamu alishindwa kuupata. Ikiwa sisi, kwa namna yoyote, tuna mapambano ya kujaribu zaidi kuliko yale aliyokuwa nayo Kristu, basi Yeye hangeweza kutusaidia. Lakini Mwokozi wetu alitwaa ubinadamu, pamoja na madhaifu yake yote. Alitwaa asili ya mwanadamu, pamoja na uwezekano wa kushindwa na majaribu. Hatuna jambo la kustahimili ambalo Yeye hakulivumilia.”</w:t>
      </w:r>
    </w:p>
    <w:p>
      <w:pPr>
        <w:pStyle w:val="ArticleScripture"/>
        <w:jc w:val="left"/>
      </w:pPr>
      <w:r>
        <w:rPr>
          <w:rFonts w:ascii="Times New Roman" w:hAnsi="Times New Roman" w:eastAsia="Times New Roman" w:cs="Times New Roman"/>
        </w:rPr>
        <w:t>“Kristo hamwe n’aberanda babiri bo muri Edeni, irari ryo kurya ni ryo ryabaye ishingiro ry’igeragezwa rya mbere rikomeye. Aho ni ho kurimbuka kwatangiriye, kandi ni ho umurimo wo gucungurwa kwacu ugomba gutangirira. Nk’uko Adamu yaguye kubera kwirekura mu by’ipfa, ni ko na Kristo agomba kunesha abihakanye. ‘Amaze kwiyiriza ubusa iminsi mirongo ine n’amajoro mirongo ine, hanyuma arasonza. Umushukanyi amwegereye aramubwira ati: Niba uri Umwana w’Imana, tegeka aya mabuye ahinduke imitsima. Ariko aramusubiza ati: Handitswe ngo, Umuntu ntatungwa n’umutsima gusa, ahubwo n’ijambo ryose rituruka mu kanwa k’Imana.’”</w:t>
      </w:r>
    </w:p>
    <w:p>
      <w:pPr>
        <w:pStyle w:val="ArticleScripture"/>
        <w:jc w:val="left"/>
      </w:pPr>
      <w:r>
        <w:rPr>
          <w:rFonts w:ascii="Times New Roman" w:hAnsi="Times New Roman" w:eastAsia="Times New Roman" w:cs="Times New Roman"/>
        </w:rPr>
        <w:t>“Adamu nguva kuzwa ku Kirisitu, kwiyumuna mu mibidi kwongezeze nguvu ya tamaa na shauku, mpaka vipate utawala karibu usio na mipaka. Hivyo wanadamu wakashushwa na kutiwa maradhi, nawe kwa nguvu zao wenyewe haikuwa yawezekana kushinda. Kwa niaba ya mwanadamu, Kirisitu alishinda kwa kuvumilia jaribu lililo kali kabisa. Kwa ajili yetu Yeye alitumia kiasi cha nafsi kilicho na nguvu kuliko njaa au mauti. Na katika ushindi huu wa kwanza zilihusishwa hoja nyingine zinazoingia katika mapambano yetu yote na nguvu za giza.” Tumaini la Vizazi Vyote,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Moja</dc:title>
  <dc:subject>سیمبولیسمی هیکل: آشکارکردن رازەکانی پەیوەندیی خودایی و مرۆیی</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