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Thelathini na Nane</w:t>
      </w:r>
    </w:p>
    <w:p>
      <w:pPr>
        <w:pStyle w:val="ArticleSubtitle"/>
        <w:jc w:val="left"/>
      </w:pPr>
      <w:r>
        <w:rPr>
          <w:rFonts w:ascii="Segoe UI" w:hAnsi="Segoe UI" w:eastAsia="Segoe UI" w:cs="Segoe UI"/>
        </w:rPr>
        <w:t>دەرهێنانی</w:t>
      </w:r>
      <w:r>
        <w:rPr>
          <w:rFonts w:ascii="Arial" w:hAnsi="Arial" w:eastAsia="Arial" w:cs="Arial"/>
        </w:rPr>
        <w:t xml:space="preserve"> </w:t>
      </w:r>
      <w:r>
        <w:rPr>
          <w:rFonts w:ascii="Segoe UI" w:hAnsi="Segoe UI" w:eastAsia="Segoe UI" w:cs="Segoe UI"/>
        </w:rPr>
        <w:t>گەوهەرەکان</w:t>
      </w:r>
      <w:r>
        <w:rPr>
          <w:rFonts w:ascii="Arial" w:hAnsi="Arial" w:eastAsia="Arial" w:cs="Arial"/>
        </w:rPr>
        <w:t xml:space="preserve">: </w:t>
      </w:r>
      <w:r>
        <w:rPr>
          <w:rFonts w:ascii="Segoe UI" w:hAnsi="Segoe UI" w:eastAsia="Segoe UI" w:cs="Segoe UI"/>
        </w:rPr>
        <w:t>خەونی</w:t>
      </w:r>
      <w:r>
        <w:rPr>
          <w:rFonts w:ascii="Arial" w:hAnsi="Arial" w:eastAsia="Arial" w:cs="Arial"/>
        </w:rPr>
        <w:t xml:space="preserve"> </w:t>
      </w:r>
      <w:r>
        <w:rPr>
          <w:rFonts w:ascii="Segoe UI" w:hAnsi="Segoe UI" w:eastAsia="Segoe UI" w:cs="Segoe UI"/>
        </w:rPr>
        <w:t>پێشبینی</w:t>
      </w:r>
      <w:r>
        <w:rPr>
          <w:rFonts w:ascii="Arial" w:hAnsi="Arial" w:eastAsia="Arial" w:cs="Arial"/>
        </w:rPr>
        <w:t>‌</w:t>
      </w:r>
      <w:r>
        <w:rPr>
          <w:rFonts w:ascii="Segoe UI" w:hAnsi="Segoe UI" w:eastAsia="Segoe UI" w:cs="Segoe UI"/>
        </w:rPr>
        <w:t>ئامێزی</w:t>
      </w:r>
      <w:r>
        <w:rPr>
          <w:rFonts w:ascii="Arial" w:hAnsi="Arial" w:eastAsia="Arial" w:cs="Arial"/>
        </w:rPr>
        <w:t xml:space="preserve"> </w:t>
      </w:r>
      <w:r>
        <w:rPr>
          <w:rFonts w:ascii="Segoe UI" w:hAnsi="Segoe UI" w:eastAsia="Segoe UI" w:cs="Segoe UI"/>
        </w:rPr>
        <w:t>ویلیام</w:t>
      </w:r>
      <w:r>
        <w:rPr>
          <w:rFonts w:ascii="Arial" w:hAnsi="Arial" w:eastAsia="Arial" w:cs="Arial"/>
        </w:rPr>
        <w:t xml:space="preserve"> </w:t>
      </w:r>
      <w:r>
        <w:rPr>
          <w:rFonts w:ascii="Segoe UI" w:hAnsi="Segoe UI" w:eastAsia="Segoe UI" w:cs="Segoe UI"/>
        </w:rPr>
        <w:t>میلەر</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گەڕاندنەوەی</w:t>
      </w:r>
      <w:r>
        <w:rPr>
          <w:rFonts w:ascii="Arial" w:hAnsi="Arial" w:eastAsia="Arial" w:cs="Arial"/>
        </w:rPr>
        <w:t xml:space="preserve"> </w:t>
      </w:r>
      <w:r>
        <w:rPr>
          <w:rFonts w:ascii="Segoe UI" w:hAnsi="Segoe UI" w:eastAsia="Segoe UI" w:cs="Segoe UI"/>
        </w:rPr>
        <w:t>ڕاستیەكە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Mu ndoto ya Miller alitumwa sanduku kwa mkono usioonekana. Katika ndoto yake aliongozwa kuelewa vipimo vya sanduku hilo kuwa “mraba sita” kwa “inchi kumi.” Kumi zikizidishwa kwa sita mraba hutoa mia tatu na sitini, ambayo huwakilisha siku za mwaka wa kiunabii. Miller alipewa sanduku lililokuwa na ujumbe aliopaswa kuutangaza, na ujumbe aliopaswa kuutangaza ulikuwa umejengwa juu ya kanuni ya kwamba siku moja katika unabii wa Biblia huwakilisha mwaka mmoja. Sanduku hilo lilikuwa Biblia, na kwa Miller Biblia ilipaswa kutazamwa katika kipimo cha kanuni ya “siku-kwa-mwaka” ya unabii wa Biblia.</w:t>
      </w:r>
    </w:p>
    <w:p>
      <w:pPr>
        <w:pStyle w:val="ArticleScripture"/>
        <w:jc w:val="left"/>
      </w:pPr>
      <w:r>
        <w:rPr>
          <w:rFonts w:ascii="Times New Roman" w:hAnsi="Times New Roman" w:eastAsia="Times New Roman" w:cs="Times New Roman"/>
        </w:rPr>
        <w:t>“Eendjoka ndiu lyoka lya Katonda kuli ekisumuluzo ekiggulawo akaseke ak’omuwendo omungi, olw’okumatizibwa kwaife n’okusanyuka kwaife. Nimpulira ndi wa kusima olw’omusana gwonawona ogutwetwalira. Mu biro eby’omu maaso, ebyo bye tuyitamu kaakano ebifa gye tuli nga bya kyama nnyo birinnyonnyolwa. Ebyo ebimu bye tuyitamu tuyinza obutaddamu kubitegeera mu bujjuvu okutuusa omulambo guno ogw’okufa lwe guliyambala obutafa.” Manuscript Releases, volume 17, 261.</w:t>
      </w:r>
    </w:p>
    <w:p>
      <w:pPr>
        <w:pStyle w:val="ArticleBody"/>
        <w:jc w:val="left"/>
      </w:pPr>
      <w:r>
        <w:rPr>
          <w:rFonts w:ascii="Times New Roman" w:hAnsi="Times New Roman" w:eastAsia="Times New Roman" w:cs="Times New Roman"/>
        </w:rPr>
        <w:t>Mu kira kya Millerye cîrôto cye harī n’akāboko k’igisanduku, kikaba kigereranyo c’ukuntu bw’ukora Miller yayobowe gukoresha.</w:t>
      </w:r>
    </w:p>
    <w:p>
      <w:pPr>
        <w:pStyle w:val="ArticleScripture"/>
        <w:jc w:val="left"/>
      </w:pPr>
      <w:r>
        <w:rPr>
          <w:rFonts w:ascii="Times New Roman" w:hAnsi="Times New Roman" w:eastAsia="Times New Roman" w:cs="Times New Roman"/>
        </w:rPr>
        <w:t>“Abari mu murimo wo kwamamaza ubutumwa bw’umumalayika wa gatatu barimo basuzuma Ibyanditswe bakurikije gahunda imwe Data Miller yakoresheje. Mu gatabo gato kitwa Views of the Prophecies and Prophetic Chronology, Data Miller atanga aya mategeko akurikira, yoroheje ariko y’ubwenge kandi y’ingenzi, yerekeye kwiga no gusobanura Bibiliya:—”</w:t>
      </w:r>
    </w:p>
    <w:p>
      <w:pPr>
        <w:pStyle w:val="ArticleScripture"/>
        <w:jc w:val="left"/>
      </w:pPr>
      <w:r>
        <w:rPr>
          <w:rFonts w:ascii="Microsoft YaHei" w:hAnsi="Microsoft YaHei" w:eastAsia="Microsoft YaHei" w:cs="Microsoft YaHei"/>
        </w:rPr>
        <w:t>「</w:t>
      </w:r>
      <w:r>
        <w:rPr>
          <w:rFonts w:ascii="Times New Roman" w:hAnsi="Times New Roman" w:eastAsia="Times New Roman" w:cs="Times New Roman"/>
        </w:rPr>
        <w:t>[Mbɛka ntam mu mmito ano kosi anum a wɔafa aka ho no.]</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“Eli rʉgano nĩ kĩene kia maragĩri maya; na mũ thomo witũ wa Bibilia ithuothe nĩtugekaga wega gũthikĩrĩria nginya cia maragĩri maikĩtwo mbere.” Review and Herald, November 25, 1884.</w:t>
      </w:r>
    </w:p>
    <w:p>
      <w:pPr>
        <w:pStyle w:val="ArticleBody"/>
        <w:jc w:val="left"/>
      </w:pPr>
      <w:r>
        <w:rPr>
          <w:rFonts w:ascii="Times New Roman" w:hAnsi="Times New Roman" w:eastAsia="Times New Roman" w:cs="Times New Roman"/>
        </w:rPr>
        <w:t>Di Miller tabûta xwe vekir, wî “hemû cure û mezinahiyên cewheran, elmasan, kevirên giranbiha, û pereyên zêr û zîvî yên her awayî û nirxê dît, ku bi xweşikî di cihên xwe yên taybet de di nav tabûtê de hatibûn rêzkirin; û bi vî awayî rêzkirî bûn ku tenê bi rojê re dikaribû ronahî û rûmetê xwe were pîvan kirin.” Miller cewherên rastiyan keşf kir ku rastiyên bingehîn ên Adventîzmê pêk tînin. Rastiyên ku wî dîtibûn bi rêzeke bêkêmasî “hatibûn rêzkirin” û ronahiya rojê vedigerandin.</w:t>
      </w:r>
    </w:p>
    <w:p>
      <w:pPr>
        <w:pStyle w:val="ArticleBody"/>
        <w:jc w:val="left"/>
      </w:pPr>
      <w:r>
        <w:rPr>
          <w:rFonts w:ascii="Times New Roman" w:hAnsi="Times New Roman" w:eastAsia="Times New Roman" w:cs="Times New Roman"/>
        </w:rPr>
        <w:t>Miller ngenu anaika ukweli huo “juu ya meza ya katikati” na kuwaita wote “waje waone.” “Njoo uone,” ni ishara iliyochukuliwa kutoka katika kufunguliwa kwa mihuri katika kitabu cha Ufunuo, na Miller anawawakilisha wenye hekima wanaoelewa ujumbe wa Danieli uliotiwa muhuri uliokuwa umefunguliwa mwaka 1798. Kweli ambazo Miller aliziweka juu ya meza zilikuwa kweli zilizofunguliwa kutoka katika kitabu cha Danieli, zilizofunguliwa na Simba wa kabila la Yuda, nazo zilipaswa kulijaribu kizazi kilichokuwa hai wakati zilipofunguliwa. Kwa sababu hiyo, wale wanyama wanne wa Ufunuo wanaohusishwa na mihuri minne ya kwanza, pamoja na Miller, waliliita hilo kizazi “waje waone.”</w:t>
      </w:r>
    </w:p>
    <w:p>
      <w:pPr>
        <w:pStyle w:val="ArticleScripture"/>
        <w:jc w:val="left"/>
      </w:pPr>
      <w:r>
        <w:rPr>
          <w:rFonts w:ascii="Times New Roman" w:hAnsi="Times New Roman" w:eastAsia="Times New Roman" w:cs="Times New Roman"/>
        </w:rPr>
        <w:t>ئەمجا کە برەخەکە یەکێک لە مۆرەکان کردەوە، بینیم، و گوێم لە دەنگێک بوو وەک هەرەهاوری برووسکە، یەکێک لە چوار ئاژەڵەکە دەیگوت: وەرە و ببینە. ئەوجا سەیرم کرد، و ئەوەتا ئەسپێکی سپی؛ و ئەوەی لەسەری دانیشتبوو کەوانێکی هەبوو؛ و تاجێک پێدرا؛ و دەرچوو بە سەرکەوتن، و بۆ ئەوەی سەر بکات. و کاتێک مۆری دووەمی کردەوە، گوێم لە ئاژەڵی دووەم بوو کە دەیگوت: وەرە و ببینە. ئەنجا ئەسپێکی تر دەرچوو کە سوور بوو؛ و دەسەڵات بەوەی لەسەری دانیشتبوو درا تا ئاشتی لە زەوی ببەیتەوە، و ئەوەی یەکدی بکوژن؛ و شمشێرێکی گەورەی پێدرا. و کاتێک مۆری سێیەمی کردەوە، گوێم لە ئاژەڵی سێیەم بوو کە دەیگوت: وەرە و ببینە. ئەوجا سەیرم کرد، و ئەوەتا ئەسپێکی ڕەش؛ و ئەوەی لەسەری دانیشتبوو تەرازوویەکی لە دەستدا بوو. و گوێم لە دەنگێک بوو لە ناوەڕاستی چوار ئاژەڵەکە دەیگوت: یەک پێوانە گەنم بە دینارێک، و سێ پێوانە جۆ بە دینارێک؛ و مەهێڵە زیان بە ڕۆن و شەراب بگەیەنرێت. و کاتێک مۆری چوارەمی کردەوە، گوێم لە دەنگی ئاژەڵی چوارەم بوو کە دەیگوت: وەرە و ببینە. ئەوجا تەماشام کرد، و ئەوەتا ئەسپێکی زەرداوی؛ و ناوی ئەوەی لەسەری دانیشتبوو مردن بوو، و دۆزەخ لەدوایەوە شوێنی دەکەوت. و دەسەڵات پێدران بەسەر چارەکی زەوی، بۆ ئەوەی بە شمشێر، و بە برسێتی، و بە مردن، و بە کێوی زەوی بکوژن. ئاشکراکردنەوەی یوحەننا ٦:١–٨.</w:t>
      </w:r>
    </w:p>
    <w:p>
      <w:pPr>
        <w:pStyle w:val="ArticleBody"/>
        <w:jc w:val="left"/>
      </w:pPr>
      <w:r>
        <w:rPr>
          <w:rFonts w:ascii="Times New Roman" w:hAnsi="Times New Roman" w:eastAsia="Times New Roman" w:cs="Times New Roman"/>
        </w:rPr>
        <w:t>Kristo ndiye, wo wakililwa nga Nkalamo ya fuko lya Yuda, uyo wakafungura buku ilo likajalika na vijalilo saba mu buku lya Chivumbuzi; ndipo ndi Nkalamo ya fuko lya Yuda yeneiyo iyo yakafungura visengo vya mtengo wapatali ivyo Miller wakaika pa meza, ndiposo yakalengeza kwa wose kuti, “wizani muwone.”</w:t>
      </w:r>
    </w:p>
    <w:p>
      <w:pPr>
        <w:pStyle w:val="ArticleBody"/>
        <w:jc w:val="left"/>
      </w:pPr>
      <w:r>
        <w:rPr>
          <w:rFonts w:ascii="Nirmala UI" w:hAnsi="Nirmala UI" w:eastAsia="Nirmala UI" w:cs="Nirmala UI"/>
        </w:rPr>
        <w:t>উনি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সত্যগুলি</w:t>
      </w:r>
      <w:r>
        <w:rPr>
          <w:rFonts w:ascii="Times New Roman" w:hAnsi="Times New Roman" w:eastAsia="Times New Roman" w:cs="Times New Roman"/>
        </w:rPr>
        <w:t xml:space="preserve"> </w:t>
      </w:r>
      <w:r>
        <w:rPr>
          <w:rFonts w:ascii="Nirmala UI" w:hAnsi="Nirmala UI" w:eastAsia="Nirmala UI" w:cs="Nirmala UI"/>
        </w:rPr>
        <w:t>আবিষ্কার</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১৮৪৩</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অগ্রদূত</w:t>
      </w:r>
      <w:r>
        <w:rPr>
          <w:rFonts w:ascii="Times New Roman" w:hAnsi="Times New Roman" w:eastAsia="Times New Roman" w:cs="Times New Roman"/>
        </w:rPr>
        <w:t>-</w:t>
      </w:r>
      <w:r>
        <w:rPr>
          <w:rFonts w:ascii="Nirmala UI" w:hAnsi="Nirmala UI" w:eastAsia="Nirmala UI" w:cs="Nirmala UI"/>
        </w:rPr>
        <w:t>চার্টের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জীবন্তরূপে</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চার্ট</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সিস্টার</w:t>
      </w:r>
      <w:r>
        <w:rPr>
          <w:rFonts w:ascii="Times New Roman" w:hAnsi="Times New Roman" w:eastAsia="Times New Roman" w:cs="Times New Roman"/>
        </w:rPr>
        <w:t xml:space="preserve"> </w:t>
      </w:r>
      <w:r>
        <w:rPr>
          <w:rFonts w:ascii="Nirmala UI" w:hAnsi="Nirmala UI" w:eastAsia="Nirmala UI" w:cs="Nirmala UI"/>
        </w:rPr>
        <w:t>হোয়াইট</w:t>
      </w:r>
      <w:r>
        <w:rPr>
          <w:rFonts w:ascii="Times New Roman" w:hAnsi="Times New Roman" w:eastAsia="Times New Roman" w:cs="Times New Roman"/>
        </w:rPr>
        <w:t xml:space="preserve"> </w:t>
      </w:r>
      <w:r>
        <w:rPr>
          <w:rFonts w:ascii="Nirmala UI" w:hAnsi="Nirmala UI" w:eastAsia="Nirmala UI" w:cs="Nirmala UI"/>
        </w:rPr>
        <w:t>বলেছিলেন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হাতের</w:t>
      </w:r>
      <w:r>
        <w:rPr>
          <w:rFonts w:ascii="Times New Roman" w:hAnsi="Times New Roman" w:eastAsia="Times New Roman" w:cs="Times New Roman"/>
        </w:rPr>
        <w:t xml:space="preserve"> </w:t>
      </w:r>
      <w:r>
        <w:rPr>
          <w:rFonts w:ascii="Nirmala UI" w:hAnsi="Nirmala UI" w:eastAsia="Nirmala UI" w:cs="Nirmala UI"/>
        </w:rPr>
        <w:t>পরিচালনায়</w:t>
      </w:r>
      <w:r>
        <w:rPr>
          <w:rFonts w:ascii="Times New Roman" w:hAnsi="Times New Roman" w:eastAsia="Times New Roman" w:cs="Times New Roman"/>
        </w:rPr>
        <w:t xml:space="preserve"> </w:t>
      </w:r>
      <w:r>
        <w:rPr>
          <w:rFonts w:ascii="Nirmala UI" w:hAnsi="Nirmala UI" w:eastAsia="Nirmala UI" w:cs="Nirmala UI"/>
        </w:rPr>
        <w:t>নির্মিত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অদৃশ্য</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মিলারকে</w:t>
      </w:r>
      <w:r>
        <w:rPr>
          <w:rFonts w:ascii="Times New Roman" w:hAnsi="Times New Roman" w:eastAsia="Times New Roman" w:cs="Times New Roman"/>
        </w:rPr>
        <w:t xml:space="preserve"> </w:t>
      </w:r>
      <w:r>
        <w:rPr>
          <w:rFonts w:ascii="Nirmala UI" w:hAnsi="Nirmala UI" w:eastAsia="Nirmala UI" w:cs="Nirmala UI"/>
        </w:rPr>
        <w:t>রত্নপূর্ণ</w:t>
      </w:r>
      <w:r>
        <w:rPr>
          <w:rFonts w:ascii="Times New Roman" w:hAnsi="Times New Roman" w:eastAsia="Times New Roman" w:cs="Times New Roman"/>
        </w:rPr>
        <w:t xml:space="preserve"> </w:t>
      </w:r>
      <w:r>
        <w:rPr>
          <w:rFonts w:ascii="Nirmala UI" w:hAnsi="Nirmala UI" w:eastAsia="Nirmala UI" w:cs="Nirmala UI"/>
        </w:rPr>
        <w:t>কাসকেটটি</w:t>
      </w:r>
      <w:r>
        <w:rPr>
          <w:rFonts w:ascii="Times New Roman" w:hAnsi="Times New Roman" w:eastAsia="Times New Roman" w:cs="Times New Roman"/>
        </w:rPr>
        <w:t xml:space="preserve"> </w:t>
      </w:r>
      <w:r>
        <w:rPr>
          <w:rFonts w:ascii="Nirmala UI" w:hAnsi="Nirmala UI" w:eastAsia="Nirmala UI" w:cs="Nirmala UI"/>
        </w:rPr>
        <w:t>এনে</w:t>
      </w:r>
      <w:r>
        <w:rPr>
          <w:rFonts w:ascii="Times New Roman" w:hAnsi="Times New Roman" w:eastAsia="Times New Roman" w:cs="Times New Roman"/>
        </w:rPr>
        <w:t xml:space="preserve"> </w:t>
      </w:r>
      <w:r>
        <w:rPr>
          <w:rFonts w:ascii="Nirmala UI" w:hAnsi="Nirmala UI" w:eastAsia="Nirmala UI" w:cs="Nirmala UI"/>
        </w:rPr>
        <w:t>দিয়েছিল।</w:t>
      </w:r>
      <w:r>
        <w:rPr>
          <w:rFonts w:ascii="Times New Roman" w:hAnsi="Times New Roman" w:eastAsia="Times New Roman" w:cs="Times New Roman"/>
        </w:rPr>
        <w:t xml:space="preserve"> </w:t>
      </w:r>
      <w:r>
        <w:rPr>
          <w:rFonts w:ascii="Nirmala UI" w:hAnsi="Nirmala UI" w:eastAsia="Nirmala UI" w:cs="Nirmala UI"/>
        </w:rPr>
        <w:t>১৮৪২</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চার্ট</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হাবাক্কূকের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আদেশের</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w:t>
      </w:r>
      <w:r>
        <w:rPr>
          <w:rFonts w:ascii="Nirmala UI" w:hAnsi="Nirmala UI" w:eastAsia="Nirmala UI" w:cs="Nirmala UI"/>
        </w:rPr>
        <w:t>দর্শনটি</w:t>
      </w:r>
      <w:r>
        <w:rPr>
          <w:rFonts w:ascii="Times New Roman" w:hAnsi="Times New Roman" w:eastAsia="Times New Roman" w:cs="Times New Roman"/>
        </w:rPr>
        <w:t xml:space="preserve"> </w:t>
      </w:r>
      <w:r>
        <w:rPr>
          <w:rFonts w:ascii="Nirmala UI" w:hAnsi="Nirmala UI" w:eastAsia="Nirmala UI" w:cs="Nirmala UI"/>
        </w:rPr>
        <w:t>লিখে</w:t>
      </w:r>
      <w:r>
        <w:rPr>
          <w:rFonts w:ascii="Times New Roman" w:hAnsi="Times New Roman" w:eastAsia="Times New Roman" w:cs="Times New Roman"/>
        </w:rPr>
        <w:t xml:space="preserve"> </w:t>
      </w:r>
      <w:r>
        <w:rPr>
          <w:rFonts w:ascii="Nirmala UI" w:hAnsi="Nirmala UI" w:eastAsia="Nirmala UI" w:cs="Nirmala UI"/>
        </w:rPr>
        <w:t>ফলকের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এমনভাবে</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পরিষ্কারভাবে</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পায়।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কক্ষের</w:t>
      </w:r>
      <w:r>
        <w:rPr>
          <w:rFonts w:ascii="Times New Roman" w:hAnsi="Times New Roman" w:eastAsia="Times New Roman" w:cs="Times New Roman"/>
        </w:rPr>
        <w:t xml:space="preserve"> </w:t>
      </w:r>
      <w:r>
        <w:rPr>
          <w:rFonts w:ascii="Nirmala UI" w:hAnsi="Nirmala UI" w:eastAsia="Nirmala UI" w:cs="Nirmala UI"/>
        </w:rPr>
        <w:t>মধ্যভাগে</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টেবিলটি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চার্টেরই</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যেগুলি</w:t>
      </w:r>
      <w:r>
        <w:rPr>
          <w:rFonts w:ascii="Times New Roman" w:hAnsi="Times New Roman" w:eastAsia="Times New Roman" w:cs="Times New Roman"/>
        </w:rPr>
        <w:t xml:space="preserve"> </w:t>
      </w:r>
      <w:r>
        <w:rPr>
          <w:rFonts w:ascii="Nirmala UI" w:hAnsi="Nirmala UI" w:eastAsia="Nirmala UI" w:cs="Nirmala UI"/>
        </w:rPr>
        <w:t>১৮৪২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১৮৪৩</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মিলারীয়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উদ্দেশে</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গিয়েছিল।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চার্টটি</w:t>
      </w:r>
      <w:r>
        <w:rPr>
          <w:rFonts w:ascii="Times New Roman" w:hAnsi="Times New Roman" w:eastAsia="Times New Roman" w:cs="Times New Roman"/>
        </w:rPr>
        <w:t xml:space="preserve">, </w:t>
      </w:r>
      <w:r>
        <w:rPr>
          <w:rFonts w:ascii="Nirmala UI" w:hAnsi="Nirmala UI" w:eastAsia="Nirmala UI" w:cs="Nirmala UI"/>
        </w:rPr>
        <w:t>১৮৫০</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অগ্রদূত</w:t>
      </w:r>
      <w:r>
        <w:rPr>
          <w:rFonts w:ascii="Times New Roman" w:hAnsi="Times New Roman" w:eastAsia="Times New Roman" w:cs="Times New Roman"/>
        </w:rPr>
        <w:t>-</w:t>
      </w:r>
      <w:r>
        <w:rPr>
          <w:rFonts w:ascii="Nirmala UI" w:hAnsi="Nirmala UI" w:eastAsia="Nirmala UI" w:cs="Nirmala UI"/>
        </w:rPr>
        <w:t>চার্টসহ</w:t>
      </w:r>
      <w:r>
        <w:rPr>
          <w:rFonts w:ascii="Times New Roman" w:hAnsi="Times New Roman" w:eastAsia="Times New Roman" w:cs="Times New Roman"/>
        </w:rPr>
        <w:t xml:space="preserve">, </w:t>
      </w:r>
      <w:r>
        <w:rPr>
          <w:rFonts w:ascii="Nirmala UI" w:hAnsi="Nirmala UI" w:eastAsia="Nirmala UI" w:cs="Nirmala UI"/>
        </w:rPr>
        <w:t>হাবাক্কূক</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ফলকসমূহ</w:t>
      </w:r>
      <w:r>
        <w:rPr>
          <w:rFonts w:ascii="Times New Roman" w:hAnsi="Times New Roman" w:eastAsia="Times New Roman" w:cs="Times New Roman"/>
        </w:rPr>
        <w:t xml:space="preserve">” </w:t>
      </w:r>
      <w:r>
        <w:rPr>
          <w:rFonts w:ascii="Nirmala UI" w:hAnsi="Nirmala UI" w:eastAsia="Nirmala UI" w:cs="Nirmala UI"/>
        </w:rPr>
        <w:t>ছিল।</w:t>
      </w:r>
    </w:p>
    <w:p>
      <w:pPr>
        <w:pStyle w:val="ArticleScripture"/>
        <w:jc w:val="left"/>
      </w:pPr>
      <w:r>
        <w:rPr>
          <w:rFonts w:ascii="Times New Roman" w:hAnsi="Times New Roman" w:eastAsia="Times New Roman" w:cs="Times New Roman"/>
        </w:rPr>
        <w:t>“Eli lilikuwa ushuhuda wa pamoja wa wahubiri na magazeti ya Ujio wa Pili, waliposimama juu ya ‘imani ya awali,’ kwamba kuchapishwa kwa chati kulikuwa utimilifu wa Habakuki 2:2, 3. Ikiwa chati ilikuwa jambo la unabii (na wale wanaolikataa huiacha imani ya awali), basi yafuatayo ni kwamba KK 457 ulikuwa mwaka ambao kutoka kwake zile siku 2300 zilipaswa kuhesabiwa. Ilikuwa lazima kwamba 1843 uwe wakati wa kwanza uliochapishwa ili ‘maono’ ‘yakawie,’ au kwamba pawepo wakati wa kukawia, ambamo kundi la wanawali lilipaswa kusinzia na kulala juu ya suala kuu la wakati, muda mfupi kabla hawajaamshwa na Kilio cha Usiku wa Manane.” James White, Second Advent Review and Sabbath Herald, Juzuu 1, Namba 2.</w:t>
      </w:r>
    </w:p>
    <w:p>
      <w:pPr>
        <w:pStyle w:val="ArticleBody"/>
        <w:jc w:val="left"/>
      </w:pPr>
      <w:r>
        <w:rPr>
          <w:rFonts w:ascii="Times New Roman" w:hAnsi="Times New Roman" w:eastAsia="Times New Roman" w:cs="Times New Roman"/>
        </w:rPr>
        <w:t>Abantu abaqala ukusabela emyalezweni (ubucwebe) owabe usumelwa etafuleni likaHabakuki, ekuqaleni babembalwa; kodwa ngokuqinisekiswa komgomo wosuku-olulodwa-lingunyaka ngo-August 11, 1840, abantu “banda baba yisixuku.”</w:t>
      </w:r>
    </w:p>
    <w:p>
      <w:pPr>
        <w:pStyle w:val="ArticleScripture"/>
        <w:jc w:val="left"/>
      </w:pPr>
      <w:r>
        <w:rPr>
          <w:rFonts w:ascii="Times New Roman" w:hAnsi="Times New Roman" w:eastAsia="Times New Roman" w:cs="Times New Roman"/>
        </w:rPr>
        <w:t>“Mu misi nyene yaiambwa, Uturuki, kumeso ya balumingu babo, bwakidila bulamfu bwa bukumbaji bwa maboko a buloba bwa Yulopa, ne pa nunku bwakiteka buvine bwao mwinshi mwa bukokeshi bwa banga ba bukristo. Dikanda adi dyakumbana ne bulelela bwonse ne diprofesi dyakambwa. Padi byakumvwika ne padi bamanye bintu ebi, bantu bangi bakakudimuna ne lulamatu ku bulelela bwa misiku ya kumvununa maprofesi yaiakalwa kudi Miller ne bakwabo bande, ne dikankamija dya kukema dyakapeshibwa ku mukenji wa boyi bwa Dilwa dya Mfumu. Bantu ba mayele ne ba bukalenge bakashintuluka ne Miller, mu kuyisha ne mu kupatula mu mikanda mivwijo yakwe, ne kuumukila mu 1840 too ne mu 1844 mudimu awu wakatangila ne lubilu.” The Great Controversy, 334, 335.</w:t>
      </w:r>
    </w:p>
    <w:p>
      <w:pPr>
        <w:pStyle w:val="ArticleBody"/>
        <w:jc w:val="left"/>
      </w:pPr>
      <w:r>
        <w:rPr>
          <w:rFonts w:ascii="Times New Roman" w:hAnsi="Times New Roman" w:eastAsia="Times New Roman" w:cs="Times New Roman"/>
        </w:rPr>
        <w:t>Hanyuma ekimbu ky’abantu ne kitandika okuteeka amayinja ag’omuwendo mu buzibu. Mu kiseera ekyo Miller agenda kulaga obubonero obw’okusaasaanya amayinja ag’omuwendo. Ekigambo “saasaanya” kye kimu ku bubonero obukulu obw’“emirundi musanvu” egy’omu Ebyabaleevi amakumi abiri mu mukaaga, era Miller akozesa enkyukakyuka ez’ekigambo “saasaanya” emirundi kkumi mu kunnyonnyola ekirooto kye. “Kkumi” kabonero ak’okugezesebwa, era kalaga okutegeera okutuufu okw’amakulu ag’obubonero bw’amayinja ga Miller “agasasaanyizibbwa” ng’okugezesebwa okw’obunnabbi eri abo enkomerero z’ensi kwe zituuse.</w:t>
      </w:r>
    </w:p>
    <w:p>
      <w:pPr>
        <w:pStyle w:val="ArticleBody"/>
        <w:jc w:val="left"/>
      </w:pPr>
      <w:r>
        <w:rPr>
          <w:rFonts w:ascii="Times New Roman" w:hAnsi="Times New Roman" w:eastAsia="Times New Roman" w:cs="Times New Roman"/>
        </w:rPr>
        <w:t>ڕەتكردنەوەی گوەهەری «حەوت جار» یەکەمین گوەهەر بوو کە لادۆسیانی ئەدوێنتیزم لایدا، کاتێک لە تاقیکردنەوەی «پەرشبوون»ی موسا سەرنەکەوتن، کە لەلایەن ئیلیا (میلەر) لە ساڵی 1863 پێشکەش کرابوو. لەو خاڵەوە بەدوا، گوەهەرەکان دەبوو بە شێوەیەکی زیاتر و زیاتر پەرش ببن، لەگەڵ ساختەکان تێکەڵ بکرێن و لە کۆتاییدا بە تەواوی داپۆشرێن. داپۆشینی تەواوی گوەهەرە بەنرخەکان لە کۆتاییدا دەگەیشتە خاڵێک کە تابووتەکە (کتێبی پیرۆز) وێران دەکرا.</w:t>
      </w:r>
    </w:p>
    <w:p>
      <w:pPr>
        <w:pStyle w:val="ArticleBody"/>
        <w:jc w:val="left"/>
      </w:pPr>
      <w:r>
        <w:rPr>
          <w:rFonts w:ascii="Times New Roman" w:hAnsi="Times New Roman" w:eastAsia="Times New Roman" w:cs="Times New Roman"/>
        </w:rPr>
        <w:t>Mu cilota ca Miller, muli ubusalo bwapusana bwayelela pakati ka “miku cinelubali” ya kutendekela apo Miller ashonsha ishiwi lya kuti “palanya,” na miku itatu ya kulekelesha apo alishonsha ishiwi limoline. Panuma yakwe ukulumbula “palanya” “miku cinelubali,” “afyelwe no kulefya amano no kusululuka umutima lyonse, alikala panshi no kulila.”</w:t>
      </w:r>
    </w:p>
    <w:p>
      <w:pPr>
        <w:pStyle w:val="ArticleBody"/>
        <w:jc w:val="left"/>
      </w:pPr>
      <w:r>
        <w:rPr>
          <w:rFonts w:ascii="Times New Roman" w:hAnsi="Times New Roman" w:eastAsia="Times New Roman" w:cs="Times New Roman"/>
        </w:rPr>
        <w:t>Kristo atatangile kukhwatakanywa nga Nsimba wa lukolo lwa Yuda, atatandike mulimo wakwe wa kukangulula ekitabo ekyali kikomirwe n’ebikomo musanvu mu Kitabo kya Okubikkulirwa, Yokaana yakaba. Yokaana na Miller bombi bakaba bwe baategeera nti essanduuko (Ekigambo kya Katonda) yali ezikiddwa wansi n’amayinja ag’omuwendo ag’ebicupuli.</w:t>
      </w:r>
    </w:p>
    <w:p>
      <w:pPr>
        <w:pStyle w:val="ArticleScripture"/>
        <w:jc w:val="left"/>
      </w:pPr>
      <w:r>
        <w:rPr>
          <w:rFonts w:ascii="Times New Roman" w:hAnsi="Times New Roman" w:eastAsia="Times New Roman" w:cs="Times New Roman"/>
        </w:rPr>
        <w:t>Ndzi vona ebokweni ra xinene ra Loyi a tshameke exiluvelweni buku leyi tsariweke endzeni ni le matsaleni ya yona ya le handle, yi pfariwile hi swisibye swa nkombo. Kutani ndzi vona ntsumi ya matimba yi huwelela hi rito lerikulu, yi ku: “I mani loyi a fanelekaka ku pfula buku leyi ni ku ntshunxa swisibye swa yona?” Kambe a ku nga ri na munhu etilweni, kumbe emisaveni, kumbe ehansi ka misava, loyi a koteke ku pfula buku leyi, hambi ku ri ku yi languta. Kutani ndzi rila swinene, hikuva a ku nga kumiwanga munhu loyi a fanelekaka ku pfula ni ku hlaya buku leyi, hambi ku ri ku yi languta. Kutani un'wana wa vakulukumba a ku eka mina: “U nga rili; vona, Nghala ya nyimba ya Yuda, Rimitsu ra Davhida, yi hlurile ku pfula buku leyi ni ku ntshunxa swisibye swa yona swa nkombo.” Nhlavutelo 5:1–5.</w:t>
      </w:r>
    </w:p>
    <w:p>
      <w:pPr>
        <w:pStyle w:val="ArticleBody"/>
        <w:jc w:val="left"/>
      </w:pPr>
      <w:r>
        <w:rPr>
          <w:rFonts w:ascii="Times New Roman" w:hAnsi="Times New Roman" w:eastAsia="Times New Roman" w:cs="Times New Roman"/>
        </w:rPr>
        <w:t>Gava redkirina bi lezgî zêde dibû ya cevherên ku Miller dîtin û li ber cîhanê pêşkêş kirin gihîşt wê astê ku Bible (qutîka wan) hat hilweşandin, wê demê Miller girî.</w:t>
      </w:r>
    </w:p>
    <w:p>
      <w:pPr>
        <w:pStyle w:val="ArticleScripture"/>
        <w:jc w:val="left"/>
      </w:pPr>
      <w:r>
        <w:rPr>
          <w:rFonts w:ascii="Times New Roman" w:hAnsi="Times New Roman" w:eastAsia="Times New Roman" w:cs="Times New Roman"/>
        </w:rPr>
        <w:t>“Nanga napaw aki ni, kadagití pudnó a alahas ken kuarta, inwarasda met ti di mabilang a kaadu dagiti peke nga alahas ken palsipikado a kuarta. Nakaungetak unay iti naalasda a panagbiag ken iti kinaawan-da iti panagyaman, ket pinatulodko ida babaen iti panangtubngar ken panangpalagip iti basolda gapu iti dayta; ngem no ad-adda a tinubngarko ida, ad-adda met a inwarasda dagiti peke nga alahas ken dagiti saan a pudnó a kuarta kadagiti pudnó.”</w:t>
      </w:r>
    </w:p>
    <w:p>
      <w:pPr>
        <w:pStyle w:val="ArticleScripture"/>
        <w:jc w:val="left"/>
      </w:pPr>
      <w:r>
        <w:rPr>
          <w:rFonts w:ascii="Times New Roman" w:hAnsi="Times New Roman" w:eastAsia="Times New Roman" w:cs="Times New Roman"/>
        </w:rPr>
        <w:t>“</w:t>
      </w:r>
      <w:r>
        <w:rPr>
          <w:rFonts w:ascii="Gadugi" w:hAnsi="Gadugi" w:eastAsia="Gadugi" w:cs="Gadugi"/>
        </w:rPr>
        <w:t>ᎿᏉᏃ</w:t>
      </w:r>
      <w:r>
        <w:rPr>
          <w:rFonts w:ascii="Times New Roman" w:hAnsi="Times New Roman" w:eastAsia="Times New Roman" w:cs="Times New Roman"/>
        </w:rPr>
        <w:t xml:space="preserve"> </w:t>
      </w:r>
      <w:r>
        <w:rPr>
          <w:rFonts w:ascii="Gadugi" w:hAnsi="Gadugi" w:eastAsia="Gadugi" w:cs="Gadugi"/>
        </w:rPr>
        <w:t>ᎤᏕᏯ</w:t>
      </w:r>
      <w:r>
        <w:rPr>
          <w:rFonts w:ascii="Times New Roman" w:hAnsi="Times New Roman" w:eastAsia="Times New Roman" w:cs="Times New Roman"/>
        </w:rPr>
        <w:t xml:space="preserve"> </w:t>
      </w:r>
      <w:r>
        <w:rPr>
          <w:rFonts w:ascii="Gadugi" w:hAnsi="Gadugi" w:eastAsia="Gadugi" w:cs="Gadugi"/>
        </w:rPr>
        <w:t>ᎠᏆᏓᏅᏙ</w:t>
      </w:r>
      <w:r>
        <w:rPr>
          <w:rFonts w:ascii="Times New Roman" w:hAnsi="Times New Roman" w:eastAsia="Times New Roman" w:cs="Times New Roman"/>
        </w:rPr>
        <w:t xml:space="preserve"> </w:t>
      </w:r>
      <w:r>
        <w:rPr>
          <w:rFonts w:ascii="Gadugi" w:hAnsi="Gadugi" w:eastAsia="Gadugi" w:cs="Gadugi"/>
        </w:rPr>
        <w:t>ᎠᏆᏤᎵ</w:t>
      </w:r>
      <w:r>
        <w:rPr>
          <w:rFonts w:ascii="Times New Roman" w:hAnsi="Times New Roman" w:eastAsia="Times New Roman" w:cs="Times New Roman"/>
        </w:rPr>
        <w:t xml:space="preserve"> </w:t>
      </w:r>
      <w:r>
        <w:rPr>
          <w:rFonts w:ascii="Gadugi" w:hAnsi="Gadugi" w:eastAsia="Gadugi" w:cs="Gadugi"/>
        </w:rPr>
        <w:t>ᎤᏇᏓᎵ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ᎤᏇᏓᎸ</w:t>
      </w:r>
      <w:r>
        <w:rPr>
          <w:rFonts w:ascii="Times New Roman" w:hAnsi="Times New Roman" w:eastAsia="Times New Roman" w:cs="Times New Roman"/>
        </w:rPr>
        <w:t xml:space="preserve"> </w:t>
      </w:r>
      <w:r>
        <w:rPr>
          <w:rFonts w:ascii="Gadugi" w:hAnsi="Gadugi" w:eastAsia="Gadugi" w:cs="Gadugi"/>
        </w:rPr>
        <w:t>ᎠᏆᏓᏅᏙ</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ᎦᏁᎸ</w:t>
      </w:r>
      <w:r>
        <w:rPr>
          <w:rFonts w:ascii="Times New Roman" w:hAnsi="Times New Roman" w:eastAsia="Times New Roman" w:cs="Times New Roman"/>
        </w:rPr>
        <w:t xml:space="preserve"> </w:t>
      </w:r>
      <w:r>
        <w:rPr>
          <w:rFonts w:ascii="Gadugi" w:hAnsi="Gadugi" w:eastAsia="Gadugi" w:cs="Gadugi"/>
        </w:rPr>
        <w:t>ᏥᏙᎦᏄᎪᏫᏍᎨᎢ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ᎠᏆᏄᎪᏫᏍᎬ</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ᏅᏩᎾᏓᎴ</w:t>
      </w:r>
      <w:r>
        <w:rPr>
          <w:rFonts w:ascii="Times New Roman" w:hAnsi="Times New Roman" w:eastAsia="Times New Roman" w:cs="Times New Roman"/>
        </w:rPr>
        <w:t xml:space="preserve"> </w:t>
      </w:r>
      <w:r>
        <w:rPr>
          <w:rFonts w:ascii="Gadugi" w:hAnsi="Gadugi" w:eastAsia="Gadugi" w:cs="Gadugi"/>
        </w:rPr>
        <w:t>ᎠᏂᏴᎵᏎᎮ</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ᎠᎾᏁᏄᎴ</w:t>
      </w:r>
      <w:r>
        <w:rPr>
          <w:rFonts w:ascii="Times New Roman" w:hAnsi="Times New Roman" w:eastAsia="Times New Roman" w:cs="Times New Roman"/>
        </w:rPr>
        <w:t xml:space="preserve"> </w:t>
      </w:r>
      <w:r>
        <w:rPr>
          <w:rFonts w:ascii="Gadugi" w:hAnsi="Gadugi" w:eastAsia="Gadugi" w:cs="Gadugi"/>
        </w:rPr>
        <w:t>ᎦᏓᎭ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ᎠᏍᏛᎾ</w:t>
      </w:r>
      <w:r>
        <w:rPr>
          <w:rFonts w:ascii="Times New Roman" w:hAnsi="Times New Roman" w:eastAsia="Times New Roman" w:cs="Times New Roman"/>
        </w:rPr>
        <w:t xml:space="preserve"> </w:t>
      </w:r>
      <w:r>
        <w:rPr>
          <w:rFonts w:ascii="Gadugi" w:hAnsi="Gadugi" w:eastAsia="Gadugi" w:cs="Gadugi"/>
        </w:rPr>
        <w:t>ᎤᏓᏁᎬ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ᎦᏅᏅ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ᎢᏳᎾᏓᎴᎩ</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ᎬᏂ</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ᎠᏂᏣᎳᎩ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ᏓᏯᎦᏅᏅ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ᎠᏕᎳ</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ᎤᏂᏛᏁᎸ</w:t>
      </w:r>
      <w:r>
        <w:rPr>
          <w:rFonts w:ascii="Times New Roman" w:hAnsi="Times New Roman" w:eastAsia="Times New Roman" w:cs="Times New Roman"/>
        </w:rPr>
        <w:t xml:space="preserve"> </w:t>
      </w:r>
      <w:r>
        <w:rPr>
          <w:rFonts w:ascii="Gadugi" w:hAnsi="Gadugi" w:eastAsia="Gadugi" w:cs="Gadugi"/>
        </w:rPr>
        <w:t>ᎤᎪᎲᎢ</w:t>
      </w:r>
      <w:r>
        <w:rPr>
          <w:rFonts w:ascii="Times New Roman" w:hAnsi="Times New Roman" w:eastAsia="Times New Roman" w:cs="Times New Roman"/>
        </w:rPr>
        <w:t xml:space="preserve"> </w:t>
      </w:r>
      <w:r>
        <w:rPr>
          <w:rFonts w:ascii="Gadugi" w:hAnsi="Gadugi" w:eastAsia="Gadugi" w:cs="Gadugi"/>
        </w:rPr>
        <w:t>ᎤᏲᎱᏒᎩ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ᎤᏂᏍᏆᏂᎪᏔᏁ</w:t>
      </w:r>
      <w:r>
        <w:rPr>
          <w:rFonts w:ascii="Times New Roman" w:hAnsi="Times New Roman" w:eastAsia="Times New Roman" w:cs="Times New Roman"/>
        </w:rPr>
        <w:t xml:space="preserve"> </w:t>
      </w:r>
      <w:r>
        <w:rPr>
          <w:rFonts w:ascii="Gadugi" w:hAnsi="Gadugi" w:eastAsia="Gadugi" w:cs="Gadugi"/>
        </w:rPr>
        <w:t>ᎠᏆᏤᎵ</w:t>
      </w:r>
      <w:r>
        <w:rPr>
          <w:rFonts w:ascii="Times New Roman" w:hAnsi="Times New Roman" w:eastAsia="Times New Roman" w:cs="Times New Roman"/>
        </w:rPr>
        <w:t xml:space="preserve"> </w:t>
      </w:r>
      <w:r>
        <w:rPr>
          <w:rFonts w:ascii="Gadugi" w:hAnsi="Gadugi" w:eastAsia="Gadugi" w:cs="Gadugi"/>
        </w:rPr>
        <w:t>ᏗᎦᏅᏍᏗ</w:t>
      </w:r>
      <w:r>
        <w:rPr>
          <w:rFonts w:ascii="Times New Roman" w:hAnsi="Times New Roman" w:eastAsia="Times New Roman" w:cs="Times New Roman"/>
        </w:rPr>
        <w:t xml:space="preserve"> </w:t>
      </w:r>
      <w:r>
        <w:rPr>
          <w:rFonts w:ascii="Gadugi" w:hAnsi="Gadugi" w:eastAsia="Gadugi" w:cs="Gadugi"/>
        </w:rPr>
        <w:t>ᎠᏍᏚᎢ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ᎤᏂᏗᏗᏍᎨ</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ᎠᎩᏰᎸᏎ</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ᎤᏓᏅᏖᏍᎨ</w:t>
      </w:r>
      <w:r>
        <w:rPr>
          <w:rFonts w:ascii="Times New Roman" w:hAnsi="Times New Roman" w:eastAsia="Times New Roman" w:cs="Times New Roman"/>
        </w:rPr>
        <w:t xml:space="preserve"> </w:t>
      </w:r>
      <w:r>
        <w:rPr>
          <w:rFonts w:ascii="Gadugi" w:hAnsi="Gadugi" w:eastAsia="Gadugi" w:cs="Gadugi"/>
        </w:rPr>
        <w:t>ᎠᏆᏲᎢ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ᎠᏆᏔᎳᏬᎢ</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ᎢᏯᏆᏛᏁᎸ</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ᏄᏩᏁᎸ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ᎠᏆᏅᏔ</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ᎠᏆᏠᏱᏍᎨ</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Kuno kurota kwake panguva iyi, shoko rokuti “scatter” rinoshandiswa “kanomwe.” Kuitika kutatu kwokupedzisira kwakasiyana nekutanga kunomwe, nokudaro kuchiisa chisimbiso chouprofita pamusoro pokuparadzirwa kunomwe sechiratidzo che“nguva nomwe” dzaRevhitiko makumi maviri nenhanhatu. Kurota kwechipiri kwaMiller, sezvazvakanga zvakaita kurota kwechipiri kwaNebhukadhinezari, kunoratidza nenzira yokufananidzira “nguva nomwe.”</w:t>
      </w:r>
    </w:p>
    <w:p>
      <w:pPr>
        <w:pStyle w:val="ArticleBody"/>
        <w:jc w:val="left"/>
      </w:pPr>
      <w:r>
        <w:rPr>
          <w:rFonts w:ascii="Times New Roman" w:hAnsi="Times New Roman" w:eastAsia="Times New Roman" w:cs="Times New Roman"/>
        </w:rPr>
        <w:t>Küu Yohana mu Kuswekesha sura ya tano, Miller havyalilira, muntu wa kifagio kya vumbi (Simba wa kabila ya Yuda), ndipo “akafungula mulango” nu kwingila mu kisumba. Uwakilishi wa kuonekana wa Tata ashikile ikitabu kyakuti kyafungikwa na mihuri saba, icho kutali muntu uweshe kukifungula, na icho kyamufanyishe Yohana alile, ukatandikile mu mstari wa kwanza wa sura ya nne.</w:t>
      </w:r>
    </w:p>
    <w:p>
      <w:pPr>
        <w:pStyle w:val="ArticleScripture"/>
        <w:jc w:val="left"/>
      </w:pPr>
      <w:r>
        <w:rPr>
          <w:rFonts w:ascii="Times New Roman" w:hAnsi="Times New Roman" w:eastAsia="Times New Roman" w:cs="Times New Roman"/>
        </w:rPr>
        <w:t>Bundan sonra baktım, ve işte, gökte bir kapı açılmıştı; ve işittiğim ilk ses, benimle konuşan bir borazan sesi gibiydi; şöyle dedi: Buraya çık, ve sana bundan sonra olması gereken şeyleri göstereceğim. Vahiy 4:1.</w:t>
      </w:r>
    </w:p>
    <w:p>
      <w:pPr>
        <w:pStyle w:val="ArticleBody"/>
        <w:jc w:val="left"/>
      </w:pPr>
      <w:r>
        <w:rPr>
          <w:rFonts w:ascii="Times New Roman" w:hAnsi="Times New Roman" w:eastAsia="Times New Roman" w:cs="Times New Roman"/>
        </w:rPr>
        <w:t>Miller akĩrĩra, akona muryango wĩhingūka. “Rĩrĩa ndarĩ ndĩ kũrĩra na gũciiria nĩ ũndũ wa gũtũrũka gwakwa gukũrũ na ũrĩa ndarĩ na mwĩtĩkio, ndĩrĩkanĩra Ngai, ngĩhoya nĩ njora nyingĩ atũme andũmagĩrĩre. O rĩmwe muryango ũgĩhingūka, mũndũ akĩingira kĩndũ-inĩ, na andũ arĩa othe makiuma; nake arĩ na kaburashi ga ithaka moko-inĩ, akĩhingũra matandũ, agĩambĩrĩria kwarua ithaka na nyamũ nja kĩndũ-inĩ.” Mũrũ wa nyũmba ya Juda, ariwe Ngũyũ, hamwe na mũndũ ũrĩ na kaburashi ga ithaka, nĩmo mookire rĩrĩa muryango wĩhingũkire, ihinda rĩrĩa Jũan na Miller maarĩrĩte. Kũhingũka kwa muryango nĩ kĩmenyithia gĩa ũgarũri wa mĩaka ya ũtungata wa Ngai.</w:t>
      </w:r>
    </w:p>
    <w:p>
      <w:pPr>
        <w:pStyle w:val="ArticleBody"/>
        <w:jc w:val="left"/>
      </w:pPr>
      <w:r>
        <w:rPr>
          <w:rFonts w:ascii="Times New Roman" w:hAnsi="Times New Roman" w:eastAsia="Times New Roman" w:cs="Times New Roman"/>
        </w:rPr>
        <w:t>Na Miller, akalira, kandi urugi ruruguruka, ariko kandi yarasenze. “Naciwe intege rwose kandi ngira umubabaro ukomeye, nicara hasi ndarira. Mu gihe nari nkiri kurira no kuborogera igihombo cyanjye gikomeye n’inshingano zanjye zo kubazwa, nibutse Imana, maze nyisaba mfite umwete mwinshi ko yanyoherereza ubufasha. Ako kanya urugi ruruguruka, maze umuntu yinjira mu cyumba, abantu bose bahita bakivamo; na we, afite akaburashi ko gukubura ivumbi mu ntoki, akingura amadirishya, maze atangira gukuraho ivumbi n’imyanda byo muri icyo cyumba.”</w:t>
      </w:r>
    </w:p>
    <w:p>
      <w:pPr>
        <w:pStyle w:val="ArticleBody"/>
        <w:jc w:val="left"/>
      </w:pPr>
      <w:r>
        <w:rPr>
          <w:rFonts w:ascii="Times New Roman" w:hAnsi="Times New Roman" w:eastAsia="Times New Roman" w:cs="Times New Roman"/>
        </w:rPr>
        <w:t>Mulembelo wa kusambuka mu mambu a ntangu ya nsuka ya bilumbu, udi mulembelo udi mumanyikile kudi Daniele ne balume basatu ba lukumu mu nshapita mibili, kabidi kudi Daniele mu nshapita ya uvua. Udi mulembelo wa Levitiki makumi abidi ne mutanda wa “misangu muanda,” udi bamoneki babidi ba Buakabulu wa Yone dikumi ne umwe ne bafwile kusambila pavuabu bamanya ne bavua bapalangane. Bamoneki babidi ne bafwile kuvulangana cidi Daniele wakenzela mu nshapita ya uvua, patshidiye mumanye ne uvua “mupalangane” mu dikumbana dia mulawu wa tshijila wa Mose. Bamoneki babidi ne bafwile kuvulangana cidi Miller wakafwanyikija mu cilota ciende pashidiye mufuike ku kaaba kakavua majowele ende mapalangane “misangu muanda.”</w:t>
      </w:r>
    </w:p>
    <w:p>
      <w:pPr>
        <w:pStyle w:val="ArticleBody"/>
        <w:jc w:val="left"/>
      </w:pPr>
      <w:r>
        <w:rPr>
          <w:rFonts w:ascii="Times New Roman" w:hAnsi="Times New Roman" w:eastAsia="Times New Roman" w:cs="Times New Roman"/>
        </w:rPr>
        <w:t>Igiilyo lya kusaba elo lyatentwako akakugi kakugulukwamo, omukwasi wa fungu alya, ne nju yi nene yaalangilwe. Abantu ababi baali bagiye, era embalilila empya yali etuuse. Awo Entare ey’omu kika kya Yuda, oyo “ow’obwawo buli mu mukono gwe,” “yagulula amadirisa, n’atandika okukwasa fungu n’obusagwa okuva mu nju,” era nga “yakwasanga fungu n’obusagwa, amayinja ag’ebisubizo n’ensimbi ez’ebikujjukizo, byonna byatumbuka ne bifubutuka okuva mu dirisa ng’ekire, omuyaga ne gubitwala.”</w:t>
      </w:r>
    </w:p>
    <w:p>
      <w:pPr>
        <w:pStyle w:val="ArticleBody"/>
        <w:jc w:val="left"/>
      </w:pPr>
      <w:r>
        <w:rPr>
          <w:rFonts w:ascii="Nirmala UI" w:hAnsi="Nirmala UI" w:eastAsia="Nirmala UI" w:cs="Nirmala UI"/>
        </w:rPr>
        <w:t>পালে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খিড়কি</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মি</w:t>
      </w:r>
      <w:r>
        <w:rPr>
          <w:rFonts w:ascii="Times New Roman" w:hAnsi="Times New Roman" w:eastAsia="Times New Roman" w:cs="Times New Roman"/>
        </w:rPr>
        <w:t xml:space="preserve"> </w:t>
      </w:r>
      <w:r>
        <w:rPr>
          <w:rFonts w:ascii="Nirmala UI" w:hAnsi="Nirmala UI" w:eastAsia="Nirmala UI" w:cs="Nirmala UI"/>
        </w:rPr>
        <w:t>বিভাজनसिं</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यत्किं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खिड়की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लैजाइत</w:t>
      </w:r>
      <w:r>
        <w:rPr>
          <w:rFonts w:ascii="Times New Roman" w:hAnsi="Times New Roman" w:eastAsia="Times New Roman" w:cs="Times New Roman"/>
        </w:rPr>
        <w:t xml:space="preserve"> </w:t>
      </w:r>
      <w:r>
        <w:rPr>
          <w:rFonts w:ascii="Nirmala UI" w:hAnsi="Nirmala UI" w:eastAsia="Nirmala UI" w:cs="Nirmala UI"/>
        </w:rPr>
        <w:t>अ</w:t>
      </w:r>
      <w:r>
        <w:rPr>
          <w:rFonts w:ascii="Times New Roman" w:hAnsi="Times New Roman" w:eastAsia="Times New Roman" w:cs="Times New Roman"/>
        </w:rPr>
        <w:t xml:space="preserve">, </w:t>
      </w:r>
      <w:r>
        <w:rPr>
          <w:rFonts w:ascii="Nirmala UI" w:hAnsi="Nirmala UI" w:eastAsia="Nirmala UI" w:cs="Nirmala UI"/>
        </w:rPr>
        <w:t>तंहिं</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w:t>
      </w:r>
      <w:r>
        <w:rPr>
          <w:rFonts w:ascii="Nirmala UI" w:hAnsi="Nirmala UI" w:eastAsia="Nirmala UI" w:cs="Nirmala UI"/>
        </w:rPr>
        <w:t>लोके</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आजिरि</w:t>
      </w:r>
      <w:r>
        <w:rPr>
          <w:rFonts w:ascii="Times New Roman" w:hAnsi="Times New Roman" w:eastAsia="Times New Roman" w:cs="Times New Roman"/>
        </w:rPr>
        <w:t xml:space="preserve"> </w:t>
      </w:r>
      <w:r>
        <w:rPr>
          <w:rFonts w:ascii="Nirmala UI" w:hAnsi="Nirmala UI" w:eastAsia="Nirmala UI" w:cs="Nirmala UI"/>
        </w:rPr>
        <w:t>दिनेरी</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दिअइ</w:t>
      </w:r>
      <w:r>
        <w:rPr>
          <w:rFonts w:ascii="Times New Roman" w:hAnsi="Times New Roman" w:eastAsia="Times New Roman" w:cs="Times New Roman"/>
        </w:rPr>
        <w:t>—“</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दशमांश</w:t>
      </w:r>
      <w:r>
        <w:rPr>
          <w:rFonts w:ascii="Times New Roman" w:hAnsi="Times New Roman" w:eastAsia="Times New Roman" w:cs="Times New Roman"/>
        </w:rPr>
        <w:t xml:space="preserve"> </w:t>
      </w:r>
      <w:r>
        <w:rPr>
          <w:rFonts w:ascii="Nirmala UI" w:hAnsi="Nirmala UI" w:eastAsia="Nirmala UI" w:cs="Nirmala UI"/>
        </w:rPr>
        <w:t>भण्डार</w:t>
      </w:r>
      <w:r>
        <w:rPr>
          <w:rFonts w:ascii="Times New Roman" w:hAnsi="Times New Roman" w:eastAsia="Times New Roman" w:cs="Times New Roman"/>
        </w:rPr>
        <w:t>-</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आहार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मोके</w:t>
      </w:r>
      <w:r>
        <w:rPr>
          <w:rFonts w:ascii="Times New Roman" w:hAnsi="Times New Roman" w:eastAsia="Times New Roman" w:cs="Times New Roman"/>
        </w:rPr>
        <w:t xml:space="preserve"> </w:t>
      </w:r>
      <w:r>
        <w:rPr>
          <w:rFonts w:ascii="Nirmala UI" w:hAnsi="Nirmala UI" w:eastAsia="Nirmala UI" w:cs="Nirmala UI"/>
        </w:rPr>
        <w:t>परखा</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स्वर्गेरी</w:t>
      </w:r>
      <w:r>
        <w:rPr>
          <w:rFonts w:ascii="Times New Roman" w:hAnsi="Times New Roman" w:eastAsia="Times New Roman" w:cs="Times New Roman"/>
        </w:rPr>
        <w:t xml:space="preserve"> </w:t>
      </w:r>
      <w:r>
        <w:rPr>
          <w:rFonts w:ascii="Nirmala UI" w:hAnsi="Nirmala UI" w:eastAsia="Nirmala UI" w:cs="Nirmala UI"/>
        </w:rPr>
        <w:t>खिड়কি</w:t>
      </w:r>
      <w:r>
        <w:rPr>
          <w:rFonts w:ascii="Times New Roman" w:hAnsi="Times New Roman" w:eastAsia="Times New Roman" w:cs="Times New Roman"/>
        </w:rPr>
        <w:t>-</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खोलन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एते</w:t>
      </w:r>
      <w:r>
        <w:rPr>
          <w:rFonts w:ascii="Times New Roman" w:hAnsi="Times New Roman" w:eastAsia="Times New Roman" w:cs="Times New Roman"/>
        </w:rPr>
        <w:t xml:space="preserve"> </w:t>
      </w:r>
      <w:r>
        <w:rPr>
          <w:rFonts w:ascii="Nirmala UI" w:hAnsi="Nirmala UI" w:eastAsia="Nirmala UI" w:cs="Nirmala UI"/>
        </w:rPr>
        <w:t>आशीष</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दियन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ताहाँ</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ठाँउ</w:t>
      </w:r>
      <w:r>
        <w:rPr>
          <w:rFonts w:ascii="Times New Roman" w:hAnsi="Times New Roman" w:eastAsia="Times New Roman" w:cs="Times New Roman"/>
        </w:rPr>
        <w:t xml:space="preserve"> </w:t>
      </w:r>
      <w:r>
        <w:rPr>
          <w:rFonts w:ascii="Nirmala UI" w:hAnsi="Nirmala UI" w:eastAsia="Nirmala UI" w:cs="Nirmala UI"/>
        </w:rPr>
        <w:t>पर्याप्त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दुअर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खिऴकी</w:t>
      </w:r>
      <w:r>
        <w:rPr>
          <w:rFonts w:ascii="Times New Roman" w:hAnsi="Times New Roman" w:eastAsia="Times New Roman" w:cs="Times New Roman"/>
        </w:rPr>
        <w:t>-</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w:t>
      </w:r>
      <w:r>
        <w:rPr>
          <w:rFonts w:ascii="Nirmala UI" w:hAnsi="Nirmala UI" w:eastAsia="Nirmala UI" w:cs="Nirmala UI"/>
        </w:rPr>
        <w:t>परिवर्तनक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जाहरि</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तेसमय</w:t>
      </w:r>
      <w:r>
        <w:rPr>
          <w:rFonts w:ascii="Times New Roman" w:hAnsi="Times New Roman" w:eastAsia="Times New Roman" w:cs="Times New Roman"/>
        </w:rPr>
        <w:t>-</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हुअइ</w:t>
      </w:r>
      <w:r>
        <w:rPr>
          <w:rFonts w:ascii="Times New Roman" w:hAnsi="Times New Roman" w:eastAsia="Times New Roman" w:cs="Times New Roman"/>
        </w:rPr>
        <w:t xml:space="preserve"> </w:t>
      </w:r>
      <w:r>
        <w:rPr>
          <w:rFonts w:ascii="Nirmala UI" w:hAnsi="Nirmala UI" w:eastAsia="Nirmala UI" w:cs="Nirmala UI"/>
        </w:rPr>
        <w:t>जेतबे</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हटाइ</w:t>
      </w:r>
      <w:r>
        <w:rPr>
          <w:rFonts w:ascii="Times New Roman" w:hAnsi="Times New Roman" w:eastAsia="Times New Roman" w:cs="Times New Roman"/>
        </w:rPr>
        <w:t xml:space="preserve"> </w:t>
      </w:r>
      <w:r>
        <w:rPr>
          <w:rFonts w:ascii="Nirmala UI" w:hAnsi="Nirmala UI" w:eastAsia="Nirmala UI" w:cs="Nirmala UI"/>
        </w:rPr>
        <w:t>दिआ</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आशीष</w:t>
      </w:r>
      <w:r>
        <w:rPr>
          <w:rFonts w:ascii="Times New Roman" w:hAnsi="Times New Roman" w:eastAsia="Times New Roman" w:cs="Times New Roman"/>
        </w:rPr>
        <w:t xml:space="preserve"> </w:t>
      </w:r>
      <w:r>
        <w:rPr>
          <w:rFonts w:ascii="Nirmala UI" w:hAnsi="Nirmala UI" w:eastAsia="Nirmala UI" w:cs="Nirmala UI"/>
        </w:rPr>
        <w:t>पाइ</w:t>
      </w:r>
      <w:r>
        <w:rPr>
          <w:rFonts w:ascii="Times New Roman" w:hAnsi="Times New Roman" w:eastAsia="Times New Roman" w:cs="Times New Roman"/>
        </w:rPr>
        <w:t xml:space="preserve"> </w:t>
      </w:r>
      <w:r>
        <w:rPr>
          <w:rFonts w:ascii="Nirmala UI" w:hAnsi="Nirmala UI" w:eastAsia="Nirmala UI" w:cs="Nirmala UI"/>
        </w:rPr>
        <w:t>रहंत।</w:t>
      </w:r>
    </w:p>
    <w:p>
      <w:pPr>
        <w:pStyle w:val="ArticleBody"/>
        <w:jc w:val="left"/>
      </w:pPr>
      <w:r>
        <w:rPr>
          <w:rFonts w:ascii="Times New Roman" w:hAnsi="Times New Roman" w:eastAsia="Times New Roman" w:cs="Times New Roman"/>
        </w:rPr>
        <w:t>لە کاتێکدا پیاوی فڕچەی خۆڵ دەست بە پاککردنەوەی زەویەکەی دەکات، میلەر بۆ ماوەیەکی کورت چاوەکانی دادەخات. «لە ناو هەراوهوریادا بۆ ماوەیەکی کورت چاوەکانم داخست؛ کاتێک کردمەوە، هەموو خاشاکەکە لەنێوچوو بوو. گەوهەرە بەهادارەکان، ئالماسەکان، دراوە زێڕین و زیوینەکان، بە فراوانی لە سەرانسەری ژوورەکەدا بڵاو ببوونەوە.» ئینجا شتە بەهادارەکان و شتە بێنرخەکان بە تەواوی لێک جیاکرانەوە.</w:t>
      </w:r>
    </w:p>
    <w:p>
      <w:pPr>
        <w:pStyle w:val="ArticleBody"/>
        <w:jc w:val="left"/>
      </w:pPr>
      <w:r>
        <w:rPr>
          <w:rFonts w:ascii="Times New Roman" w:hAnsi="Times New Roman" w:eastAsia="Times New Roman" w:cs="Times New Roman"/>
        </w:rPr>
        <w:t>Isanduku rinene kurushaho ryaje rishyirwa ku meza, maze imitako yari itatanye ijugunywamo. “Nuko ashyira ku meza isanduku, nini cyane kandi nziza kurusha iya mbere, maze atoragura imitako, diyama, n’ibiceri, mu ntoke zuzuye, abijugunya muri iyo sanduku, kugeza ubwo nta na kimwe cyari gisigaye, nubwo zimwe muri za diyama zitari nini kurusha umutwe w’urushinge.” Nuko ukuri shingiro kwa Miller kurundanywa hamwe, kutari hamwe na Bibiliya gusa, ahubwo no hamwe n’Umwuka w’Ubuhanuzi, kandi uko kuri kwabaye kwiza kurushaho kandi kurabagirana cyane kurusha uko kwari kumeze mbere.</w:t>
      </w:r>
    </w:p>
    <w:p>
      <w:pPr>
        <w:pStyle w:val="ArticleBody"/>
        <w:jc w:val="left"/>
      </w:pPr>
      <w:r>
        <w:rPr>
          <w:rFonts w:ascii="Times New Roman" w:hAnsi="Times New Roman" w:eastAsia="Times New Roman" w:cs="Times New Roman"/>
        </w:rPr>
        <w:t>Si tunafuatilia ono la Mto Ulai kwa mujibu wa ujumbe uliofunguliwa mwaka 1798, yafaa kueleweka kwamba baadhi ya kweli hizo zilifungwa mipaka na mfumo aliopewa Miller. Vilevile, inapaswa kutazamiwa kwamba kwa hiyo baadhi ya kweli hizo zitakuwa pana zaidi na nzuri zaidi, ijapokuwa baadhi yake huenda zikaonekana kuwa ndogo au za umuhimu mdogo.</w:t>
      </w:r>
    </w:p>
    <w:p>
      <w:pPr>
        <w:pStyle w:val="ArticleBody"/>
        <w:jc w:val="left"/>
      </w:pPr>
      <w:r>
        <w:rPr>
          <w:rFonts w:ascii="Times New Roman" w:hAnsi="Times New Roman" w:eastAsia="Times New Roman" w:cs="Times New Roman"/>
        </w:rPr>
        <w:t>Zaqati uqinllit hamimay kanki, paykuna aswan hatun kajonman wisch’uykunku; chaymanta waqyakuq huk kutita yapamanta ruwasqa kanki, mana Miller raykuchu, aswanpas Cristo rayku, (paymi allpa pichana runa, Judá ayllumanta León kasqa) nispa: “hamuy, qhawariy.” Kayqa reqsisichin chayraq huk kichasqa-pasqa kasqanta, hinaspapas tukuy puchukay kichasqa-pasqaqa Jesucristoq Revelaciónninmi, mayqenchaqtiempoña probación tukukunman chaymanta ñawpaqta pasaq, otaq imaynachus Hermana White sut’inchan, allpa pichana runa yaykusqa kaptin.</w:t>
      </w:r>
    </w:p>
    <w:p>
      <w:pPr>
        <w:pStyle w:val="ArticleScripture"/>
        <w:jc w:val="left"/>
      </w:pPr>
      <w:r>
        <w:rPr>
          <w:rFonts w:ascii="Times New Roman" w:hAnsi="Times New Roman" w:eastAsia="Times New Roman" w:cs="Times New Roman"/>
        </w:rPr>
        <w:t>“Ningetazama ndani ya sanduku, lakini macho yangu yalipofushwa na maono hayo. Yaling'aa kwa utukufu mara kumi kuliko ule wa kwanza. Nilidhani yalikuwa yamesuguliwa mchangani kwa miguu ya wale watu waovu waliokuwa wameyatawanya na kuyakanyaga mavumbini. Yalikuwa yamepangwa kwa utaratibu mzuri ndani ya sanduku, kila kimoja mahali pake, bila kuonekana dalili yoyote ya taabu ya yule mtu aliyeyaweka humo kwa kuyatupa. Nikapaza sauti kwa furaha nyingi sana, na sauti hiyo ikanizamsha.” Early Writings, 83.</w:t>
      </w:r>
    </w:p>
    <w:p>
      <w:pPr>
        <w:pStyle w:val="ArticleBody"/>
        <w:jc w:val="left"/>
      </w:pPr>
      <w:r>
        <w:rPr>
          <w:rFonts w:ascii="Nirmala UI" w:hAnsi="Nirmala UI" w:eastAsia="Nirmala UI" w:cs="Nirmala UI"/>
        </w:rPr>
        <w:t>ಎದುರುನೋಡುವ</w:t>
      </w:r>
      <w:r>
        <w:rPr>
          <w:rFonts w:ascii="Times New Roman" w:hAnsi="Times New Roman" w:eastAsia="Times New Roman" w:cs="Times New Roman"/>
        </w:rPr>
        <w:t xml:space="preserve"> </w:t>
      </w:r>
      <w:r>
        <w:rPr>
          <w:rFonts w:ascii="Nirmala UI" w:hAnsi="Nirmala UI" w:eastAsia="Nirmala UI" w:cs="Nirmala UI"/>
        </w:rPr>
        <w:t>ಕಾಲವೂ</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ನಿರಾಶೆಯೂ</w:t>
      </w:r>
      <w:r>
        <w:rPr>
          <w:rFonts w:ascii="Times New Roman" w:hAnsi="Times New Roman" w:eastAsia="Times New Roman" w:cs="Times New Roman"/>
        </w:rPr>
        <w:t xml:space="preserve"> 2020</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ಜುಲೈ</w:t>
      </w:r>
      <w:r>
        <w:rPr>
          <w:rFonts w:ascii="Times New Roman" w:hAnsi="Times New Roman" w:eastAsia="Times New Roman" w:cs="Times New Roman"/>
        </w:rPr>
        <w:t xml:space="preserve"> 18</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ಬಂದವು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2023</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ಜುಲೈಯಿಂದ</w:t>
      </w:r>
      <w:r>
        <w:rPr>
          <w:rFonts w:ascii="Times New Roman" w:hAnsi="Times New Roman" w:eastAsia="Times New Roman" w:cs="Times New Roman"/>
        </w:rPr>
        <w:t xml:space="preserve">, </w:t>
      </w:r>
      <w:r>
        <w:rPr>
          <w:rFonts w:ascii="Nirmala UI" w:hAnsi="Nirmala UI" w:eastAsia="Nirmala UI" w:cs="Nirmala UI"/>
        </w:rPr>
        <w:t>ಯೆಹೂದ</w:t>
      </w:r>
      <w:r>
        <w:rPr>
          <w:rFonts w:ascii="Times New Roman" w:hAnsi="Times New Roman" w:eastAsia="Times New Roman" w:cs="Times New Roman"/>
        </w:rPr>
        <w:t xml:space="preserve"> </w:t>
      </w:r>
      <w:r>
        <w:rPr>
          <w:rFonts w:ascii="Nirmala UI" w:hAnsi="Nirmala UI" w:eastAsia="Nirmala UI" w:cs="Nirmala UI"/>
        </w:rPr>
        <w:t>ಕುಲದ</w:t>
      </w:r>
      <w:r>
        <w:rPr>
          <w:rFonts w:ascii="Times New Roman" w:hAnsi="Times New Roman" w:eastAsia="Times New Roman" w:cs="Times New Roman"/>
        </w:rPr>
        <w:t xml:space="preserve"> </w:t>
      </w:r>
      <w:r>
        <w:rPr>
          <w:rFonts w:ascii="Nirmala UI" w:hAnsi="Nirmala UI" w:eastAsia="Nirmala UI" w:cs="Nirmala UI"/>
        </w:rPr>
        <w:t>ಸಿಂಹವು</w:t>
      </w:r>
      <w:r>
        <w:rPr>
          <w:rFonts w:ascii="Times New Roman" w:hAnsi="Times New Roman" w:eastAsia="Times New Roman" w:cs="Times New Roman"/>
        </w:rPr>
        <w:t xml:space="preserve"> </w:t>
      </w:r>
      <w:r>
        <w:rPr>
          <w:rFonts w:ascii="Nirmala UI" w:hAnsi="Nirmala UI" w:eastAsia="Nirmala UI" w:cs="Nirmala UI"/>
        </w:rPr>
        <w:t>ಯೇಸು</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ಪ್ರಕಟನೆಯ</w:t>
      </w:r>
      <w:r>
        <w:rPr>
          <w:rFonts w:ascii="Times New Roman" w:hAnsi="Times New Roman" w:eastAsia="Times New Roman" w:cs="Times New Roman"/>
        </w:rPr>
        <w:t xml:space="preserve"> </w:t>
      </w:r>
      <w:r>
        <w:rPr>
          <w:rFonts w:ascii="Nirmala UI" w:hAnsi="Nirmala UI" w:eastAsia="Nirmala UI" w:cs="Nirmala UI"/>
        </w:rPr>
        <w:t>ಸಂದೇಶದ</w:t>
      </w:r>
      <w:r>
        <w:rPr>
          <w:rFonts w:ascii="Times New Roman" w:hAnsi="Times New Roman" w:eastAsia="Times New Roman" w:cs="Times New Roman"/>
        </w:rPr>
        <w:t xml:space="preserve"> </w:t>
      </w:r>
      <w:r>
        <w:rPr>
          <w:rFonts w:ascii="Nirmala UI" w:hAnsi="Nirmala UI" w:eastAsia="Nirmala UI" w:cs="Nirmala UI"/>
        </w:rPr>
        <w:t>ಮುದ್ರೆಗಳನ್ನು</w:t>
      </w:r>
      <w:r>
        <w:rPr>
          <w:rFonts w:ascii="Times New Roman" w:hAnsi="Times New Roman" w:eastAsia="Times New Roman" w:cs="Times New Roman"/>
        </w:rPr>
        <w:t xml:space="preserve"> </w:t>
      </w:r>
      <w:r>
        <w:rPr>
          <w:rFonts w:ascii="Nirmala UI" w:hAnsi="Nirmala UI" w:eastAsia="Nirmala UI" w:cs="Nirmala UI"/>
        </w:rPr>
        <w:t>ತೆಗೆಯುತ್ತಾ</w:t>
      </w:r>
      <w:r>
        <w:rPr>
          <w:rFonts w:ascii="Times New Roman" w:hAnsi="Times New Roman" w:eastAsia="Times New Roman" w:cs="Times New Roman"/>
        </w:rPr>
        <w:t xml:space="preserve"> </w:t>
      </w:r>
      <w:r>
        <w:rPr>
          <w:rFonts w:ascii="Nirmala UI" w:hAnsi="Nirmala UI" w:eastAsia="Nirmala UI" w:cs="Nirmala UI"/>
        </w:rPr>
        <w:t>ಬಂದಿದೆ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ಮುದ್ರೆಗಳನ್ನು</w:t>
      </w:r>
      <w:r>
        <w:rPr>
          <w:rFonts w:ascii="Times New Roman" w:hAnsi="Times New Roman" w:eastAsia="Times New Roman" w:cs="Times New Roman"/>
        </w:rPr>
        <w:t xml:space="preserve"> </w:t>
      </w:r>
      <w:r>
        <w:rPr>
          <w:rFonts w:ascii="Nirmala UI" w:hAnsi="Nirmala UI" w:eastAsia="Nirmala UI" w:cs="Nirmala UI"/>
        </w:rPr>
        <w:t>ತೆರೆಯುವ</w:t>
      </w:r>
      <w:r>
        <w:rPr>
          <w:rFonts w:ascii="Times New Roman" w:hAnsi="Times New Roman" w:eastAsia="Times New Roman" w:cs="Times New Roman"/>
        </w:rPr>
        <w:t xml:space="preserve"> </w:t>
      </w:r>
      <w:r>
        <w:rPr>
          <w:rFonts w:ascii="Nirmala UI" w:hAnsi="Nirmala UI" w:eastAsia="Nirmala UI" w:cs="Nirmala UI"/>
        </w:rPr>
        <w:t>ಕಾರ್ಯದಲ್ಲಿ</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ಪುಸ್ತಕವೂ</w:t>
      </w:r>
      <w:r>
        <w:rPr>
          <w:rFonts w:ascii="Times New Roman" w:hAnsi="Times New Roman" w:eastAsia="Times New Roman" w:cs="Times New Roman"/>
        </w:rPr>
        <w:t xml:space="preserve"> </w:t>
      </w:r>
      <w:r>
        <w:rPr>
          <w:rFonts w:ascii="Nirmala UI" w:hAnsi="Nirmala UI" w:eastAsia="Nirmala UI" w:cs="Nirmala UI"/>
        </w:rPr>
        <w:t>ಸೇರಿದೆ</w:t>
      </w:r>
      <w:r>
        <w:rPr>
          <w:rFonts w:ascii="Times New Roman" w:hAnsi="Times New Roman" w:eastAsia="Times New Roman" w:cs="Times New Roman"/>
        </w:rPr>
        <w:t xml:space="preserve">; </w:t>
      </w:r>
      <w:r>
        <w:rPr>
          <w:rFonts w:ascii="Nirmala UI" w:hAnsi="Nirmala UI" w:eastAsia="Nirmala UI" w:cs="Nirmala UI"/>
        </w:rPr>
        <w:t>ಮಿಲ್ಲರ್</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ಕನಸಿನ</w:t>
      </w:r>
      <w:r>
        <w:rPr>
          <w:rFonts w:ascii="Times New Roman" w:hAnsi="Times New Roman" w:eastAsia="Times New Roman" w:cs="Times New Roman"/>
        </w:rPr>
        <w:t xml:space="preserve"> </w:t>
      </w:r>
      <w:r>
        <w:rPr>
          <w:rFonts w:ascii="Nirmala UI" w:hAnsi="Nirmala UI" w:eastAsia="Nirmala UI" w:cs="Nirmala UI"/>
        </w:rPr>
        <w:t>ಕುರಿತು</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ಪರಿಶೀಲನೆಯನ್ನು</w:t>
      </w:r>
      <w:r>
        <w:rPr>
          <w:rFonts w:ascii="Times New Roman" w:hAnsi="Times New Roman" w:eastAsia="Times New Roman" w:cs="Times New Roman"/>
        </w:rPr>
        <w:t xml:space="preserve"> </w:t>
      </w:r>
      <w:r>
        <w:rPr>
          <w:rFonts w:ascii="Nirmala UI" w:hAnsi="Nirmala UI" w:eastAsia="Nirmala UI" w:cs="Nirmala UI"/>
        </w:rPr>
        <w:t>ಮುಂದಿನ</w:t>
      </w:r>
      <w:r>
        <w:rPr>
          <w:rFonts w:ascii="Times New Roman" w:hAnsi="Times New Roman" w:eastAsia="Times New Roman" w:cs="Times New Roman"/>
        </w:rPr>
        <w:t xml:space="preserve"> </w:t>
      </w:r>
      <w:r>
        <w:rPr>
          <w:rFonts w:ascii="Nirmala UI" w:hAnsi="Nirmala UI" w:eastAsia="Nirmala UI" w:cs="Nirmala UI"/>
        </w:rPr>
        <w:t>ಲೇಖನದಲ್ಲಿ</w:t>
      </w:r>
      <w:r>
        <w:rPr>
          <w:rFonts w:ascii="Times New Roman" w:hAnsi="Times New Roman" w:eastAsia="Times New Roman" w:cs="Times New Roman"/>
        </w:rPr>
        <w:t xml:space="preserve"> </w:t>
      </w:r>
      <w:r>
        <w:rPr>
          <w:rFonts w:ascii="Nirmala UI" w:hAnsi="Nirmala UI" w:eastAsia="Nirmala UI" w:cs="Nirmala UI"/>
        </w:rPr>
        <w:t>ಪೂರ್ಣಗೊಳಿಸುವೆವು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ikorwa cy’umuntu wo mu bura gisohorwa ku bufatanye n’“abatambyi b’abanyabwenge”, kandi umurimo w’abo “batambyi”, ari bo bahamya babiri bo mu Ibyahishuwe igice cya cumi na kimwe, kandi bakaba ari amagufa yumye yazutse yo muri Ezekiyeli igice cya mirongo itatu na karindwi, na wo ugereranywa n’indi mirongo y’Ijambo ry’Imana. Tuzakoresha imwe muri iyo mirongo nk’abahamya ba kabiri ku byo twamaze kumenya ku byerekeye inzozi za kabiri za William Miller.</w:t>
      </w:r>
    </w:p>
    <w:p>
      <w:pPr>
        <w:pStyle w:val="ArticleScripture"/>
        <w:jc w:val="left"/>
      </w:pPr>
      <w:r>
        <w:rPr>
          <w:rFonts w:ascii="Times New Roman" w:hAnsi="Times New Roman" w:eastAsia="Times New Roman" w:cs="Times New Roman"/>
        </w:rPr>
        <w:t>“Mawandiko Matakatifu yametolewa kwa faida yetu ili tupate mafundisho katika haki. Miale ya thamani ya nuru imefichwa na mawingu ya kosa, lakini Kristo yu tayari kufagia mbali ukungu wa kosa na ushirikina, na kutufunulia uangavu wa utukufu wa Baba, ili nasi tuseme kama walivyosema wanafunzi, ‘Je! mioyo yetu haikuwaka ndani yetu, alipokuwa akisema nasi njiani?’”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Thelathini na Nane</dc:title>
  <dc:subject>دەرهێنانی گەوهەرەکان: خەونی پێشبینی‌ئامێزی ویلیام میلەر و گەڕاندنەوەی ڕاستیەكە</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