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Pirtûka Danyêlê - Hejmar Çil û Neh</w:t>
      </w:r>
    </w:p>
    <w:p>
      <w:pPr>
        <w:pStyle w:val="ArticleSubtitle"/>
        <w:jc w:val="left"/>
      </w:pPr>
      <w:r>
        <w:rPr>
          <w:rFonts w:ascii="Arial" w:hAnsi="Arial" w:eastAsia="Arial" w:cs="Arial"/>
        </w:rPr>
        <w:t>Kumfunua Buleefu: Lijwi lya Pakachi ka Bufuku, Lubaka lwa Uislamu, ne Ndubo ya Kupimwamo ya Kumalilapo mu Mikwabo ya Kulekelesha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2024-01-13</w:t>
      </w:r>
    </w:p>
    <w:p>
      <w:pPr>
        <w:pStyle w:val="ArticleBody"/>
        <w:jc w:val="left"/>
      </w:pPr>
      <w:r>
        <w:rPr>
          <w:rFonts w:ascii="Times New Roman" w:hAnsi="Times New Roman" w:eastAsia="Times New Roman" w:cs="Times New Roman"/>
        </w:rPr>
        <w:t>1798-ին Ուլայ գետի տեսիլքը բացվելու ժամանակ առաջացած գիտության աճը ծնեց փորձության մի ընթացք, որն իր գագաթնակետին հասավ 1844 թվականի Կեսգիշերյան աղաղակի շարժման մեջ։ Վերջին օրերի Կեսգիշերյան աղաղակը, որ այժմ բացվում է, ներկայացված է եղել այդ պատմությամբ և ներառում է նույն այդ պատմության փորձող ճշմարտությունները, որովհետև Կեսգիշերյան աղաղակի լուրը, որ այժմ բացվում է, Միլլերի գոհարների վերականգնումն է։</w:t>
      </w:r>
    </w:p>
    <w:p>
      <w:pPr>
        <w:pStyle w:val="ArticleScripture"/>
        <w:jc w:val="left"/>
      </w:pPr>
      <w:r>
        <w:rPr>
          <w:rFonts w:ascii="Times New Roman" w:hAnsi="Times New Roman" w:eastAsia="Times New Roman" w:cs="Times New Roman"/>
        </w:rPr>
        <w:t>“Unene u twakāngīlè mu 1841, ‘42, ‘43, na ‘44, luluno lwafwainwa ukusambilwa no kulandilila. Ifipo fya bamalayika ba ntanshi, ba cibili, na ba citatu fikalandililwa ku ntanshi ne shiwi ilikalamba. Fikapelwa ne kusimikila kwa maka ne ku kukakatila kwa cishinka, no mu maka ya Mupashi.” Manuscript Releases, volume 15, 371.</w:t>
      </w:r>
    </w:p>
    <w:p>
      <w:pPr>
        <w:pStyle w:val="ArticleBody"/>
        <w:jc w:val="left"/>
      </w:pPr>
      <w:r>
        <w:rPr>
          <w:rFonts w:ascii="Times New Roman" w:hAnsi="Times New Roman" w:eastAsia="Times New Roman" w:cs="Times New Roman"/>
        </w:rPr>
        <w:t>Mada kuu ya ujumbe wa kiunabii wa Kilio cha Usiku wa Manane cha wakati wetu ni nafasi ya Uislamu wa ole ya tatu. Ole tatu za Uislamu zote zimewakilishwa juu ya mbao mbili za Habakuki. Ujumbe wa Kilio cha Usiku wa Manane cha siku za mwisho ulianza kufunuliwa muhuri wake katika kuvunjika moyo kwa tarehe 18 Julai, 2020, wakati wa kukawia wa siku za mwisho ulipowadia. Kama vile ujumbe wa Kilio cha Usiku wa Manane wa historia ya Wamileri, ujumbe wa siku za mwisho hukuzwa hatua kwa hatua mpaka ufikie hatua inayowakilishwa na mkutano wa kambi wa Exeter. Katika hatua hiyo mabikira ama wanayo mafuta, ama hawana.</w:t>
      </w:r>
    </w:p>
    <w:p>
      <w:pPr>
        <w:pStyle w:val="ArticleBody"/>
        <w:jc w:val="left"/>
      </w:pPr>
      <w:r>
        <w:rPr>
          <w:rFonts w:ascii="Times New Roman" w:hAnsi="Times New Roman" w:eastAsia="Times New Roman" w:cs="Times New Roman"/>
        </w:rPr>
        <w:t>Yesaya atangaza ole juu ya watu wenye dharau wanaowatawala watu wa Yerusalemu, na kutambulisha kwamba ono limekuwa kwa walevi wa Efraimu kama kitabu kilichotiwa muhuri. Katika kifungu cha Isaya, kazi ya kubadili ishara ya kishetani iwe ishara ya kimungu, kama ilivyotimizwa katika historia ya Uadventista, yapasa kuhesabiwa kuwa udongo wa mfinyanzi. Kazi hiyo ilikuwa ni kuanzisha ufafanuzi wa “the daily,” kuwa ishara ya Kristo, ilhali ni ishara ya Shetani. Danieli alipotumia neno “tamid” kama ishara ya upagani, alilichagua neno hilo kwa kusudi la kiishara, kwa maana neno hilo humaanisha “ya daima”.</w:t>
      </w:r>
    </w:p>
    <w:p>
      <w:pPr>
        <w:pStyle w:val="ArticleBody"/>
        <w:jc w:val="left"/>
      </w:pPr>
      <w:r>
        <w:rPr>
          <w:rFonts w:ascii="Times New Roman" w:hAnsi="Times New Roman" w:eastAsia="Times New Roman" w:cs="Times New Roman"/>
        </w:rPr>
        <w:t>Ku na buyahtiya irushatu bitatu bitleka isi ku Armagedoni, kandi icya mbere muri ibyo bintu bitatu ni uruzoka (ubupagani). Uruzoka rwatangiye intambara yarwo irwanya Imana mu ijuru. Uruzoka rukomeza iyo ntambara kugeza ku iherezo ry’imyaka igihumbi y’ingoma y’imyaka igihumbi, igihe amaherezo ruzarimburwa burundu.</w:t>
      </w:r>
    </w:p>
    <w:p>
      <w:pPr>
        <w:pStyle w:val="ArticleScripture"/>
        <w:jc w:val="left"/>
      </w:pPr>
      <w:r>
        <w:rPr>
          <w:rFonts w:ascii="Times New Roman" w:hAnsi="Times New Roman" w:eastAsia="Times New Roman" w:cs="Times New Roman"/>
        </w:rPr>
        <w:t>Na miaka elfu itakapokwisha, Shetani atafunguliwa kutoka kifungoni mwake, naye atatoka kwenda kuyadanganya mataifa yaliyo katika pande nne za dunia, Gogu na Magogu, ili awakusanye pamoja kwa ajili ya vita; hesabu yao ni kama mchanga wa bahari. Wakapanda juu ya upana wa nchi, wakauzunguka marago ya watakatifu na mji ule mpendwa; moto ukashuka kutoka kwa Mungu mbinguni, ukawala. Naye Ibilisi aliyewadanganya akatupwa katika ziwa la moto na kiberiti, alimo yule mnyama na nabii wa uongo; nao watateswa mchana na usiku milele na milele. Ufunuo 20:7–10.</w:t>
      </w:r>
    </w:p>
    <w:p>
      <w:pPr>
        <w:pStyle w:val="ArticleBody"/>
        <w:jc w:val="left"/>
      </w:pPr>
      <w:r>
        <w:rPr>
          <w:rFonts w:ascii="Times New Roman" w:hAnsi="Times New Roman" w:eastAsia="Times New Roman" w:cs="Times New Roman"/>
        </w:rPr>
        <w:t>Shetani (upapa), ambayo ni nguvu ya pili kati ya nguvu tatu zinazoiongoza dunia kwenda Har–Magedoni, na nabii wa uongo (Marekani), yaani nguvu ya tatu kati ya nguvu hizo tatu, zote mbili ziliingia katika historia baada ya historia ya msalaba, na zote mbili zinaangamizwa katika Kuja kwa Pili kwa Kristo.</w:t>
      </w:r>
    </w:p>
    <w:p>
      <w:pPr>
        <w:pStyle w:val="ArticleScripture"/>
        <w:jc w:val="left"/>
      </w:pPr>
      <w:r>
        <w:rPr>
          <w:rFonts w:ascii="Times New Roman" w:hAnsi="Times New Roman" w:eastAsia="Times New Roman" w:cs="Times New Roman"/>
        </w:rPr>
        <w:t>Na mnyama yule akakamatwa, na pamoja naye nabii wa uongo, aliyefanya miujiza mbele yake, ambayo kwa hiyo aliwapotosha wale waliokuwa wameipokea chapa ya yule mnyama, na wale walioiabudu sanamu yake. Hawa wote wawili walitupwa wakiwa hai katika ziwa la moto liwakalo kwa kiberiti. Ufunuo 19:20.</w:t>
      </w:r>
    </w:p>
    <w:p>
      <w:pPr>
        <w:pStyle w:val="ArticleBody"/>
        <w:jc w:val="left"/>
      </w:pPr>
      <w:r>
        <w:rPr>
          <w:rFonts w:ascii="Times New Roman" w:hAnsi="Times New Roman" w:eastAsia="Times New Roman" w:cs="Times New Roman"/>
        </w:rPr>
        <w:t>Daniele aponisaki neno la Kiebrania “tamid” (endelevu) kuwa ishara ya upagani (Shetani), alichagua neno lililotambulisha kwamba ni Shetani ambaye amekuwa akipigana daima dhidi ya Mungu. Mamlaka yale mengine mawili hushiriki tu katika vita vyao dhidi ya Mungu kwa vipindi maalumu vya wakati. Chaguo la Danieli la neno “tamid” (endelevu) lilikuwa la makusudi, na sahihi.</w:t>
      </w:r>
    </w:p>
    <w:p>
      <w:pPr>
        <w:pStyle w:val="ArticleBody"/>
        <w:jc w:val="left"/>
      </w:pPr>
      <w:r>
        <w:rPr>
          <w:rFonts w:ascii="Times New Roman" w:hAnsi="Times New Roman" w:eastAsia="Times New Roman" w:cs="Times New Roman"/>
        </w:rPr>
        <w:t>Kama simulizi ya Isaya ya ole juu ya wale ambao Bwana aliwamiminia roho ya usingizi mzito, na kuyafumba macho yao, inavyoendelea kutoka sura ya ishirini na nane hadi sura ya thelathini, anaandika:</w:t>
      </w:r>
    </w:p>
    <w:p>
      <w:pPr>
        <w:pStyle w:val="ArticleScripture"/>
        <w:jc w:val="left"/>
      </w:pPr>
      <w:r>
        <w:rPr>
          <w:rFonts w:ascii="Times New Roman" w:hAnsi="Times New Roman" w:eastAsia="Times New Roman" w:cs="Times New Roman"/>
        </w:rPr>
        <w:t>None oya, usinde imbere yabo ku kibaho, kandi ubyandike mu gitabo, kugira ngo bibeho ku gihe kizaza, iteka ryose: Kuko ubu ari ubwoko bwigomeka, abana b’abanyabinyoma, abana batemera kumva amategeko y’Uwiteka: Babwira abarezi bati, Ntimurebe; kandi babwira abahanuzi bati, Ntimuduhanurire ibikwiriye; mutubwire ibyoroshya amatwi, muduhanurire ibishukana: Nimumare mu nzira, muyoboke mive mu mpathi, mukure Uwera wa Isirayeli imbere yacu. Ni cyo gituma Uwera wa Isirayeli avuga ati, Kubera ko musuzuguye iri jambo, mukiringira akarengane n’ubugoryi, mukabishingikirizaho: Ni cyo gituma ubu bugome buzababera nk’umwenge uri hafi guhirima, ubyimbye mu rukuta rurerure, ugusenyuka kwawo kukaza gitunguranye, mu kanya nk’ako guhumbya. Kandi azawumenagura nk’uko bamenagura urwabya rw’umubumbyi rugacikagurwamo ibice; ntazagira imbabazi: ku buryo mu bice byarwo bimenetse hatazabonekamo agace ko gukura umuriro ku ziko, cyangwa ko kuvomesha amazi mu rwobo. Kuko Uwiteka Imana, Uwera wa Isirayeli, avuga atya ati, Mu kugaruka no mu kuruhuka ni mo muzabonera agakiza; imbaraga zanyu zizaba mu gutuza no mu kwiringira: ariko ntimwabyemeye. Yesaya 30:8–15.</w:t>
      </w:r>
    </w:p>
    <w:p>
      <w:pPr>
        <w:pStyle w:val="ArticleBody"/>
        <w:jc w:val="left"/>
      </w:pPr>
      <w:r>
        <w:rPr>
          <w:rFonts w:ascii="Times New Roman" w:hAnsi="Times New Roman" w:eastAsia="Times New Roman" w:cs="Times New Roman"/>
        </w:rPr>
        <w:t>“Meza” ile iliyoandikwa, ni meza za Habakuki sura ya pili, ambazo ziliandaliwa ili wale wazisomao wapate “kukimbia” na kuieneza ile ujumbe. “Kitabu” kilichoandika “kumbukumbu” ya ile “meza” ni Habakuki. Ile “meza” kutoka katika “kitabu” cha Habakuki, inawakilisha mchakato wa kujaribiwa unaodhihirisha “watu waasi, watoto waongo, watoto wasiopenda kusikia sheria ya Bwana.” Hao “watu waasi” wanaokataa “kusikia,” ndio wale katika Yeremia wanaokataa kusikia sauti ya tarumbeta ya mlinzi.</w:t>
      </w:r>
    </w:p>
    <w:p>
      <w:pPr>
        <w:pStyle w:val="ArticleScripture"/>
        <w:jc w:val="left"/>
      </w:pPr>
      <w:r>
        <w:rPr>
          <w:rFonts w:ascii="Times New Roman" w:hAnsi="Times New Roman" w:eastAsia="Times New Roman" w:cs="Times New Roman"/>
        </w:rPr>
        <w:t>Nami nikabeka walinzi juu yenu, nikisema, Sikilizeni sauti ya tarumbeta. Lakini wao wakasema, Hatusikii. Yeremia 6:17.</w:t>
      </w:r>
    </w:p>
    <w:p>
      <w:pPr>
        <w:pStyle w:val="ArticleBody"/>
        <w:jc w:val="left"/>
      </w:pPr>
      <w:r>
        <w:rPr>
          <w:rFonts w:ascii="Times New Roman" w:hAnsi="Times New Roman" w:eastAsia="Times New Roman" w:cs="Times New Roman"/>
        </w:rPr>
        <w:t>Abahakanyi ni abo mu mateka ya Yesaya, kandi no mu mateka ya Kristo, batashatse kwumva.</w:t>
      </w:r>
    </w:p>
    <w:p>
      <w:pPr>
        <w:pStyle w:val="ArticleScripture"/>
        <w:jc w:val="left"/>
      </w:pPr>
      <w:r>
        <w:rPr>
          <w:rFonts w:ascii="Times New Roman" w:hAnsi="Times New Roman" w:eastAsia="Times New Roman" w:cs="Times New Roman"/>
        </w:rPr>
        <w:t>Naye akavuga ati: Genda, ubwire ubu bwoko uti: Nimwumve rwose, ariko ntimusobanukirwe; kandi nimurebe rwose, ariko ntimubimenye. Unonese umutima w’ubu bwoko, uremere amatwi yabo, uhumye amaso yabo; kugira ngo batarebesha amaso yabo, kandi batumvisha amatwi yabo, kandi badasobanukirwa n’umutima wabo, maze bagahinduka bagakira. Yesaya 6:9, 10.</w:t>
      </w:r>
    </w:p>
    <w:p>
      <w:pPr>
        <w:pStyle w:val="ArticleBody"/>
        <w:jc w:val="left"/>
      </w:pPr>
      <w:r>
        <w:rPr>
          <w:rFonts w:ascii="Times New Roman" w:hAnsi="Times New Roman" w:eastAsia="Times New Roman" w:cs="Times New Roman"/>
        </w:rPr>
        <w:t>Yisaya’nın sağır asileri “işitebilirler”; fakat “işitmezler” ve onların “işitmeyi” reddedişi, “anlamadıklarını” ortaya koyar. Daniel’in kötüleri de, aynı zamanda Matta’nın akılsız bakireleri olup, Habakkuk’un “kitabında” kaydedilen “sofra” üzerinde temsil edilen bilgi artışını anlamazlar. Eğer Yisaya’nın sağır asileri işitselerdi, döndürülebilir ve iyileştirilebilirlerdi; fakat yürekleri semizleşmiştir, bu yüzden Gece Yarısı Feryadı’nın mesajını anlayamazlar. İsa, sağır asiler hakkında ikinci bir tanıklık sundu.</w:t>
      </w:r>
    </w:p>
    <w:p>
      <w:pPr>
        <w:pStyle w:val="ArticleScripture"/>
        <w:jc w:val="left"/>
      </w:pPr>
      <w:r>
        <w:rPr>
          <w:rFonts w:ascii="Times New Roman" w:hAnsi="Times New Roman" w:eastAsia="Times New Roman" w:cs="Times New Roman"/>
        </w:rPr>
        <w:t>Awo oyekuafo no baa ne nkyɛn, na wɔka kyerɛɛ no sɛ, Adɛn nti na wode mmebusɛm na ɛkasa kyerɛ wɔn? Ɔbuaa wɔn sɛ, Efisɛ wɔde ama mo sɛ munhu ɔsoro ahenni no ahintasɛm, na wɔn de, wɔmfa mma wɔn. Na obiara a ɔwɔ no, wɔde bɛma no, na obenya bebree so; na nea onni no de, nea ɔwɔ mpo wobegye afi ne nsam. Eyi nti na mede mmebusɛm kasa kyerɛ wɔn, efisɛ wɔhwɛ de, wonhu; na wɔte de, wonte, na wonte ase nso. Na Esaias nkɔmhyɛ no ba mu wɔ wɔn mu, a ɛka sɛ, Mote de mobɛte, na monnte ase; na mohu de mobɛhu, na monnhu mu. Efisɛ saa ɔman yi koma ayɛ kusuu, na wɔn aso ayɛ den wɔ asoateɛ mu, na wɔakata wɔn ani; anyɛ saa a, anka wɔde wɔn ani behu ade, na wɔde wɔn aso ate, na wɔde wɔn koma ate ase, na wɔasakra wɔn adwene, na mesa wɔn yare. Na mo ani wɔ nhyira, efisɛ ehu ade; na mo aso nso, efisɛ ɛte. Na nokware mese mo sɛ, adiyifo bebree ne atreneefo bebree pɛɛ sɛ wɔhu deɛ mohu yi, nanso wɔanhu; na wɔte deɛ mote yi, nanso wɔante. Mateo 13:10–17.</w:t>
      </w:r>
    </w:p>
    <w:p>
      <w:pPr>
        <w:pStyle w:val="ArticleBody"/>
        <w:jc w:val="left"/>
      </w:pPr>
      <w:r>
        <w:rPr>
          <w:rFonts w:ascii="Nirmala UI" w:hAnsi="Nirmala UI" w:eastAsia="Nirmala UI" w:cs="Nirmala UI"/>
        </w:rPr>
        <w:t>अकिलिमशे</w:t>
      </w:r>
      <w:r>
        <w:rPr>
          <w:rFonts w:ascii="Times New Roman" w:hAnsi="Times New Roman" w:eastAsia="Times New Roman" w:cs="Times New Roman"/>
        </w:rPr>
        <w:t xml:space="preserve"> </w:t>
      </w:r>
      <w:r>
        <w:rPr>
          <w:rFonts w:ascii="Nirmala UI" w:hAnsi="Nirmala UI" w:eastAsia="Nirmala UI" w:cs="Nirmala UI"/>
        </w:rPr>
        <w:t>पराबलनंगि</w:t>
      </w:r>
      <w:r>
        <w:rPr>
          <w:rFonts w:ascii="Times New Roman" w:hAnsi="Times New Roman" w:eastAsia="Times New Roman" w:cs="Times New Roman"/>
        </w:rPr>
        <w:t xml:space="preserve"> </w:t>
      </w:r>
      <w:r>
        <w:rPr>
          <w:rFonts w:ascii="Nirmala UI" w:hAnsi="Nirmala UI" w:eastAsia="Nirmala UI" w:cs="Nirmala UI"/>
        </w:rPr>
        <w:t>गोपोयना</w:t>
      </w:r>
      <w:r>
        <w:rPr>
          <w:rFonts w:ascii="Times New Roman" w:hAnsi="Times New Roman" w:eastAsia="Times New Roman" w:cs="Times New Roman"/>
        </w:rPr>
        <w:t xml:space="preserve"> </w:t>
      </w:r>
      <w:r>
        <w:rPr>
          <w:rFonts w:ascii="Nirmala UI" w:hAnsi="Nirmala UI" w:eastAsia="Nirmala UI" w:cs="Nirmala UI"/>
        </w:rPr>
        <w:t>विवेचना</w:t>
      </w:r>
      <w:r>
        <w:rPr>
          <w:rFonts w:ascii="Times New Roman" w:hAnsi="Times New Roman" w:eastAsia="Times New Roman" w:cs="Times New Roman"/>
        </w:rPr>
        <w:t xml:space="preserve"> </w:t>
      </w:r>
      <w:r>
        <w:rPr>
          <w:rFonts w:ascii="Nirmala UI" w:hAnsi="Nirmala UI" w:eastAsia="Nirmala UI" w:cs="Nirmala UI"/>
        </w:rPr>
        <w:t>लहा</w:t>
      </w:r>
      <w:r>
        <w:rPr>
          <w:rFonts w:ascii="Times New Roman" w:hAnsi="Times New Roman" w:eastAsia="Times New Roman" w:cs="Times New Roman"/>
        </w:rPr>
        <w:t xml:space="preserve">, </w:t>
      </w:r>
      <w:r>
        <w:rPr>
          <w:rFonts w:ascii="Nirmala UI" w:hAnsi="Nirmala UI" w:eastAsia="Nirmala UI" w:cs="Nirmala UI"/>
        </w:rPr>
        <w:t>अङ्गिमा</w:t>
      </w:r>
      <w:r>
        <w:rPr>
          <w:rFonts w:ascii="Times New Roman" w:hAnsi="Times New Roman" w:eastAsia="Times New Roman" w:cs="Times New Roman"/>
        </w:rPr>
        <w:t xml:space="preserve"> </w:t>
      </w:r>
      <w:r>
        <w:rPr>
          <w:rFonts w:ascii="Nirmala UI" w:hAnsi="Nirmala UI" w:eastAsia="Nirmala UI" w:cs="Nirmala UI"/>
        </w:rPr>
        <w:t>सत्य</w:t>
      </w:r>
      <w:r>
        <w:rPr>
          <w:rFonts w:ascii="Times New Roman" w:hAnsi="Times New Roman" w:eastAsia="Times New Roman" w:cs="Times New Roman"/>
        </w:rPr>
        <w:t xml:space="preserve"> </w:t>
      </w:r>
      <w:r>
        <w:rPr>
          <w:rFonts w:ascii="Nirmala UI" w:hAnsi="Nirmala UI" w:eastAsia="Nirmala UI" w:cs="Nirmala UI"/>
        </w:rPr>
        <w:t>पंक्तिरि</w:t>
      </w:r>
      <w:r>
        <w:rPr>
          <w:rFonts w:ascii="Times New Roman" w:hAnsi="Times New Roman" w:eastAsia="Times New Roman" w:cs="Times New Roman"/>
        </w:rPr>
        <w:t xml:space="preserve"> </w:t>
      </w:r>
      <w:r>
        <w:rPr>
          <w:rFonts w:ascii="Nirmala UI" w:hAnsi="Nirmala UI" w:eastAsia="Nirmala UI" w:cs="Nirmala UI"/>
        </w:rPr>
        <w:t>पंक्ति</w:t>
      </w:r>
      <w:r>
        <w:rPr>
          <w:rFonts w:ascii="Times New Roman" w:hAnsi="Times New Roman" w:eastAsia="Times New Roman" w:cs="Times New Roman"/>
        </w:rPr>
        <w:t xml:space="preserve"> </w:t>
      </w:r>
      <w:r>
        <w:rPr>
          <w:rFonts w:ascii="Nirmala UI" w:hAnsi="Nirmala UI" w:eastAsia="Nirmala UI" w:cs="Nirmala UI"/>
        </w:rPr>
        <w:t>रेप्रस्तुत</w:t>
      </w:r>
      <w:r>
        <w:rPr>
          <w:rFonts w:ascii="Times New Roman" w:hAnsi="Times New Roman" w:eastAsia="Times New Roman" w:cs="Times New Roman"/>
        </w:rPr>
        <w:t xml:space="preserve"> </w:t>
      </w:r>
      <w:r>
        <w:rPr>
          <w:rFonts w:ascii="Nirmala UI" w:hAnsi="Nirmala UI" w:eastAsia="Nirmala UI" w:cs="Nirmala UI"/>
        </w:rPr>
        <w:t>कियागना।</w:t>
      </w:r>
      <w:r>
        <w:rPr>
          <w:rFonts w:ascii="Times New Roman" w:hAnsi="Times New Roman" w:eastAsia="Times New Roman" w:cs="Times New Roman"/>
        </w:rPr>
        <w:t xml:space="preserve"> </w:t>
      </w:r>
      <w:r>
        <w:rPr>
          <w:rFonts w:ascii="Nirmala UI" w:hAnsi="Nirmala UI" w:eastAsia="Nirmala UI" w:cs="Nirmala UI"/>
        </w:rPr>
        <w:t>अकिलिमशे</w:t>
      </w:r>
      <w:r>
        <w:rPr>
          <w:rFonts w:ascii="Times New Roman" w:hAnsi="Times New Roman" w:eastAsia="Times New Roman" w:cs="Times New Roman"/>
        </w:rPr>
        <w:t xml:space="preserve"> </w:t>
      </w:r>
      <w:r>
        <w:rPr>
          <w:rFonts w:ascii="Nirmala UI" w:hAnsi="Nirmala UI" w:eastAsia="Nirmala UI" w:cs="Nirmala UI"/>
        </w:rPr>
        <w:t>आशीषित</w:t>
      </w:r>
      <w:r>
        <w:rPr>
          <w:rFonts w:ascii="Times New Roman" w:hAnsi="Times New Roman" w:eastAsia="Times New Roman" w:cs="Times New Roman"/>
        </w:rPr>
        <w:t xml:space="preserve">, </w:t>
      </w:r>
      <w:r>
        <w:rPr>
          <w:rFonts w:ascii="Nirmala UI" w:hAnsi="Nirmala UI" w:eastAsia="Nirmala UI" w:cs="Nirmala UI"/>
        </w:rPr>
        <w:t>यतः</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देखना</w:t>
      </w:r>
      <w:r>
        <w:rPr>
          <w:rFonts w:ascii="Times New Roman" w:hAnsi="Times New Roman" w:eastAsia="Times New Roman" w:cs="Times New Roman"/>
        </w:rPr>
        <w:t xml:space="preserve"> </w:t>
      </w:r>
      <w:r>
        <w:rPr>
          <w:rFonts w:ascii="Nirmala UI" w:hAnsi="Nirmala UI" w:eastAsia="Nirmala UI" w:cs="Nirmala UI"/>
        </w:rPr>
        <w:t>आऊ</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w:t>
      </w:r>
      <w:r>
        <w:rPr>
          <w:rFonts w:ascii="Nirmala UI" w:hAnsi="Nirmala UI" w:eastAsia="Nirmala UI" w:cs="Nirmala UI"/>
        </w:rPr>
        <w:t>आऊ</w:t>
      </w:r>
      <w:r>
        <w:rPr>
          <w:rFonts w:ascii="Times New Roman" w:hAnsi="Times New Roman" w:eastAsia="Times New Roman" w:cs="Times New Roman"/>
        </w:rPr>
        <w:t xml:space="preserve"> </w:t>
      </w:r>
      <w:r>
        <w:rPr>
          <w:rFonts w:ascii="Nirmala UI" w:hAnsi="Nirmala UI" w:eastAsia="Nirmala UI" w:cs="Nirmala UI"/>
        </w:rPr>
        <w:t>अकिलि</w:t>
      </w:r>
      <w:r>
        <w:rPr>
          <w:rFonts w:ascii="Times New Roman" w:hAnsi="Times New Roman" w:eastAsia="Times New Roman" w:cs="Times New Roman"/>
        </w:rPr>
        <w:t xml:space="preserve"> </w:t>
      </w:r>
      <w:r>
        <w:rPr>
          <w:rFonts w:ascii="Nirmala UI" w:hAnsi="Nirmala UI" w:eastAsia="Nirmala UI" w:cs="Nirmala UI"/>
        </w:rPr>
        <w:t>आशीषित</w:t>
      </w:r>
      <w:r>
        <w:rPr>
          <w:rFonts w:ascii="Times New Roman" w:hAnsi="Times New Roman" w:eastAsia="Times New Roman" w:cs="Times New Roman"/>
        </w:rPr>
        <w:t xml:space="preserve"> </w:t>
      </w:r>
      <w:r>
        <w:rPr>
          <w:rFonts w:ascii="Nirmala UI" w:hAnsi="Nirmala UI" w:eastAsia="Nirmala UI" w:cs="Nirmala UI"/>
        </w:rPr>
        <w:t>दुही</w:t>
      </w:r>
      <w:r>
        <w:rPr>
          <w:rFonts w:ascii="Times New Roman" w:hAnsi="Times New Roman" w:eastAsia="Times New Roman" w:cs="Times New Roman"/>
        </w:rPr>
        <w:t xml:space="preserve"> </w:t>
      </w:r>
      <w:r>
        <w:rPr>
          <w:rFonts w:ascii="Nirmala UI" w:hAnsi="Nirmala UI" w:eastAsia="Nirmala UI" w:cs="Nirmala UI"/>
        </w:rPr>
        <w:t>डानिएल</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बारह</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कियागना।</w:t>
      </w:r>
      <w:r>
        <w:rPr>
          <w:rFonts w:ascii="Times New Roman" w:hAnsi="Times New Roman" w:eastAsia="Times New Roman" w:cs="Times New Roman"/>
        </w:rPr>
        <w:t xml:space="preserve"> “</w:t>
      </w:r>
      <w:r>
        <w:rPr>
          <w:rFonts w:ascii="Nirmala UI" w:hAnsi="Nirmala UI" w:eastAsia="Nirmala UI" w:cs="Nirmala UI"/>
        </w:rPr>
        <w:t>अकिलि</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अङ्गिमा</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ज्ञान</w:t>
      </w:r>
      <w:r>
        <w:rPr>
          <w:rFonts w:ascii="Times New Roman" w:hAnsi="Times New Roman" w:eastAsia="Times New Roman" w:cs="Times New Roman"/>
        </w:rPr>
        <w:t>-</w:t>
      </w:r>
      <w:r>
        <w:rPr>
          <w:rFonts w:ascii="Nirmala UI" w:hAnsi="Nirmala UI" w:eastAsia="Nirmala UI" w:cs="Nirmala UI"/>
        </w:rPr>
        <w:t>वृद्धि</w:t>
      </w:r>
      <w:r>
        <w:rPr>
          <w:rFonts w:ascii="Times New Roman" w:hAnsi="Times New Roman" w:eastAsia="Times New Roman" w:cs="Times New Roman"/>
        </w:rPr>
        <w:t>-</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निज</w:t>
      </w:r>
      <w:r>
        <w:rPr>
          <w:rFonts w:ascii="Times New Roman" w:hAnsi="Times New Roman" w:eastAsia="Times New Roman" w:cs="Times New Roman"/>
        </w:rPr>
        <w:t xml:space="preserve"> </w:t>
      </w:r>
      <w:r>
        <w:rPr>
          <w:rFonts w:ascii="Nirmala UI" w:hAnsi="Nirmala UI" w:eastAsia="Nirmala UI" w:cs="Nirmala UI"/>
        </w:rPr>
        <w:t>हृदयरे</w:t>
      </w:r>
      <w:r>
        <w:rPr>
          <w:rFonts w:ascii="Times New Roman" w:hAnsi="Times New Roman" w:eastAsia="Times New Roman" w:cs="Times New Roman"/>
        </w:rPr>
        <w:t xml:space="preserve">) </w:t>
      </w:r>
      <w:r>
        <w:rPr>
          <w:rFonts w:ascii="Nirmala UI" w:hAnsi="Nirmala UI" w:eastAsia="Nirmala UI" w:cs="Nirmala UI"/>
        </w:rPr>
        <w:t>बुझना</w:t>
      </w:r>
      <w:r>
        <w:rPr>
          <w:rFonts w:ascii="Times New Roman" w:hAnsi="Times New Roman" w:eastAsia="Times New Roman" w:cs="Times New Roman"/>
        </w:rPr>
        <w:t xml:space="preserve">, </w:t>
      </w:r>
      <w:r>
        <w:rPr>
          <w:rFonts w:ascii="Nirmala UI" w:hAnsi="Nirmala UI" w:eastAsia="Nirmala UI" w:cs="Nirmala UI"/>
        </w:rPr>
        <w:t>जहा</w:t>
      </w:r>
      <w:r>
        <w:rPr>
          <w:rFonts w:ascii="Times New Roman" w:hAnsi="Times New Roman" w:eastAsia="Times New Roman" w:cs="Times New Roman"/>
        </w:rPr>
        <w:t xml:space="preserve"> “</w:t>
      </w:r>
      <w:r>
        <w:rPr>
          <w:rFonts w:ascii="Nirmala UI" w:hAnsi="Nirmala UI" w:eastAsia="Nirmala UI" w:cs="Nirmala UI"/>
        </w:rPr>
        <w:t>हबक्कूक</w:t>
      </w:r>
      <w:r>
        <w:rPr>
          <w:rFonts w:ascii="Times New Roman" w:hAnsi="Times New Roman" w:eastAsia="Times New Roman" w:cs="Times New Roman"/>
        </w:rPr>
        <w:t>”</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उल्लेखित</w:t>
      </w:r>
      <w:r>
        <w:rPr>
          <w:rFonts w:ascii="Times New Roman" w:hAnsi="Times New Roman" w:eastAsia="Times New Roman" w:cs="Times New Roman"/>
        </w:rPr>
        <w:t xml:space="preserve"> “</w:t>
      </w:r>
      <w:r>
        <w:rPr>
          <w:rFonts w:ascii="Nirmala UI" w:hAnsi="Nirmala UI" w:eastAsia="Nirmala UI" w:cs="Nirmala UI"/>
        </w:rPr>
        <w:t>मेज़</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कियागना</w:t>
      </w:r>
      <w:r>
        <w:rPr>
          <w:rFonts w:ascii="Times New Roman" w:hAnsi="Times New Roman" w:eastAsia="Times New Roman" w:cs="Times New Roman"/>
        </w:rPr>
        <w:t xml:space="preserve">; </w:t>
      </w:r>
      <w:r>
        <w:rPr>
          <w:rFonts w:ascii="Nirmala UI" w:hAnsi="Nirmala UI" w:eastAsia="Nirmala UI" w:cs="Nirmala UI"/>
        </w:rPr>
        <w:t>आऊ</w:t>
      </w:r>
      <w:r>
        <w:rPr>
          <w:rFonts w:ascii="Times New Roman" w:hAnsi="Times New Roman" w:eastAsia="Times New Roman" w:cs="Times New Roman"/>
        </w:rPr>
        <w:t xml:space="preserve"> “</w:t>
      </w:r>
      <w:r>
        <w:rPr>
          <w:rFonts w:ascii="Nirmala UI" w:hAnsi="Nirmala UI" w:eastAsia="Nirmala UI" w:cs="Nirmala UI"/>
        </w:rPr>
        <w:t>आशीषित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अङ्गिमा</w:t>
      </w:r>
      <w:r>
        <w:rPr>
          <w:rFonts w:ascii="Times New Roman" w:hAnsi="Times New Roman" w:eastAsia="Times New Roman" w:cs="Times New Roman"/>
        </w:rPr>
        <w:t xml:space="preserve"> </w:t>
      </w:r>
      <w:r>
        <w:rPr>
          <w:rFonts w:ascii="Nirmala UI" w:hAnsi="Nirmala UI" w:eastAsia="Nirmala UI" w:cs="Nirmala UI"/>
        </w:rPr>
        <w:t>माने</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प्रतीक्षा</w:t>
      </w:r>
      <w:r>
        <w:rPr>
          <w:rFonts w:ascii="Times New Roman" w:hAnsi="Times New Roman" w:eastAsia="Times New Roman" w:cs="Times New Roman"/>
        </w:rPr>
        <w:t xml:space="preserve"> </w:t>
      </w:r>
      <w:r>
        <w:rPr>
          <w:rFonts w:ascii="Nirmala UI" w:hAnsi="Nirmala UI" w:eastAsia="Nirmala UI" w:cs="Nirmala UI"/>
        </w:rPr>
        <w:t>करना।</w:t>
      </w:r>
    </w:p>
    <w:p>
      <w:pPr>
        <w:pStyle w:val="ArticleScripture"/>
        <w:jc w:val="left"/>
      </w:pPr>
      <w:r>
        <w:rPr>
          <w:rFonts w:ascii="Times New Roman" w:hAnsi="Times New Roman" w:eastAsia="Times New Roman" w:cs="Times New Roman"/>
        </w:rPr>
        <w:t>Û wî jê re got: “Daniel, here rêya xwe; çimkî ev gotin heta dema dawiyê hatine girtin û mohrkirin. Gelek dê paqij bibin, sipî bibin û were ceribandin; lê xerabkar dê xerabî bikin; û yek ji xerabkaran fêm nake; lê aqilmend dê fêm bikin. Û ji wê demê ve ku qurbaniya rojane were rakirin, û qirêjiya ku wêranî çêdike were danîn, hezar û du sed û nod roj dê hebin. Xwezî bi wî yê ku li bendê dimîne û digihîje hezar û sê sed û pêncî û pênc rojan re.” Daniel 12:9–13.</w:t>
      </w:r>
    </w:p>
    <w:p>
      <w:pPr>
        <w:pStyle w:val="ArticleBody"/>
        <w:jc w:val="left"/>
      </w:pPr>
      <w:r>
        <w:rPr>
          <w:rFonts w:ascii="Times New Roman" w:hAnsi="Times New Roman" w:eastAsia="Times New Roman" w:cs="Times New Roman"/>
        </w:rPr>
        <w:t>Abakurikira ba Miller basobanukiwe neza ko iminsi igihumbi kimwe magana atatu na mirongo itatu n’itanu yatangiye ubwo ubupagani (“iby’iteka”), bwakuweho mu mwaka wa 508. Umugisha wasezeraniwe abari bategereje mu wa 1843. Ijambo “aza” muri uwo murongo risobanura “gukoraho.” Umwaka wa 1843 “wakozeho” umwaka wa 1844 igihe warangiraga. Ubwo umwaka wa 1843 warangiraga, “igihe cyo gutinda” cyo muri Habakuki cyageze, kandi umugisha utangazwa ku bari bategereje nk’uko byategetswe mu “gitabo” cyavuze “ibyapa.” “Igitabo” cya Habakuki cyategetse abantu “gutegereza” iyerekwa.</w:t>
      </w:r>
    </w:p>
    <w:p>
      <w:pPr>
        <w:pStyle w:val="ArticleBody"/>
        <w:jc w:val="left"/>
      </w:pPr>
      <w:r>
        <w:rPr>
          <w:rFonts w:ascii="Times New Roman" w:hAnsi="Times New Roman" w:eastAsia="Times New Roman" w:cs="Times New Roman"/>
        </w:rPr>
        <w:t>Daniel akọwa the akụkọ ihe mere eme nke 1798 (oge nke ọgwụgwụ), mgbe e meghere akwụkwọ ya, ma e mesịa wepụta usoro ule nke nzọụkwụ atọ (a sachara, a mee ka ha dị ọcha, a nwalee ha). Usoro ahụ rutere ná njedebe ya n’ịpụta ìhè nke akụkọ ihe mere eme zoro ezo nke égbè eluigwe asaa. Akụkọ ihe mere eme ahụ zoro ezo bụ akara ụzọ atọ nke eziokwu, nke nkụda mmụọ mbụ, ozi nke Mkpu Etiti Abalị, na nnukwu nkụda mmụọ nọchiri anya ha. Ngọzi nke iru nkụda mmụọ mbụ na-anọchi anya usoro ule nke nzọụkwụ atọ na njedebe nke akụkọ ihe mere eme nke 1798 ruo 1844.</w:t>
      </w:r>
    </w:p>
    <w:p>
      <w:pPr>
        <w:pStyle w:val="ArticleBody"/>
        <w:jc w:val="left"/>
      </w:pPr>
      <w:r>
        <w:rPr>
          <w:rFonts w:ascii="Times New Roman" w:hAnsi="Times New Roman" w:eastAsia="Times New Roman" w:cs="Times New Roman"/>
        </w:rPr>
        <w:t>1798</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역사로부터</w:t>
      </w:r>
      <w:r>
        <w:rPr>
          <w:rFonts w:ascii="Times New Roman" w:hAnsi="Times New Roman" w:eastAsia="Times New Roman" w:cs="Times New Roman"/>
        </w:rPr>
        <w:t xml:space="preserve"> 1844</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대실망에</w:t>
      </w:r>
      <w:r>
        <w:rPr>
          <w:rFonts w:ascii="Times New Roman" w:hAnsi="Times New Roman" w:eastAsia="Times New Roman" w:cs="Times New Roman"/>
        </w:rPr>
        <w:t xml:space="preserve"> </w:t>
      </w:r>
      <w:r>
        <w:rPr>
          <w:rFonts w:ascii="Malgun Gothic" w:hAnsi="Malgun Gothic" w:eastAsia="Malgun Gothic" w:cs="Malgun Gothic"/>
        </w:rPr>
        <w:t>이르기까지의</w:t>
      </w:r>
      <w:r>
        <w:rPr>
          <w:rFonts w:ascii="Times New Roman" w:hAnsi="Times New Roman" w:eastAsia="Times New Roman" w:cs="Times New Roman"/>
        </w:rPr>
        <w:t xml:space="preserve"> </w:t>
      </w:r>
      <w:r>
        <w:rPr>
          <w:rFonts w:ascii="Malgun Gothic" w:hAnsi="Malgun Gothic" w:eastAsia="Malgun Gothic" w:cs="Malgun Gothic"/>
        </w:rPr>
        <w:t>역사는</w:t>
      </w:r>
      <w:r>
        <w:rPr>
          <w:rFonts w:ascii="Times New Roman" w:hAnsi="Times New Roman" w:eastAsia="Times New Roman" w:cs="Times New Roman"/>
        </w:rPr>
        <w:t>, 1989</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역사로부터</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닥칠</w:t>
      </w:r>
      <w:r>
        <w:rPr>
          <w:rFonts w:ascii="Times New Roman" w:hAnsi="Times New Roman" w:eastAsia="Times New Roman" w:cs="Times New Roman"/>
        </w:rPr>
        <w:t xml:space="preserve"> </w:t>
      </w:r>
      <w:r>
        <w:rPr>
          <w:rFonts w:ascii="Malgun Gothic" w:hAnsi="Malgun Gothic" w:eastAsia="Malgun Gothic" w:cs="Malgun Gothic"/>
        </w:rPr>
        <w:t>일요일</w:t>
      </w:r>
      <w:r>
        <w:rPr>
          <w:rFonts w:ascii="Times New Roman" w:hAnsi="Times New Roman" w:eastAsia="Times New Roman" w:cs="Times New Roman"/>
        </w:rPr>
        <w:t xml:space="preserve"> </w:t>
      </w:r>
      <w:r>
        <w:rPr>
          <w:rFonts w:ascii="Malgun Gothic" w:hAnsi="Malgun Gothic" w:eastAsia="Malgun Gothic" w:cs="Malgun Gothic"/>
        </w:rPr>
        <w:t>법에</w:t>
      </w:r>
      <w:r>
        <w:rPr>
          <w:rFonts w:ascii="Times New Roman" w:hAnsi="Times New Roman" w:eastAsia="Times New Roman" w:cs="Times New Roman"/>
        </w:rPr>
        <w:t xml:space="preserve"> </w:t>
      </w:r>
      <w:r>
        <w:rPr>
          <w:rFonts w:ascii="Malgun Gothic" w:hAnsi="Malgun Gothic" w:eastAsia="Malgun Gothic" w:cs="Malgun Gothic"/>
        </w:rPr>
        <w:t>이르기까지의</w:t>
      </w:r>
      <w:r>
        <w:rPr>
          <w:rFonts w:ascii="Times New Roman" w:hAnsi="Times New Roman" w:eastAsia="Times New Roman" w:cs="Times New Roman"/>
        </w:rPr>
        <w:t xml:space="preserve"> </w:t>
      </w:r>
      <w:r>
        <w:rPr>
          <w:rFonts w:ascii="Malgun Gothic" w:hAnsi="Malgun Gothic" w:eastAsia="Malgun Gothic" w:cs="Malgun Gothic"/>
        </w:rPr>
        <w:t>역사를</w:t>
      </w:r>
      <w:r>
        <w:rPr>
          <w:rFonts w:ascii="Times New Roman" w:hAnsi="Times New Roman" w:eastAsia="Times New Roman" w:cs="Times New Roman"/>
        </w:rPr>
        <w:t xml:space="preserve"> </w:t>
      </w:r>
      <w:r>
        <w:rPr>
          <w:rFonts w:ascii="Malgun Gothic" w:hAnsi="Malgun Gothic" w:eastAsia="Malgun Gothic" w:cs="Malgun Gothic"/>
        </w:rPr>
        <w:t>예표한다</w:t>
      </w:r>
      <w:r>
        <w:rPr>
          <w:rFonts w:ascii="Times New Roman" w:hAnsi="Times New Roman" w:eastAsia="Times New Roman" w:cs="Times New Roman"/>
        </w:rPr>
        <w:t xml:space="preserve">. </w:t>
      </w:r>
      <w:r>
        <w:rPr>
          <w:rFonts w:ascii="Malgun Gothic" w:hAnsi="Malgun Gothic" w:eastAsia="Malgun Gothic" w:cs="Malgun Gothic"/>
        </w:rPr>
        <w:t>첫</w:t>
      </w:r>
      <w:r>
        <w:rPr>
          <w:rFonts w:ascii="Times New Roman" w:hAnsi="Times New Roman" w:eastAsia="Times New Roman" w:cs="Times New Roman"/>
        </w:rPr>
        <w:t xml:space="preserve"> </w:t>
      </w:r>
      <w:r>
        <w:rPr>
          <w:rFonts w:ascii="Malgun Gothic" w:hAnsi="Malgun Gothic" w:eastAsia="Malgun Gothic" w:cs="Malgun Gothic"/>
        </w:rPr>
        <w:t>번째</w:t>
      </w:r>
      <w:r>
        <w:rPr>
          <w:rFonts w:ascii="Times New Roman" w:hAnsi="Times New Roman" w:eastAsia="Times New Roman" w:cs="Times New Roman"/>
        </w:rPr>
        <w:t xml:space="preserve"> </w:t>
      </w:r>
      <w:r>
        <w:rPr>
          <w:rFonts w:ascii="Malgun Gothic" w:hAnsi="Malgun Gothic" w:eastAsia="Malgun Gothic" w:cs="Malgun Gothic"/>
        </w:rPr>
        <w:t>실망</w:t>
      </w:r>
      <w:r>
        <w:rPr>
          <w:rFonts w:ascii="Times New Roman" w:hAnsi="Times New Roman" w:eastAsia="Times New Roman" w:cs="Times New Roman"/>
        </w:rPr>
        <w:t xml:space="preserve"> </w:t>
      </w:r>
      <w:r>
        <w:rPr>
          <w:rFonts w:ascii="Malgun Gothic" w:hAnsi="Malgun Gothic" w:eastAsia="Malgun Gothic" w:cs="Malgun Gothic"/>
        </w:rPr>
        <w:t>때부터</w:t>
      </w:r>
      <w:r>
        <w:rPr>
          <w:rFonts w:ascii="Times New Roman" w:hAnsi="Times New Roman" w:eastAsia="Times New Roman" w:cs="Times New Roman"/>
        </w:rPr>
        <w:t xml:space="preserve"> </w:t>
      </w:r>
      <w:r>
        <w:rPr>
          <w:rFonts w:ascii="Malgun Gothic" w:hAnsi="Malgun Gothic" w:eastAsia="Malgun Gothic" w:cs="Malgun Gothic"/>
        </w:rPr>
        <w:t>더디하기</w:t>
      </w:r>
      <w:r>
        <w:rPr>
          <w:rFonts w:ascii="Times New Roman" w:hAnsi="Times New Roman" w:eastAsia="Times New Roman" w:cs="Times New Roman"/>
        </w:rPr>
        <w:t xml:space="preserve"> </w:t>
      </w:r>
      <w:r>
        <w:rPr>
          <w:rFonts w:ascii="Malgun Gothic" w:hAnsi="Malgun Gothic" w:eastAsia="Malgun Gothic" w:cs="Malgun Gothic"/>
        </w:rPr>
        <w:t>시작한</w:t>
      </w:r>
      <w:r>
        <w:rPr>
          <w:rFonts w:ascii="Times New Roman" w:hAnsi="Times New Roman" w:eastAsia="Times New Roman" w:cs="Times New Roman"/>
        </w:rPr>
        <w:t xml:space="preserve"> </w:t>
      </w:r>
      <w:r>
        <w:rPr>
          <w:rFonts w:ascii="Malgun Gothic" w:hAnsi="Malgun Gothic" w:eastAsia="Malgun Gothic" w:cs="Malgun Gothic"/>
        </w:rPr>
        <w:t>이상을</w:t>
      </w:r>
      <w:r>
        <w:rPr>
          <w:rFonts w:ascii="Times New Roman" w:hAnsi="Times New Roman" w:eastAsia="Times New Roman" w:cs="Times New Roman"/>
        </w:rPr>
        <w:t xml:space="preserve"> </w:t>
      </w:r>
      <w:r>
        <w:rPr>
          <w:rFonts w:ascii="Malgun Gothic" w:hAnsi="Malgun Gothic" w:eastAsia="Malgun Gothic" w:cs="Malgun Gothic"/>
        </w:rPr>
        <w:t>기다리는</w:t>
      </w:r>
      <w:r>
        <w:rPr>
          <w:rFonts w:ascii="Times New Roman" w:hAnsi="Times New Roman" w:eastAsia="Times New Roman" w:cs="Times New Roman"/>
        </w:rPr>
        <w:t xml:space="preserve"> </w:t>
      </w:r>
      <w:r>
        <w:rPr>
          <w:rFonts w:ascii="Malgun Gothic" w:hAnsi="Malgun Gothic" w:eastAsia="Malgun Gothic" w:cs="Malgun Gothic"/>
        </w:rPr>
        <w:t>자들에게는</w:t>
      </w:r>
      <w:r>
        <w:rPr>
          <w:rFonts w:ascii="Times New Roman" w:hAnsi="Times New Roman" w:eastAsia="Times New Roman" w:cs="Times New Roman"/>
        </w:rPr>
        <w:t xml:space="preserve"> </w:t>
      </w:r>
      <w:r>
        <w:rPr>
          <w:rFonts w:ascii="Malgun Gothic" w:hAnsi="Malgun Gothic" w:eastAsia="Malgun Gothic" w:cs="Malgun Gothic"/>
        </w:rPr>
        <w:t>약속된</w:t>
      </w:r>
      <w:r>
        <w:rPr>
          <w:rFonts w:ascii="Times New Roman" w:hAnsi="Times New Roman" w:eastAsia="Times New Roman" w:cs="Times New Roman"/>
        </w:rPr>
        <w:t xml:space="preserve"> </w:t>
      </w:r>
      <w:r>
        <w:rPr>
          <w:rFonts w:ascii="Malgun Gothic" w:hAnsi="Malgun Gothic" w:eastAsia="Malgun Gothic" w:cs="Malgun Gothic"/>
        </w:rPr>
        <w:t>복이</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다니엘</w:t>
      </w:r>
      <w:r>
        <w:rPr>
          <w:rFonts w:ascii="Times New Roman" w:hAnsi="Times New Roman" w:eastAsia="Times New Roman" w:cs="Times New Roman"/>
        </w:rPr>
        <w:t xml:space="preserve"> 12</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지혜</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자들</w:t>
      </w:r>
      <w:r>
        <w:rPr>
          <w:rFonts w:ascii="Times New Roman" w:hAnsi="Times New Roman" w:eastAsia="Times New Roman" w:cs="Times New Roman"/>
        </w:rPr>
        <w:t>”</w:t>
      </w:r>
      <w:r>
        <w:rPr>
          <w:rFonts w:ascii="Malgun Gothic" w:hAnsi="Malgun Gothic" w:eastAsia="Malgun Gothic" w:cs="Malgun Gothic"/>
        </w:rPr>
        <w:t>은</w:t>
      </w:r>
      <w:r>
        <w:rPr>
          <w:rFonts w:ascii="Times New Roman" w:hAnsi="Times New Roman" w:eastAsia="Times New Roman" w:cs="Times New Roman"/>
        </w:rPr>
        <w:t xml:space="preserve"> “</w:t>
      </w:r>
      <w:r>
        <w:rPr>
          <w:rFonts w:ascii="Malgun Gothic" w:hAnsi="Malgun Gothic" w:eastAsia="Malgun Gothic" w:cs="Malgun Gothic"/>
        </w:rPr>
        <w:t>복</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자들이며</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기다리는</w:t>
      </w:r>
      <w:r>
        <w:rPr>
          <w:rFonts w:ascii="Times New Roman" w:hAnsi="Times New Roman" w:eastAsia="Times New Roman" w:cs="Times New Roman"/>
        </w:rPr>
        <w:t xml:space="preserve">” </w:t>
      </w:r>
      <w:r>
        <w:rPr>
          <w:rFonts w:ascii="Malgun Gothic" w:hAnsi="Malgun Gothic" w:eastAsia="Malgun Gothic" w:cs="Malgun Gothic"/>
        </w:rPr>
        <w:t>자들이다</w:t>
      </w:r>
      <w:r>
        <w:rPr>
          <w:rFonts w:ascii="Times New Roman" w:hAnsi="Times New Roman" w:eastAsia="Times New Roman" w:cs="Times New Roman"/>
        </w:rPr>
        <w:t xml:space="preserve">. </w:t>
      </w:r>
      <w:r>
        <w:rPr>
          <w:rFonts w:ascii="Malgun Gothic" w:hAnsi="Malgun Gothic" w:eastAsia="Malgun Gothic" w:cs="Malgun Gothic"/>
        </w:rPr>
        <w:t>악인들은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마음으로</w:t>
      </w:r>
      <w:r>
        <w:rPr>
          <w:rFonts w:ascii="Times New Roman" w:hAnsi="Times New Roman" w:eastAsia="Times New Roman" w:cs="Times New Roman"/>
        </w:rPr>
        <w:t xml:space="preserve"> “</w:t>
      </w:r>
      <w:r>
        <w:rPr>
          <w:rFonts w:ascii="Malgun Gothic" w:hAnsi="Malgun Gothic" w:eastAsia="Malgun Gothic" w:cs="Malgun Gothic"/>
        </w:rPr>
        <w:t>듣지</w:t>
      </w:r>
      <w:r>
        <w:rPr>
          <w:rFonts w:ascii="Times New Roman" w:hAnsi="Times New Roman" w:eastAsia="Times New Roman" w:cs="Times New Roman"/>
        </w:rPr>
        <w:t xml:space="preserve">” </w:t>
      </w:r>
      <w:r>
        <w:rPr>
          <w:rFonts w:ascii="Malgun Gothic" w:hAnsi="Malgun Gothic" w:eastAsia="Malgun Gothic" w:cs="Malgun Gothic"/>
        </w:rPr>
        <w:t>아니하는</w:t>
      </w:r>
      <w:r>
        <w:rPr>
          <w:rFonts w:ascii="Times New Roman" w:hAnsi="Times New Roman" w:eastAsia="Times New Roman" w:cs="Times New Roman"/>
        </w:rPr>
        <w:t xml:space="preserve"> </w:t>
      </w:r>
      <w:r>
        <w:rPr>
          <w:rFonts w:ascii="Malgun Gothic" w:hAnsi="Malgun Gothic" w:eastAsia="Malgun Gothic" w:cs="Malgun Gothic"/>
        </w:rPr>
        <w:t>자들이며</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보지</w:t>
      </w:r>
      <w:r>
        <w:rPr>
          <w:rFonts w:ascii="Times New Roman" w:hAnsi="Times New Roman" w:eastAsia="Times New Roman" w:cs="Times New Roman"/>
        </w:rPr>
        <w:t xml:space="preserve">” </w:t>
      </w:r>
      <w:r>
        <w:rPr>
          <w:rFonts w:ascii="Malgun Gothic" w:hAnsi="Malgun Gothic" w:eastAsia="Malgun Gothic" w:cs="Malgun Gothic"/>
        </w:rPr>
        <w:t>아니하는</w:t>
      </w:r>
      <w:r>
        <w:rPr>
          <w:rFonts w:ascii="Times New Roman" w:hAnsi="Times New Roman" w:eastAsia="Times New Roman" w:cs="Times New Roman"/>
        </w:rPr>
        <w:t xml:space="preserve"> </w:t>
      </w:r>
      <w:r>
        <w:rPr>
          <w:rFonts w:ascii="Malgun Gothic" w:hAnsi="Malgun Gothic" w:eastAsia="Malgun Gothic" w:cs="Malgun Gothic"/>
        </w:rPr>
        <w:t>자들이다</w:t>
      </w:r>
      <w:r>
        <w:rPr>
          <w:rFonts w:ascii="Times New Roman" w:hAnsi="Times New Roman" w:eastAsia="Times New Roman" w:cs="Times New Roman"/>
        </w:rPr>
        <w:t xml:space="preserve">. </w:t>
      </w:r>
      <w:r>
        <w:rPr>
          <w:rFonts w:ascii="Malgun Gothic" w:hAnsi="Malgun Gothic" w:eastAsia="Malgun Gothic" w:cs="Malgun Gothic"/>
        </w:rPr>
        <w:t>밀러파</w:t>
      </w:r>
      <w:r>
        <w:rPr>
          <w:rFonts w:ascii="Times New Roman" w:hAnsi="Times New Roman" w:eastAsia="Times New Roman" w:cs="Times New Roman"/>
        </w:rPr>
        <w:t xml:space="preserve"> </w:t>
      </w:r>
      <w:r>
        <w:rPr>
          <w:rFonts w:ascii="Malgun Gothic" w:hAnsi="Malgun Gothic" w:eastAsia="Malgun Gothic" w:cs="Malgun Gothic"/>
        </w:rPr>
        <w:t>운동의</w:t>
      </w:r>
      <w:r>
        <w:rPr>
          <w:rFonts w:ascii="Times New Roman" w:hAnsi="Times New Roman" w:eastAsia="Times New Roman" w:cs="Times New Roman"/>
        </w:rPr>
        <w:t xml:space="preserve"> </w:t>
      </w:r>
      <w:r>
        <w:rPr>
          <w:rFonts w:ascii="Malgun Gothic" w:hAnsi="Malgun Gothic" w:eastAsia="Malgun Gothic" w:cs="Malgun Gothic"/>
        </w:rPr>
        <w:t>전</w:t>
      </w:r>
      <w:r>
        <w:rPr>
          <w:rFonts w:ascii="Times New Roman" w:hAnsi="Times New Roman" w:eastAsia="Times New Roman" w:cs="Times New Roman"/>
        </w:rPr>
        <w:t xml:space="preserve"> </w:t>
      </w:r>
      <w:r>
        <w:rPr>
          <w:rFonts w:ascii="Malgun Gothic" w:hAnsi="Malgun Gothic" w:eastAsia="Malgun Gothic" w:cs="Malgun Gothic"/>
        </w:rPr>
        <w:t>경험은</w:t>
      </w:r>
      <w:r>
        <w:rPr>
          <w:rFonts w:ascii="Times New Roman" w:hAnsi="Times New Roman" w:eastAsia="Times New Roman" w:cs="Times New Roman"/>
        </w:rPr>
        <w:t xml:space="preserve"> </w:t>
      </w:r>
      <w:r>
        <w:rPr>
          <w:rFonts w:ascii="Malgun Gothic" w:hAnsi="Malgun Gothic" w:eastAsia="Malgun Gothic" w:cs="Malgun Gothic"/>
        </w:rPr>
        <w:t>다니엘의</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절에</w:t>
      </w:r>
      <w:r>
        <w:rPr>
          <w:rFonts w:ascii="Times New Roman" w:hAnsi="Times New Roman" w:eastAsia="Times New Roman" w:cs="Times New Roman"/>
        </w:rPr>
        <w:t xml:space="preserve"> </w:t>
      </w:r>
      <w:r>
        <w:rPr>
          <w:rFonts w:ascii="Malgun Gothic" w:hAnsi="Malgun Gothic" w:eastAsia="Malgun Gothic" w:cs="Malgun Gothic"/>
        </w:rPr>
        <w:t>요약되어</w:t>
      </w:r>
      <w:r>
        <w:rPr>
          <w:rFonts w:ascii="Times New Roman" w:hAnsi="Times New Roman" w:eastAsia="Times New Roman" w:cs="Times New Roman"/>
        </w:rPr>
        <w:t xml:space="preserve"> </w:t>
      </w:r>
      <w:r>
        <w:rPr>
          <w:rFonts w:ascii="Malgun Gothic" w:hAnsi="Malgun Gothic" w:eastAsia="Malgun Gothic" w:cs="Malgun Gothic"/>
        </w:rPr>
        <w:t>있으며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절들은</w:t>
      </w:r>
      <w:r>
        <w:rPr>
          <w:rFonts w:ascii="Times New Roman" w:hAnsi="Times New Roman" w:eastAsia="Times New Roman" w:cs="Times New Roman"/>
        </w:rPr>
        <w:t xml:space="preserve"> </w:t>
      </w:r>
      <w:r>
        <w:rPr>
          <w:rFonts w:ascii="Malgun Gothic" w:hAnsi="Malgun Gothic" w:eastAsia="Malgun Gothic" w:cs="Malgun Gothic"/>
        </w:rPr>
        <w:t>또한</w:t>
      </w:r>
      <w:r>
        <w:rPr>
          <w:rFonts w:ascii="Times New Roman" w:hAnsi="Times New Roman" w:eastAsia="Times New Roman" w:cs="Times New Roman"/>
        </w:rPr>
        <w:t xml:space="preserve"> </w:t>
      </w:r>
      <w:r>
        <w:rPr>
          <w:rFonts w:ascii="Malgun Gothic" w:hAnsi="Malgun Gothic" w:eastAsia="Malgun Gothic" w:cs="Malgun Gothic"/>
        </w:rPr>
        <w:t>십사만</w:t>
      </w:r>
      <w:r>
        <w:rPr>
          <w:rFonts w:ascii="Times New Roman" w:hAnsi="Times New Roman" w:eastAsia="Times New Roman" w:cs="Times New Roman"/>
        </w:rPr>
        <w:t xml:space="preserve"> </w:t>
      </w:r>
      <w:r>
        <w:rPr>
          <w:rFonts w:ascii="Malgun Gothic" w:hAnsi="Malgun Gothic" w:eastAsia="Malgun Gothic" w:cs="Malgun Gothic"/>
        </w:rPr>
        <w:t>사천의</w:t>
      </w:r>
      <w:r>
        <w:rPr>
          <w:rFonts w:ascii="Times New Roman" w:hAnsi="Times New Roman" w:eastAsia="Times New Roman" w:cs="Times New Roman"/>
        </w:rPr>
        <w:t xml:space="preserve"> </w:t>
      </w:r>
      <w:r>
        <w:rPr>
          <w:rFonts w:ascii="Malgun Gothic" w:hAnsi="Malgun Gothic" w:eastAsia="Malgun Gothic" w:cs="Malgun Gothic"/>
        </w:rPr>
        <w:t>인침의</w:t>
      </w:r>
      <w:r>
        <w:rPr>
          <w:rFonts w:ascii="Times New Roman" w:hAnsi="Times New Roman" w:eastAsia="Times New Roman" w:cs="Times New Roman"/>
        </w:rPr>
        <w:t xml:space="preserve"> </w:t>
      </w:r>
      <w:r>
        <w:rPr>
          <w:rFonts w:ascii="Malgun Gothic" w:hAnsi="Malgun Gothic" w:eastAsia="Malgun Gothic" w:cs="Malgun Gothic"/>
        </w:rPr>
        <w:t>역사를</w:t>
      </w:r>
      <w:r>
        <w:rPr>
          <w:rFonts w:ascii="Times New Roman" w:hAnsi="Times New Roman" w:eastAsia="Times New Roman" w:cs="Times New Roman"/>
        </w:rPr>
        <w:t xml:space="preserve"> </w:t>
      </w:r>
      <w:r>
        <w:rPr>
          <w:rFonts w:ascii="Malgun Gothic" w:hAnsi="Malgun Gothic" w:eastAsia="Malgun Gothic" w:cs="Malgun Gothic"/>
        </w:rPr>
        <w:t>나타낸다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Mambo ya historia takatifu yaliyoonyeshwa katika aya hizo nne yanategemea ufahamu wa kuongezeka kwa maarifa kulikowakilishwa juu ya mbao za Habakuki, na kuongezeka kwa maarifa ambako Yesu alikitambulisha alipofundisha kwa njia ya mstari juu ya mstari. Aliwasilisha mfano baada ya mfano, ili kufafanua siri ya unabii kwa “wenye hekima.” “Waovu” katika Danieli kumi na mbili hawaelewi, na katika 2 Wathesalonike, sura ya pili, kukosa kwao kuelewa kunawakilishwa kuwa ni kuuchukia ukweli, jambo liletao upotevu wenye nguvu. Ukweli ambao waovu hawaupendi katika waraka wa Paulo ulikuwa “sadaka ya daima,” na katika aya nne za Danieli, ukweli wa kinabii unaotambuliwa kwa namna ya pekee ni “sadaka ya daima.”</w:t>
      </w:r>
    </w:p>
    <w:p>
      <w:pPr>
        <w:pStyle w:val="ArticleBody"/>
        <w:jc w:val="left"/>
      </w:pPr>
      <w:r>
        <w:rPr>
          <w:rFonts w:ascii="Times New Roman" w:hAnsi="Times New Roman" w:eastAsia="Times New Roman" w:cs="Times New Roman"/>
        </w:rPr>
        <w:t>Yesu akabwira abigishwa be ko bahiriwe, kandi mu kubigenza atyo yabagereranyaga n’abo muri Yesaya banze kubona no kumva, kugira ngo bihinduke. Abo bahiriwe muri Daniyeli 12 ni abategereza. Imirongo ine yo muri Daniyeli igice cya 12, kimwe no gusohora kw’iyo mirongo mu mateka y’Abamilerite, kimwe n’iryo tandukaniro ryo muri Yesaya n’itsinda ryanze kumva no kubona, ndetse n’iryo tandukaniro nyaryo ry’ayo matsinda yombi ryakozwe na Kristo, byose byerekana mbere amateka yahishwe y’inkuba ndwi yageze ku wa 18 Nyakanga 2020. Uburyo bwa nyuma bwo kugeragezwa bwo mu mateka y’Abamilerite bwatangiye ku gucika intege kwa mbere ubu burimo kongera gusubirwamo. Bamwe bazabona, naho abandi bazanga kubona.</w:t>
      </w:r>
    </w:p>
    <w:p>
      <w:pPr>
        <w:pStyle w:val="ArticleScripture"/>
        <w:jc w:val="left"/>
      </w:pPr>
      <w:r>
        <w:rPr>
          <w:rFonts w:ascii="Times New Roman" w:hAnsi="Times New Roman" w:eastAsia="Times New Roman" w:cs="Times New Roman"/>
        </w:rPr>
        <w:t>“Pepê hemû ku di navbera 1840–1844 de hatine dayîn, divê niha bi hêz werin ragihandin, çimkî gelek kes hene ku arasteya xwe winda kirine. Divê ev peyam biçin hemû dêrê.”</w:t>
      </w:r>
    </w:p>
    <w:p>
      <w:pPr>
        <w:pStyle w:val="ArticleScripture"/>
        <w:jc w:val="left"/>
      </w:pPr>
      <w:r>
        <w:rPr>
          <w:rFonts w:ascii="Times New Roman" w:hAnsi="Times New Roman" w:eastAsia="Times New Roman" w:cs="Times New Roman"/>
        </w:rPr>
        <w:t>Kristo yavuze ati: “Hahirwa amaso yanyu, kuko abona; n’amatwi yanyu, kuko yumva. Kuko ni ukuri mbabwira yuko abahanuzi benshi n’abakiranutsi bifuje kubona ibyo mwebwe mubona, ariko ntibabibona; no kumva ibyo mwebwe mwumva, ariko ntibabyumva” [Matayo 13:16, 17]. Hahirwa amaso yabonye ibintu byabonetse mu 1843 no mu 1844.</w:t>
      </w:r>
    </w:p>
    <w:p>
      <w:pPr>
        <w:pStyle w:val="ArticleScripture"/>
        <w:jc w:val="left"/>
      </w:pPr>
      <w:r>
        <w:rPr>
          <w:rFonts w:ascii="Times New Roman" w:hAnsi="Times New Roman" w:eastAsia="Times New Roman" w:cs="Times New Roman"/>
        </w:rPr>
        <w:t>“Ujumbe umetolewa. Wala kusiwe na kuchelewa kuurudia ujumbe huo, kwa maana ishara za nyakati zinatimizwa; kazi ya kufunga lazima ifanywe. Kazi kuu itafanywa kwa muda mfupi. Hivi karibuni ujumbe utatolewa kwa agizo la Mungu ambao utakua na kuwa kilio kikuu. Ndipo Danieli atasimama katika sehemu yake, kutoa ushuhuda wake.” Manuscript Releases, volume 21, 437.</w:t>
      </w:r>
    </w:p>
    <w:p>
      <w:pPr>
        <w:pStyle w:val="ArticleBody"/>
        <w:jc w:val="left"/>
      </w:pPr>
      <w:r>
        <w:rPr>
          <w:rFonts w:ascii="Nirmala UI" w:hAnsi="Nirmala UI" w:eastAsia="Nirmala UI" w:cs="Nirmala UI"/>
        </w:rPr>
        <w:t>विलियम</w:t>
      </w:r>
      <w:r>
        <w:rPr>
          <w:rFonts w:ascii="Times New Roman" w:hAnsi="Times New Roman" w:eastAsia="Times New Roman" w:cs="Times New Roman"/>
        </w:rPr>
        <w:t xml:space="preserve"> </w:t>
      </w:r>
      <w:r>
        <w:rPr>
          <w:rFonts w:ascii="Nirmala UI" w:hAnsi="Nirmala UI" w:eastAsia="Nirmala UI" w:cs="Nirmala UI"/>
        </w:rPr>
        <w:t>मिलरलाई</w:t>
      </w:r>
      <w:r>
        <w:rPr>
          <w:rFonts w:ascii="Times New Roman" w:hAnsi="Times New Roman" w:eastAsia="Times New Roman" w:cs="Times New Roman"/>
        </w:rPr>
        <w:t xml:space="preserve"> </w:t>
      </w:r>
      <w:r>
        <w:rPr>
          <w:rFonts w:ascii="Nirmala UI" w:hAnsi="Nirmala UI" w:eastAsia="Nirmala UI" w:cs="Nirmala UI"/>
        </w:rPr>
        <w:t>स्वर्गदूतहरूले</w:t>
      </w:r>
      <w:r>
        <w:rPr>
          <w:rFonts w:ascii="Times New Roman" w:hAnsi="Times New Roman" w:eastAsia="Times New Roman" w:cs="Times New Roman"/>
        </w:rPr>
        <w:t xml:space="preserve"> “the daily” </w:t>
      </w:r>
      <w:r>
        <w:rPr>
          <w:rFonts w:ascii="Nirmala UI" w:hAnsi="Nirmala UI" w:eastAsia="Nirmala UI" w:cs="Nirmala UI"/>
        </w:rPr>
        <w:t>मूर्तिपूजक</w:t>
      </w:r>
      <w:r>
        <w:rPr>
          <w:rFonts w:ascii="Times New Roman" w:hAnsi="Times New Roman" w:eastAsia="Times New Roman" w:cs="Times New Roman"/>
        </w:rPr>
        <w:t xml:space="preserve"> </w:t>
      </w:r>
      <w:r>
        <w:rPr>
          <w:rFonts w:ascii="Nirmala UI" w:hAnsi="Nirmala UI" w:eastAsia="Nirmala UI" w:cs="Nirmala UI"/>
        </w:rPr>
        <w:t>रोमको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बुझाइदिए।</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व्हाइटले</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समझमा</w:t>
      </w:r>
      <w:r>
        <w:rPr>
          <w:rFonts w:ascii="Times New Roman" w:hAnsi="Times New Roman" w:eastAsia="Times New Roman" w:cs="Times New Roman"/>
        </w:rPr>
        <w:t xml:space="preserve"> </w:t>
      </w:r>
      <w:r>
        <w:rPr>
          <w:rFonts w:ascii="Nirmala UI" w:hAnsi="Nirmala UI" w:eastAsia="Nirmala UI" w:cs="Nirmala UI"/>
        </w:rPr>
        <w:t>सही</w:t>
      </w:r>
      <w:r>
        <w:rPr>
          <w:rFonts w:ascii="Times New Roman" w:hAnsi="Times New Roman" w:eastAsia="Times New Roman" w:cs="Times New Roman"/>
        </w:rPr>
        <w:t xml:space="preserve"> </w:t>
      </w:r>
      <w:r>
        <w:rPr>
          <w:rFonts w:ascii="Nirmala UI" w:hAnsi="Nirmala UI" w:eastAsia="Nirmala UI" w:cs="Nirmala UI"/>
        </w:rPr>
        <w:t>थिए</w:t>
      </w:r>
      <w:r>
        <w:rPr>
          <w:rFonts w:ascii="Times New Roman" w:hAnsi="Times New Roman" w:eastAsia="Times New Roman" w:cs="Times New Roman"/>
        </w:rPr>
        <w:t xml:space="preserve"> </w:t>
      </w:r>
      <w:r>
        <w:rPr>
          <w:rFonts w:ascii="Nirmala UI" w:hAnsi="Nirmala UI" w:eastAsia="Nirmala UI" w:cs="Nirmala UI"/>
        </w:rPr>
        <w:t>भनी</w:t>
      </w:r>
      <w:r>
        <w:rPr>
          <w:rFonts w:ascii="Times New Roman" w:hAnsi="Times New Roman" w:eastAsia="Times New Roman" w:cs="Times New Roman"/>
        </w:rPr>
        <w:t xml:space="preserve"> </w:t>
      </w:r>
      <w:r>
        <w:rPr>
          <w:rFonts w:ascii="Nirmala UI" w:hAnsi="Nirmala UI" w:eastAsia="Nirmala UI" w:cs="Nirmala UI"/>
        </w:rPr>
        <w:t>प्रत्यक्ष</w:t>
      </w:r>
      <w:r>
        <w:rPr>
          <w:rFonts w:ascii="Times New Roman" w:hAnsi="Times New Roman" w:eastAsia="Times New Roman" w:cs="Times New Roman"/>
        </w:rPr>
        <w:t xml:space="preserve"> </w:t>
      </w:r>
      <w:r>
        <w:rPr>
          <w:rFonts w:ascii="Nirmala UI" w:hAnsi="Nirmala UI" w:eastAsia="Nirmala UI" w:cs="Nirmala UI"/>
        </w:rPr>
        <w:t>पुष्टि</w:t>
      </w:r>
      <w:r>
        <w:rPr>
          <w:rFonts w:ascii="Times New Roman" w:hAnsi="Times New Roman" w:eastAsia="Times New Roman" w:cs="Times New Roman"/>
        </w:rPr>
        <w:t xml:space="preserve"> </w:t>
      </w:r>
      <w:r>
        <w:rPr>
          <w:rFonts w:ascii="Nirmala UI" w:hAnsi="Nirmala UI" w:eastAsia="Nirmala UI" w:cs="Nirmala UI"/>
        </w:rPr>
        <w:t>गरिन्।</w:t>
      </w:r>
      <w:r>
        <w:rPr>
          <w:rFonts w:ascii="Times New Roman" w:hAnsi="Times New Roman" w:eastAsia="Times New Roman" w:cs="Times New Roman"/>
        </w:rPr>
        <w:t xml:space="preserve"> </w:t>
      </w:r>
      <w:r>
        <w:rPr>
          <w:rFonts w:ascii="Nirmala UI" w:hAnsi="Nirmala UI" w:eastAsia="Nirmala UI" w:cs="Nirmala UI"/>
        </w:rPr>
        <w:t>हबक्कूकको</w:t>
      </w:r>
      <w:r>
        <w:rPr>
          <w:rFonts w:ascii="Times New Roman" w:hAnsi="Times New Roman" w:eastAsia="Times New Roman" w:cs="Times New Roman"/>
        </w:rPr>
        <w:t xml:space="preserve"> “book”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उल्लेख</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“tables” </w:t>
      </w:r>
      <w:r>
        <w:rPr>
          <w:rFonts w:ascii="Nirmala UI" w:hAnsi="Nirmala UI" w:eastAsia="Nirmala UI" w:cs="Nirmala UI"/>
        </w:rPr>
        <w:t>माथि</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“for the time to come”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“book”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मोहोर</w:t>
      </w:r>
      <w:r>
        <w:rPr>
          <w:rFonts w:ascii="Times New Roman" w:hAnsi="Times New Roman" w:eastAsia="Times New Roman" w:cs="Times New Roman"/>
        </w:rPr>
        <w:t xml:space="preserve"> </w:t>
      </w:r>
      <w:r>
        <w:rPr>
          <w:rFonts w:ascii="Nirmala UI" w:hAnsi="Nirmala UI" w:eastAsia="Nirmala UI" w:cs="Nirmala UI"/>
        </w:rPr>
        <w:t>खोलेर</w:t>
      </w:r>
      <w:r>
        <w:rPr>
          <w:rFonts w:ascii="Times New Roman" w:hAnsi="Times New Roman" w:eastAsia="Times New Roman" w:cs="Times New Roman"/>
        </w:rPr>
        <w:t xml:space="preserve"> “a rebellious, lying children” </w:t>
      </w:r>
      <w:r>
        <w:rPr>
          <w:rFonts w:ascii="Nirmala UI" w:hAnsi="Nirmala UI" w:eastAsia="Nirmala UI" w:cs="Nirmala UI"/>
        </w:rPr>
        <w:t>प्रकट</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“Children”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त्यसैले</w:t>
      </w:r>
      <w:r>
        <w:rPr>
          <w:rFonts w:ascii="Times New Roman" w:hAnsi="Times New Roman" w:eastAsia="Times New Roman" w:cs="Times New Roman"/>
        </w:rPr>
        <w:t xml:space="preserve"> </w:t>
      </w:r>
      <w:r>
        <w:rPr>
          <w:rFonts w:ascii="Nirmala UI" w:hAnsi="Nirmala UI" w:eastAsia="Nirmala UI" w:cs="Nirmala UI"/>
        </w:rPr>
        <w:t>यशैयाको</w:t>
      </w:r>
      <w:r>
        <w:rPr>
          <w:rFonts w:ascii="Times New Roman" w:hAnsi="Times New Roman" w:eastAsia="Times New Roman" w:cs="Times New Roman"/>
        </w:rPr>
        <w:t xml:space="preserve"> </w:t>
      </w:r>
      <w:r>
        <w:rPr>
          <w:rFonts w:ascii="Nirmala UI" w:hAnsi="Nirmala UI" w:eastAsia="Nirmala UI" w:cs="Nirmala UI"/>
        </w:rPr>
        <w:t>उक्त</w:t>
      </w:r>
      <w:r>
        <w:rPr>
          <w:rFonts w:ascii="Times New Roman" w:hAnsi="Times New Roman" w:eastAsia="Times New Roman" w:cs="Times New Roman"/>
        </w:rPr>
        <w:t xml:space="preserve"> </w:t>
      </w:r>
      <w:r>
        <w:rPr>
          <w:rFonts w:ascii="Nirmala UI" w:hAnsi="Nirmala UI" w:eastAsia="Nirmala UI" w:cs="Nirmala UI"/>
        </w:rPr>
        <w:t>खण्डमा</w:t>
      </w:r>
      <w:r>
        <w:rPr>
          <w:rFonts w:ascii="Times New Roman" w:hAnsi="Times New Roman" w:eastAsia="Times New Roman" w:cs="Times New Roman"/>
        </w:rPr>
        <w:t xml:space="preserve"> “time to come” </w:t>
      </w:r>
      <w:r>
        <w:rPr>
          <w:rFonts w:ascii="Nirmala UI" w:hAnsi="Nirmala UI" w:eastAsia="Nirmala UI" w:cs="Nirmala UI"/>
        </w:rPr>
        <w:t>विशेष</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अनुसन्धानात्मक</w:t>
      </w:r>
      <w:r>
        <w:rPr>
          <w:rFonts w:ascii="Times New Roman" w:hAnsi="Times New Roman" w:eastAsia="Times New Roman" w:cs="Times New Roman"/>
        </w:rPr>
        <w:t xml:space="preserve"> </w:t>
      </w:r>
      <w:r>
        <w:rPr>
          <w:rFonts w:ascii="Nirmala UI" w:hAnsi="Nirmala UI" w:eastAsia="Nirmala UI" w:cs="Nirmala UI"/>
        </w:rPr>
        <w:t>न्यायका</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दिनहरूका</w:t>
      </w:r>
      <w:r>
        <w:rPr>
          <w:rFonts w:ascii="Times New Roman" w:hAnsi="Times New Roman" w:eastAsia="Times New Roman" w:cs="Times New Roman"/>
        </w:rPr>
        <w:t xml:space="preserve"> </w:t>
      </w:r>
      <w:r>
        <w:rPr>
          <w:rFonts w:ascii="Nirmala UI" w:hAnsi="Nirmala UI" w:eastAsia="Nirmala UI" w:cs="Nirmala UI"/>
        </w:rPr>
        <w:t>रूपमा</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p>
    <w:p>
      <w:pPr>
        <w:pStyle w:val="ArticleBody"/>
        <w:jc w:val="left"/>
      </w:pPr>
      <w:r>
        <w:rPr>
          <w:rFonts w:ascii="Times New Roman" w:hAnsi="Times New Roman" w:eastAsia="Times New Roman" w:cs="Times New Roman"/>
        </w:rPr>
        <w:t>Isaya anavuga yuko “abana b’abanyabinyoma” bazanga ubutumwa bw’ubuhanuzi bugaragajwe ku “meza” buvugwa mu “gitabo,” kuko bavuga bati “ababonekerwa muti, Ntimubone; n’abahanuzi muti, Ntimuduhanurire ibitunganye; mutubwire ibyoroshya amatwi, muduhanurire ibishukana.” Mu 1863, Uwadivantisimu bw’i Lawodikiya watangiye inzira igenda yiyongera yo gusohoza icyifuzo cy’abo bana b’abanyabinyoma. Uwo murimo ugaragazwa na Isaya nk’ukwanga inzira za kera z’imfatiro z’Abamileri, kuko baravuze bati, “Nimuvemo mu nzira, mive ku path, mutume Uwera wa Isirayeli aduhagarika imbere.” Inzira, ari yo way, ni inzira za kera za Yeremiya.</w:t>
      </w:r>
    </w:p>
    <w:p>
      <w:pPr>
        <w:pStyle w:val="ArticleScripture"/>
        <w:jc w:val="left"/>
      </w:pPr>
      <w:r>
        <w:rPr>
          <w:rFonts w:ascii="Times New Roman" w:hAnsi="Times New Roman" w:eastAsia="Times New Roman" w:cs="Times New Roman"/>
        </w:rPr>
        <w:t>Kukĩ-rĩa Jehova oigire atĩrĩ, ĩmĩrĩrai njĩra-inĩ, mũrore, na mũũrĩrie njĩra cia tene, kũrĩa njĩra njega ĩrĩ, na mũgĩthiĩrĩre, nĩguo mũgaacagĩra nguũĩra ya ngoro cianyu. No maroiga atĩrĩ, Tũtigathĩĩra njĩra-inĩ iyo. Jeremiah 6:16.</w:t>
      </w:r>
    </w:p>
    <w:p>
      <w:pPr>
        <w:pStyle w:val="ArticleBody"/>
        <w:jc w:val="left"/>
      </w:pPr>
      <w:r>
        <w:rPr>
          <w:rFonts w:ascii="Times New Roman" w:hAnsi="Times New Roman" w:eastAsia="Times New Roman" w:cs="Times New Roman"/>
        </w:rPr>
        <w:t>“Ulukai matanauhĩ” va’e omboyke Jeremías rembiporu “tape yma guaréva” hína pe marandu Pyhare Mbyte Sapukái rehegua; upépe ojejuhu “pytu’u”, ha upéva avei hína pe “pytu’u ha ñembopyahu” hendápe nohenduséiva’ekue Isaíaspe, ha avei hína pe ñembopyahu ama pahague marandu rehegua. Upe marandu hína pe marandu Pyhare Mbyte Sapukái rehegua, ojehechaukáva umi Millerita rembiasakuépe ha oñemombe’úva umi “mesa” ári ojehechakuaáva peteĩ “kuatiañe’ẽme”. Ulukai matanauhĩ va’e omboykévo pe marandu Pyhare Mbyte Sapukái rehegua ojehechauka ijehupytyvõme “omoĩ hag̃ua Israel Santope opyta’ỹ hag̃ua henondépekuéra”. Ellen White jehecha peteĩha, Alpha ha Omega katuete oipurútava ohechauka hag̃ua opa ára, omyesakã pe tape umi hekojoja va’éva rehegua, omarkáva pe tesape iñepyrũme ha máva hína ogueraháva “aranduha” kuérape tape paha peve.</w:t>
      </w:r>
    </w:p>
    <w:p>
      <w:pPr>
        <w:pStyle w:val="ArticleScripture"/>
        <w:jc w:val="left"/>
      </w:pPr>
      <w:r>
        <w:rPr>
          <w:rFonts w:ascii="Times New Roman" w:hAnsi="Times New Roman" w:eastAsia="Times New Roman" w:cs="Times New Roman"/>
        </w:rPr>
        <w:t>“Waykang milingkag daangan aniha likod daan ta sugdan ta dalan, nga giingnan aken ta usang anghel nga mao kana ka ‘tingog ta tungang gabii.’ Kalingkag daangan aani nagsanag ta bilog nga dalan, daw naghatag ta kapawa para ta iran mga paa, aged dili iran masandad.</w:t>
      </w:r>
    </w:p>
    <w:p>
      <w:pPr>
        <w:pStyle w:val="ArticleScripture"/>
        <w:jc w:val="left"/>
      </w:pPr>
      <w:r>
        <w:rPr>
          <w:rFonts w:ascii="Times New Roman" w:hAnsi="Times New Roman" w:eastAsia="Times New Roman" w:cs="Times New Roman"/>
        </w:rPr>
        <w:t>“Bāĩma maithe marĩ na maitho mao marĩkĩte Jesũ, ũrĩa warĩ mbere yao, akũmahotithia gũthiĩ kũu gũkũrũ, nĩ maahotaga kũrĩa thayũ. No itina-inĩ andũ amwe makĩnoga, makiuga atĩ kũu gũkũrũ kwarĩ kũraya mũno, na nĩ meciiragia atĩ nĩ mangĩkinyire kuo tene. Hĩndĩ ĩyo Jesũ nĩ aarĩhoyagia ngoro na gũkinya agakinya guoko gwake kwa ũrĩa mũnene wa ũtheri; na kuuma guokoinĩ gwake gũkiumaga ũtheri ũrĩa waingĩhaga igũrũ rĩa kĩrũngano kĩa advent, nao makaanirĩria makiuga, ‘Alleluia!’ Arĩa angĩ marĩ na ũhũũri makĩgana ũtheri ũrĩa warĩ nyuma yao, makiuga atĩ ti Ngai warĩ ũmahotithirie guuma kũu nginya hau. Ũtheri ũrĩa warĩ nyuma yao ũkĩhinya, ũtigĩra magũrũ mao marĩ nduma-inĩ ndagĩthirĩru, nao makĩgũa na makĩona gĩthimo kĩu hamwe na Jesũ gĩtigĩte maitho-inĩ mao, na makĩgua kuuma njĩra-inĩ ĩyo magĩkira thĩ gũkũ thĩ-inĩ ya nduma na ya ũũru ĩrĩa yarĩ munsi.” Christian Experience and Teachings of Ellen G. White, 57.</w:t>
      </w:r>
    </w:p>
    <w:p>
      <w:pPr>
        <w:pStyle w:val="ArticleBody"/>
        <w:jc w:val="left"/>
      </w:pPr>
      <w:r>
        <w:rPr>
          <w:rFonts w:ascii="Times New Roman" w:hAnsi="Times New Roman" w:eastAsia="Times New Roman" w:cs="Times New Roman"/>
        </w:rPr>
        <w:t>Ogo kwali u sa te u ka lo gu te ŋma mu ka tsɔ tsɔ ni u ka lo gu te nu. Yesu (O Tsɔŋmɔ Kpe Nɔɔ Yisraɛl) nɛ he wɔ e ni o yɛ ni e ba kɛ e he ni wɔnɔ. Kɛji ni e ba lɛ Yesu he ni e kɛ nɔɔ lɛ e gboi-jii ni o yɛ ni “Midnight Cry” kɛji, ni e ba tsɔ he kɛ “table” mli, amɛ ni e ba yɛ lɛ e wɔ “book” mli. “Bi tsui-nyɛɛ amɛ” ni e ba kɛ Kristo “Midnight Cry” kɛji se, kɛji ni lɛ e ba tsɔ wɔnɔ ni e ba nya ni e ba ya mli, e kɛ Mawu he gbɛjɛ ni wɔnɔ, si lɛ e ba tso mli lɛ wɔnɔ kɛ. “Laa kɛ nɔ ni e gbɔ ni kɛji kɛji” la, e ye “laa” ni eklesia kɛ amɛ ni shikpon kɛ nɔɔ mli kɛji-faa ni e ba gbɔ wɔ Sunday law ni e ba ba kɛji la. Gbɛjɛ he ba “kɛji kɛji ni gboɔ ni kɛji mli,” ni e ba ye “he ni amɛkɛkerɛni gboi ni e ba gbɔ ni kɛjɛkɛjɛ mli.” E ye gbɛjɛ ni e kɛ nɔɔ kɛ “the daily” satan kɛji tsɔŋtsɔŋ ni e ba kpaa tsui-he nɔ, ni e ba tsɔ he no lɛ e ye Kristo kɛji-fii.</w:t>
      </w:r>
    </w:p>
    <w:p>
      <w:pPr>
        <w:pStyle w:val="ArticleScripture"/>
        <w:jc w:val="left"/>
      </w:pPr>
      <w:r>
        <w:rPr>
          <w:rFonts w:ascii="Times New Roman" w:hAnsi="Times New Roman" w:eastAsia="Times New Roman" w:cs="Times New Roman"/>
        </w:rPr>
        <w:t>Nukanina kuenu kuhindura ibintu ukavyubika umutwe hasi kuzoharurwa nk’ibumba ry’umubumvyi; mbega igikozwe cobwira uwagikoze kiti: Ntiyangize? canke ikibumbwe cobwira uwakibumvye kiti: Nta bwenge yari afise? Yesaya 29:16.</w:t>
      </w:r>
    </w:p>
    <w:p>
      <w:pPr>
        <w:pStyle w:val="ArticleBody"/>
        <w:jc w:val="left"/>
      </w:pPr>
      <w:r>
        <w:rPr>
          <w:rFonts w:ascii="Times New Roman" w:hAnsi="Times New Roman" w:eastAsia="Times New Roman" w:cs="Times New Roman"/>
        </w:rPr>
        <w:t>“dairee” ni, Daniel sura kumi na mbili ya mivungu inya iya mu’ono wa kinabii ihunganisha hamwe, iyo itambulisha utofauti kati ya waovu na wenye hekima. “dairee” ni kweli inachukiwa ni ahera awo apokea upotovu mkali katika 2 Wathesalonike. “dairee” yawakilisha tamaa ya “wana wa uongo” ya kumfanya Mtakatifu wa Israeli aondoke njiani yao. Na adhabu yao yawakilishwa ni kuvunjwa kwa chombo cha mfinyanzi, na kile kisalacho ni mfano wa hali ya kupotea ya wanawari wapumbavu; kwa maana kwa vipande vilivyovunjika na vilivyobaki vya hicho chombo cha mfinyanzi kilichovunjwa, “hakutapatikana” “kigae cha kutwaa moto kutoka jikonini, wala kutekea maji kutoka shimoni.”</w:t>
      </w:r>
    </w:p>
    <w:p>
      <w:pPr>
        <w:pStyle w:val="ArticleBody"/>
        <w:jc w:val="left"/>
      </w:pPr>
      <w:r>
        <w:rPr>
          <w:rFonts w:ascii="Times New Roman" w:hAnsi="Times New Roman" w:eastAsia="Times New Roman" w:cs="Times New Roman"/>
        </w:rPr>
        <w:t>“Muliro” ne “maizi” vyose ni ibimenyetso vy’Umwuka Yera, nk’uko n’amavuta ari ikigereranyo c’abigeme cumi abigereranya. Igihe Induru yo mu Gicugu izozana giturumbuka mu kanya nk’ako gukubita ijisho, nk’uko vyabaye ku nama y’ihema y’i Exeter mu kwezi kwa Munyonyo kwa 1844, bizoba bidashoboka ko “abana b’ababeshi” baronka amavuta ayo ari yo yose (amazi canke umuriro). Barahamagawe “kugaruka” inyuma y’ugutenguha kwa mbere nk’uko Yeremiya yahamagawe, ariko baranse.</w:t>
      </w:r>
    </w:p>
    <w:p>
      <w:pPr>
        <w:pStyle w:val="ArticleScripture"/>
        <w:jc w:val="left"/>
      </w:pPr>
      <w:r>
        <w:rPr>
          <w:rFonts w:ascii="Times New Roman" w:hAnsi="Times New Roman" w:eastAsia="Times New Roman" w:cs="Times New Roman"/>
        </w:rPr>
        <w:t>A Biswa byo byasangwîre, nzaabirya; kandi ijambo ryawe ryambereye umunezero n’ibyishimo by’umutima wanjye; kuko nitirirwa izina ryawe, Uwiteka Imana Nyiringabo. Sinicaye mu iteraniro ry’abakobanyi, habe no kwishimana na bo; nicaye jyenyine kubera ukuboko kwawe: kuko wanyujujemo uburakari. Ni iki gituma ububabare bwanjye buhoraho, n’igikomere cyanjye kikaba kidakira, cyanga gukira? Mbese koko uzambera nk’umubeshyi, kandi nk’amazi ayoyoka? Ni cyo gituma Uwiteka avuga atya ati: Nugaruka, nanjye nzakugarura, kandi uzahagarara imbere yanjye; kandi nutandukanya iby’igiciro n’ibitagira umumaro, uzamera nk’akanwa kanjye: bo bazakugarukira, ariko wowe ntuzabasange. Kandi nzakugira inkike ikomeye y’umuringa kuri ubu bwoko: kandi bazakurwanya, ariko ntibazakunesha: kuko ndi kumwe nawe kugira ngo ngukize kandi nkurokore, ni ko Uwiteka avuga. Kandi nzagukiza ukuboko kw’abanyabyaha, kandi nzagucungura ukuboko kw’abanyamwaga. Yeremiya 15:16–21.</w:t>
      </w:r>
    </w:p>
    <w:p>
      <w:pPr>
        <w:pStyle w:val="ArticleBody"/>
        <w:jc w:val="left"/>
      </w:pPr>
      <w:r>
        <w:rPr>
          <w:rFonts w:ascii="Times New Roman" w:hAnsi="Times New Roman" w:eastAsia="Times New Roman" w:cs="Times New Roman"/>
        </w:rPr>
        <w:t>Yeremia ni wale waliorejea baada ya kukatishwa tamaa kwa kwanza. Ni wale walioingia katika kazi ya kutenga “kilicho cha thamani na kilicho kibaya,” ili “kusimama mbele za” Bwana na kuwa “kinywa” cha Bwana. Hao ndio wanaowakilishwa na Danieli katika sura ya tisa, kama wanaoelewa hali yao ya kutawanyika, na baadaye kuomba ombi la Mambo ya Walawi ishirini na sita. Hao ndio wanaowakilishwa na Danieli, Yeremia, na walinzi wa Habakuki, wanaowekwa kinyume na “watoto wa uongo.” “Watoto wa uongo” hao pia waliitwa na “Mtakatifu wa Israeli” aliposema, “katika kurudi na kustarehe mtaokolewa; katika utulivu na tumaini ndipo utakapokuwa nguvu zenu; lakini hamkutaka”.</w:t>
      </w:r>
    </w:p>
    <w:p>
      <w:pPr>
        <w:pStyle w:val="ArticleBody"/>
        <w:jc w:val="left"/>
      </w:pPr>
      <w:r>
        <w:rPr>
          <w:rFonts w:ascii="Times New Roman" w:hAnsi="Times New Roman" w:eastAsia="Times New Roman" w:cs="Times New Roman"/>
        </w:rPr>
        <w:t>Vito vya thamani vya Miller ni kweli zinazowakilishwa juu ya mbao za Habakuki, ambazo zinawakilisha jaribu la ujumbe wa Kilio cha Usiku wa Manane linalozalisha makundi mawili ya waabudu. Alama ya uasi unaodhihirishwa dhidi ya vito hivyo vya thamani ni “sadaka ya daima.” Miller alikuwa sahihi katika ufahamu wake wa “sadaka ya daima,” lakini ufahamu wake ulikuwa na mipaka kwa sababu ya historia aliyoiishi, na vito vya thamani alivyozoea kuviweka juu ya meza katikati ya chumba chake sasa vinang’aa mara kumi zaidi kuliko vilivyong’aa wakati Miller alipoviweka kwanza juu ya meza yake. Sasa vimo ndani ya kisanduku kilicho kikubwa zaidi, kwa maana kisanduku hicho sasa hakiwakilishi Biblia peke yake tu, kama ilivyokuwa katika siku za Miller, bali sasa kinawakilisha Biblia pamoja na Roho ya Unabii.</w:t>
      </w:r>
    </w:p>
    <w:p>
      <w:pPr>
        <w:pStyle w:val="ArticleBody"/>
        <w:jc w:val="left"/>
      </w:pPr>
      <w:r>
        <w:rPr>
          <w:rFonts w:ascii="Times New Roman" w:hAnsi="Times New Roman" w:eastAsia="Times New Roman" w:cs="Times New Roman"/>
        </w:rPr>
        <w:t>Ku mashahidi hawa wawili ndio wanaozalisha nuru ya kupima katika siku za mwisho, na ni mashahidi hawa wawili ndio wanaokuwa uwanja mkuu wa vita katika siku za mwisho. Miller aliona pambano hilo, kwa maana katika ndoto yake waliichukua sanduku lake la maiti (Biblia), wakalirarua. Yohana, akiwawakilisha “wenye hekima” katika siku za mwisho, “alikuwa katika kisiwa kiitwacho Patmo, kwa ajili ya neno la Mungu, na ushuhuda wa Yesu Kristo.” Yohana alikuwa akiteswa kwa kuamini ujumbe wa Biblia na maandishi ya Ellen White.</w:t>
      </w:r>
    </w:p>
    <w:p>
      <w:pPr>
        <w:pStyle w:val="ArticleBody"/>
        <w:jc w:val="left"/>
      </w:pPr>
      <w:r>
        <w:rPr>
          <w:rFonts w:ascii="Times New Roman" w:hAnsi="Times New Roman" w:eastAsia="Times New Roman" w:cs="Times New Roman"/>
        </w:rPr>
        <w:t>Atwende bintu bya cine bibikijwe ne kimwesho kya Mwela wa Ulai, ico cabumbulwibwe mu 1798, mu ciyandiko gikurikira.</w:t>
      </w:r>
    </w:p>
    <w:p>
      <w:pPr>
        <w:pStyle w:val="ArticleScripture"/>
        <w:jc w:val="left"/>
      </w:pPr>
      <w:r>
        <w:rPr>
          <w:rFonts w:ascii="Times New Roman" w:hAnsi="Times New Roman" w:eastAsia="Times New Roman" w:cs="Times New Roman"/>
        </w:rPr>
        <w:t>“Kwa wakati ujao hatuna jambo la kuogopa, isipokuwa tu pale tutakaposahau njia ambayo Bwana ametuongoza, na mafundisho yake katika historia yetu ya zamani.” Life Sketches, 196.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Pirtûka Danyêlê - Hejmar Çil û Neh</dc:title>
  <dc:subject>Kumfunua Buleefu: Lijwi lya Pakachi ka Bufuku, Lubaka lwa Uislamu, ne Ndubo ya Kupimwamo ya Kumalilapo mu Mikwabo ya Kulekelesha</dc:subject>
  <dc:creator>Jeff Pippenger</dc:creator>
  <cp:keywords/>
  <dc:description>Generated by ArticleDigger from daniel\49_daniel.json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