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 Kitab de Daniel - Numero Setenta y Cinco</w:t>
      </w:r>
    </w:p>
    <w:p>
      <w:pPr>
        <w:pStyle w:val="ArticleSubtitle"/>
        <w:jc w:val="left"/>
      </w:pPr>
      <w:r>
        <w:rPr>
          <w:rFonts w:ascii="Arial" w:hAnsi="Arial" w:eastAsia="Arial" w:cs="Arial"/>
        </w:rPr>
        <w:t>Ubwiruzanye bwo mu Buhanuzi: Kuva ku Butumwa bwa Yesaya kugera ku Ibyahishuwe byo muri Iyi Minsi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Aisaia akamwambulira omubaka ogukiikiriddwa emyaka nkaaga mu etaano (essuula ey’omusanvu, olunyiriri olw’omunaana), eri omukulembeze omubi owa Yerusaalemi, yakikola ng’ayimiridde ku “nnimiro ey’omwozi w’engoye” ne ku “nkomerero y’omukutu gw’amazzi ogw’ekidiba eky’engulu,” mu mwaka 742 BC. 742 BC ekiikirira 1863, kubanga Yesu bulijjo alaga enkomerero ng’asinziira ku ntandikwa. Okwewaggula okw’omu 1863 nakwo kukiikirira etteeka lya Ssande mu Amerika, kubanga Yesu bulijjo alaga enkomerero y’ekintu ng’asinziira ku ntandikwa y’ekintu. 1863 gwe gwali omwaka ogw’entandikwa y’ekkanisa y’Abadiventiya ey’e Lawodikiya eyawandiikibwa mu mateeka, era ekkanisa eyo ererekebwa nga temuli muntu ku “kunkumuka kw’ensi okunene” okw’etteeka lya Ssande. Kkampuni etwalibwa mu mateeka gavumenti (so si ekkanisa okufuga gavumenti), esobola etya okweyongera okuyimirizaawo Ssande y’olunaku olw’omusanvu, mu kiseera gavumenti eyo yennyini lwe ebeera mu mateeka eziyiza okusinza ku lunaku olw’omusanvu?</w:t>
      </w:r>
    </w:p>
    <w:p>
      <w:pPr>
        <w:pStyle w:val="ArticleBody"/>
        <w:jc w:val="left"/>
      </w:pPr>
      <w:r>
        <w:rPr>
          <w:rFonts w:ascii="Times New Roman" w:hAnsi="Times New Roman" w:eastAsia="Times New Roman" w:cs="Times New Roman"/>
        </w:rPr>
        <w:t>Kristo pa milpuunan ay pamagwakas nin kaniyang ministeryo, nilinis niya an templo. Sa enot na paglinis kan templo, ipinakilala ni Kristo na ginibo kan mga pinuno an “harong kan saiyang Ama” na sarongan nin mga tulisan; alagad sa huring paglinis kan templo, ipinakilala niya na an “saindang harong” pinabayaan sa sainda na wasak asin tiwangwang. An daang Israel inulad kan makabagong Israel. Itinindog asin nilinis niya an templong Millerite sa pamugtak kan Adventismo, alagad sa huring paglinis, an paglinis kan sarong gatos asin kapatnapat na libo, an Laodicean na Adventismo isinusuka hale sa saiyang nganga, asin an “saindang harong” pinababayaan nang tiwangwang.</w:t>
      </w:r>
    </w:p>
    <w:p>
      <w:pPr>
        <w:pStyle w:val="ArticleBody"/>
        <w:jc w:val="left"/>
      </w:pPr>
      <w:r>
        <w:rPr>
          <w:rFonts w:ascii="Times New Roman" w:hAnsi="Times New Roman" w:eastAsia="Times New Roman" w:cs="Times New Roman"/>
        </w:rPr>
        <w:t>Yesaya aali mu nsalo ya omulimu gw’omwozi bw’ayolekagana ne kabaka Akazi. Omulimu gw’omwozi guukiikirira okutukululwa okwakolebwa Omubaka ow’Endagaano, ajja mu kkanisa ye amangu, era n’atukulula batabani ba Leevi nga bw’akozesa “ensabbuuni ey’omwozi.” Okutukululwa kuno kwatuukirizibwa ku ntandikwa y’Obwadiventi, era kutuukirizibwa nate ku nkomerero.</w:t>
      </w:r>
    </w:p>
    <w:p>
      <w:pPr>
        <w:pStyle w:val="ArticleScripture"/>
        <w:jc w:val="left"/>
      </w:pPr>
      <w:r>
        <w:rPr>
          <w:rFonts w:ascii="Times New Roman" w:hAnsi="Times New Roman" w:eastAsia="Times New Roman" w:cs="Times New Roman"/>
        </w:rPr>
        <w:t>Binêre, ez ê peyamberê xwe bişînim, û ew ê rê li pêş min amade bike; û Xudanê ku hûn lê digerin, ji nişkê ve dê were perestgeha xwe, ango peyamberê peymanê, yê ku hûn jê kêfxweş in: binêre, ew dê were, Xudanê artêşan dibêje. Lê kî dikare roja hatina wî ragire? û kî dê dema ew xuya bibe bisekine? çimkî ew wek agirê paqijker e, û wek sabûna şûştvanan e: Û ew dê wek paqijker û paqijkerê zîv rûne; û ew dê kurên Levî paqij bike, û wan wek zêr û zîv safî bike, da ku ew ji bo Xudan pêşkêşiyek bi rastdariyê pêşkêş bikin. Hingê pêşkêşiya Yehûda û Orşelîm dê li ba Xudan xweş be, wek di rojên kevnar de, û wek di salên berê de. Malakî 3:1–4.</w:t>
      </w:r>
    </w:p>
    <w:p>
      <w:pPr>
        <w:pStyle w:val="ArticleBody"/>
        <w:jc w:val="left"/>
      </w:pPr>
      <w:r>
        <w:rPr>
          <w:rFonts w:ascii="Times New Roman" w:hAnsi="Times New Roman" w:eastAsia="Times New Roman" w:cs="Times New Roman"/>
        </w:rPr>
        <w:t>Isaya akakumana ndi Ahazi, pamodzi ndi chizindikiro cha mwana wake wamwamuna, amene dzina lake likuyimira kuti m’masiku otsiriza “otsala adzabwerera.” Otsalawo ndi amene “abwerera.” Isaya akakumana ndi mfumu yoipa Ahazi m’mbiri ya kuyeretsedwa kwa kachisi, imene inayamba m’mbiri ya a Millerite mu 1844, ndipo inafikitsidwa kumapeto chifukwa cha kusamvera mu 1863. M’masiku otsiriza kuyeretsako ndi mbiri ya kusindikizidwa kwa anthu zikwi zana limodzi makumi anayi ndi zinayi. A Millerite akadatsatira chisamaliro chotseguka cha Mulungu chimene chinatsatira 1844, akadamaliza ntchitoyo.</w:t>
      </w:r>
    </w:p>
    <w:p>
      <w:pPr>
        <w:pStyle w:val="ArticleScripture"/>
        <w:jc w:val="left"/>
      </w:pPr>
      <w:r>
        <w:rPr>
          <w:rFonts w:ascii="Times New Roman" w:hAnsi="Times New Roman" w:eastAsia="Times New Roman" w:cs="Times New Roman"/>
        </w:rPr>
        <w:t>“Nîger Adventîstan, piştî bêhêvîbûna mezin a sala 1844-an, bi baweriya xwe ve sax mabana û bi yekgirtî di pêşbirka vekirî ya Xwedê de bişopandana, peyama milyaketê sêyem qebûl kiribana û bi hêza Ruhê Pîroz ew ji cîhanê re ragihandibana, ew ê xilasbûna Xwedê dîtibana, Xudanê me bi hêzek mezin bi hewildanên wan re kar kiribûya, kar ê hatibû temamkirin, û Mesîh heta niha hatibû ku gelê xwe ji bo xelata wan werbigire. Lê di dema guman û nezelaliyê de ku piştî wê bêhêvîbûnê hat, gelek ji bawermendên adventî baweriya xwe berdan.... Bi vî awayî kar hate astengkirin, û cîhan di tariyê de hate hiştin. Heger hemû laşê Adventîstî li ser fermanên Xwedê û baweriya Îsa yekgirtî bibûya, dîroka me çiqas berbiçav cuda dibû!” Evangelism, 695.</w:t>
      </w:r>
    </w:p>
    <w:p>
      <w:pPr>
        <w:pStyle w:val="ArticleBody"/>
        <w:jc w:val="left"/>
      </w:pPr>
      <w:r>
        <w:rPr>
          <w:rFonts w:ascii="Times New Roman" w:hAnsi="Times New Roman" w:eastAsia="Times New Roman" w:cs="Times New Roman"/>
        </w:rPr>
        <w:t>“Nyasaye aheewa kaluole kalala mu kuvumbuliwa kw’obulole bwaye” ukulema, kwabaleetera okwingira mu mbeho ya Laodikea mu mwaka gwa 1856, era obujeemu obwaddirira mu 1863, bwateekawo entandikwa y’okubunga mu ddungu okwoleseddwa Isiraeri ow’edda bwe baalemwa ekigezo kyabwe eky’ekkumi era eky’enkomerero, ne balyoka basalirwa omusango gw’okufiira mu ddungu mu myaka amakumi ana egyaddirira.</w:t>
      </w:r>
    </w:p>
    <w:p>
      <w:pPr>
        <w:pStyle w:val="ArticleBody"/>
        <w:jc w:val="left"/>
      </w:pPr>
      <w:r>
        <w:rPr>
          <w:rFonts w:ascii="Times New Roman" w:hAnsi="Times New Roman" w:eastAsia="Times New Roman" w:cs="Times New Roman"/>
        </w:rPr>
        <w:t>کورِ ئیشایا ئەو بەڵێنە دابین دەکات کە لە پاککردنەوەی کۆتایی پەرستگای ڕۆژانی دواوەدا «پاشماوەیەک دەگەڕێتەوە.» ئەم «گەڕانەوە»یەیان بە یەرمیا وێنا کراوە، کە پێی بەڵێن درا ئەگەر «بگەڕێتەوە،» دەبێتە چاودێری خودا. سەد و چل و چوار هەزارەکە ئەوانەن کە لە ناڕەزایەتییەکەوە گەڕاونەتەوە.</w:t>
      </w:r>
    </w:p>
    <w:p>
      <w:pPr>
        <w:pStyle w:val="ArticleBody"/>
        <w:jc w:val="left"/>
      </w:pPr>
      <w:r>
        <w:rPr>
          <w:rFonts w:ascii="Times New Roman" w:hAnsi="Times New Roman" w:eastAsia="Times New Roman" w:cs="Times New Roman"/>
        </w:rPr>
        <w:t>Avo ve ova ni vei 144,000 era sa sotava na veivakacalai ka waraka na nodra Turaga. Era sa vakatakarakarataki ena kedra italanoa na goneyalewa yalomatua ena itukutuku vakaitukutuku ni Millerite, ka ena rua ruarua na itekitekivu kei na itinitini ni veitabagauna ni talanoa, e rua na kau sa vakaduavatataki me dua ga na matanitu, ena gauna ni sovaraki ni Yalo Tabu ena gauna ni Kaci ni Lomaloma ni Bogilevu.</w:t>
      </w:r>
    </w:p>
    <w:p>
      <w:pPr>
        <w:pStyle w:val="ArticleBody"/>
        <w:jc w:val="left"/>
      </w:pPr>
      <w:r>
        <w:rPr>
          <w:rFonts w:ascii="Times New Roman" w:hAnsi="Times New Roman" w:eastAsia="Times New Roman" w:cs="Times New Roman"/>
        </w:rPr>
        <w:t>Umwami omubi Ahazi agereranya ubuyobozi bw’u Buyuda buzaba bwarumvise ubutumwa, nyamara bukanga ubutumwa bwatanzwe na Yesaya; kandi mu kubigenza butyo “bazasitara, bagwe, bamenagurwe, bafatwe mu mutego, kandi bafatwe.” Abo ni bo “bashaka abavugana n’imyuka y’abapfuye, n’abapfumu bavuga buhoro, bakongorera,” bikagereranya ubunararibonye bw’ubupfumu n’ubupfumu bw’imyuka bemeramo uko bakira ubuyobe bukomeye bwo muri 2 Abatesalonike. Ukwanga kwa Ahazi ubutumwa bwa Yesaya mu wa 742 Mbere ya Kristo guhuje na 1863, igihe ubutumwa bwa Miller bwangwaga. Yesaya agereranya Miller, kandi ubutumwa bwa Yesaya na Miller bwombi bwari bushingiye kuri “inshuro ndwi,” zifite aho zishingiye mu murongo wa munani w’igice cya karindwi cya Yesaya. Umwana wa Miller (umwana wa Yesaya) agereranya urug movement rw’Umuhanuzi Eliya ruza mu minsi y’imperuka.</w:t>
      </w:r>
    </w:p>
    <w:p>
      <w:pPr>
        <w:pStyle w:val="ArticleBody"/>
        <w:jc w:val="left"/>
      </w:pPr>
      <w:r>
        <w:rPr>
          <w:rFonts w:ascii="Times New Roman" w:hAnsi="Times New Roman" w:eastAsia="Times New Roman" w:cs="Times New Roman"/>
        </w:rPr>
        <w:t>Ukukōnshwa okwamelene lo-Ahazi ngenxa yokwala kwakhe kwakuhlanganisa lesiprofetho sokuthi uzanqotshwa yinkosi yasenyakatho, eyathi ezinsukwini zokucina iyinyunyana ephindwe kathathu yeRoma yesimanje, ebuswa bupapa.</w:t>
      </w:r>
    </w:p>
    <w:p>
      <w:pPr>
        <w:pStyle w:val="ArticleScripture"/>
        <w:jc w:val="left"/>
      </w:pPr>
      <w:r>
        <w:rPr>
          <w:rFonts w:ascii="Times New Roman" w:hAnsi="Times New Roman" w:eastAsia="Times New Roman" w:cs="Times New Roman"/>
        </w:rPr>
        <w:t>Bwana akasema nami tena, akisema, Kwa kuwa watu hawa wanakataa maji ya Shiloha yanayokwenda polepole, nao wanamfurahia Rezini na mwana wa Remalia; basi sasa, tazama, Bwana analeta juu yao maji ya mto, yenye nguvu na mengi, yaani, mfalme wa Ashuru, na utukufu wake wote; naye atafurika juu ya mifereji yake yote, na kuvuka kingo zake zote; naye atapita katika Yuda; atafurika na kupita juu, atafika hata shingoni; na kutanuka kwa mabawa yake kutaijaza upana wa nchi yako, Ee Imanueli. Isaya 8:5–8.</w:t>
      </w:r>
    </w:p>
    <w:p>
      <w:pPr>
        <w:pStyle w:val="ArticleBody"/>
        <w:jc w:val="left"/>
      </w:pPr>
      <w:r>
        <w:rPr>
          <w:rFonts w:ascii="Times New Roman" w:hAnsi="Times New Roman" w:eastAsia="Times New Roman" w:cs="Times New Roman"/>
        </w:rPr>
        <w:t>Yisaya alikutana na mfalme mwovu Ahazi penye mwisho wa mfereji wa birika la juu; na ijapokuwa miongoni mwa wanahistoria wa Biblia na wanaakiolojia kuna kutokuwa na uhakika ikiwa birika la juu lilikuwa ndilo birika lilelile la Siloamu katika wakati wa Kristo, muktadha wa unabii wa Yisaya huondoa shaka yote, kwa maana Yisaya anaonyesha kwamba mfalme wa kaskazini angekuja juu ya Ahazi, kwa sababu alikuwa amekataa maji ya Shiloa yateremkayo kwa upole. “Shiloa” ndilo jina la Agano la Kale la “Siloamu” katika Agano Jipya.</w:t>
      </w:r>
    </w:p>
    <w:p>
      <w:pPr>
        <w:pStyle w:val="ArticleBody"/>
        <w:jc w:val="left"/>
      </w:pPr>
      <w:r>
        <w:rPr>
          <w:rFonts w:ascii="Times New Roman" w:hAnsi="Times New Roman" w:eastAsia="Times New Roman" w:cs="Times New Roman"/>
        </w:rPr>
        <w:t>Siloam’in havuzunda İsa kör adamı iyileştirdi; kötü kral Ahaz ise hem 1863’te, hem de yakında gelecek Pazar yasasında iyileştirilmeyi reddeden kör Laodikya önderliğini temsil eder. “Şiloah” ve “Siloam” her ikisi de “gönderilmiş” anlamına gelir; Baba’dan Oğul’a bir mesaj gönderildi, O da onu Cebrail’e ve kutsal meleklere verdi; onlar da bunu Yeşaya’ya ilettiler; Yeşaya da gökten “gönderilmiş” olan mesajı kör bir Laodikya önderine getirdi.</w:t>
      </w:r>
    </w:p>
    <w:p>
      <w:pPr>
        <w:pStyle w:val="ArticleBody"/>
        <w:jc w:val="left"/>
      </w:pPr>
      <w:r>
        <w:rPr>
          <w:rFonts w:ascii="Times New Roman" w:hAnsi="Times New Roman" w:eastAsia="Times New Roman" w:cs="Times New Roman"/>
        </w:rPr>
        <w:t>Umuyoboro uva ku kidendezi cyo hejuru, aho Yesaya yatangiye ubutumwa, ugereranya ahantu imvura y’Umwuka Wera inyuzwa ikagezwa ku bwoko bw’Imana, nk’uko nanone bigereranywa n’imiyoboro ya zahabu yo mu iyerekwa rya Zekariya, cyangwa urwego rwo mu nzozi za Yakobo.</w:t>
      </w:r>
    </w:p>
    <w:p>
      <w:pPr>
        <w:pStyle w:val="ArticleScripture"/>
        <w:jc w:val="left"/>
      </w:pPr>
      <w:r>
        <w:rPr>
          <w:rFonts w:ascii="Times New Roman" w:hAnsi="Times New Roman" w:eastAsia="Times New Roman" w:cs="Times New Roman"/>
        </w:rPr>
        <w:t>“EnciA mAnu D mAceA noArA, nInA nnA ZecariA, O 3 wI O 4, nA 4:12–14 mA a yi ni: ‘nA mA tA cI yiA mA, nA mA yi waA i mA, nI yiA mA, A mAnA mAsi zaitiA kAdA niA ini, mA nAsiA mAsiA kAnA zAbA kAdA yiA, mA mAsiA mAsiA zAriA mAyiA nA kAnA zAbA yiA nA kAbA iA? nA O tA cI yiA mA nA yi waA i mA, E cA yiA nA ini? nA mA yi waA iA, nAyi, ya Ubangijina. nA O yi waA, Ini cA mA, yiA mAsiA cI kAdA niA, mA yi tsAriA gAbA Ubangiji na duniA dukaA.’”</w:t>
      </w:r>
    </w:p>
    <w:p>
      <w:pPr>
        <w:pStyle w:val="ArticleScripture"/>
        <w:jc w:val="left"/>
      </w:pPr>
      <w:r>
        <w:rPr>
          <w:rFonts w:ascii="Times New Roman" w:hAnsi="Times New Roman" w:eastAsia="Times New Roman" w:cs="Times New Roman"/>
        </w:rPr>
        <w:t>“Bwana amejawa na rasilimali. Yeye hana upungufu wa vifaa wala njia. Ni kwa sababu ya upungufu wa imani yetu, ya kuushikamana kwetu na mambo ya dunia, ya maneno yetu mepesi, ya kutokuamini kwetu, kunakodhihirishwa katika mazungumzo yetu, ndipo vivuli vya giza hukusanyika kutuzunguka. Kristo hadhihirishwi katika neno wala katika tabia kama Yeye aliye wa kupendeza kabisa, na Mkuu kuliko elfu kumi. Roho inapotosheka kwa kujiinua yenyewe kwa ubatili, Roho wa Bwana hawezi kuifanyia mengi. Maono yetu mafupi huona kivuli, bali hayawezi kuuona utukufu ulio ng’ambo yake. Malaika wanazizuia pepo nne, zinazowakilishwa kama farasi mwenye hasira atafutaye kujinasua na kwenda mbio juu ya uso wa dunia yote, akibeba uharibifu na mauti katika njia yake.”</w:t>
      </w:r>
    </w:p>
    <w:p>
      <w:pPr>
        <w:pStyle w:val="ArticleScripture"/>
        <w:jc w:val="left"/>
      </w:pPr>
      <w:r>
        <w:rPr>
          <w:rFonts w:ascii="Microsoft YaHei" w:hAnsi="Microsoft YaHei" w:eastAsia="Microsoft YaHei" w:cs="Microsoft YaHei"/>
        </w:rPr>
        <w:t>「永遠</w:t>
      </w:r>
      <w:r>
        <w:rPr>
          <w:rFonts w:ascii="MS Gothic" w:hAnsi="MS Gothic" w:eastAsia="MS Gothic" w:cs="MS Gothic"/>
        </w:rPr>
        <w:t>の</w:t>
      </w:r>
      <w:r>
        <w:rPr>
          <w:rFonts w:ascii="Microsoft YaHei" w:hAnsi="Microsoft YaHei" w:eastAsia="Microsoft YaHei" w:cs="Microsoft YaHei"/>
        </w:rPr>
        <w:t>世界</w:t>
      </w:r>
      <w:r>
        <w:rPr>
          <w:rFonts w:ascii="MS Gothic" w:hAnsi="MS Gothic" w:eastAsia="MS Gothic" w:cs="MS Gothic"/>
        </w:rPr>
        <w:t>のまさに</w:t>
      </w:r>
      <w:r>
        <w:rPr>
          <w:rFonts w:ascii="Microsoft YaHei" w:hAnsi="Microsoft YaHei" w:eastAsia="Microsoft YaHei" w:cs="Microsoft YaHei"/>
        </w:rPr>
        <w:t>間際</w:t>
      </w:r>
      <w:r>
        <w:rPr>
          <w:rFonts w:ascii="MS Gothic" w:hAnsi="MS Gothic" w:eastAsia="MS Gothic" w:cs="MS Gothic"/>
        </w:rPr>
        <w:t>にいながら</w:t>
      </w:r>
      <w:r>
        <w:rPr>
          <w:rFonts w:ascii="Microsoft YaHei" w:hAnsi="Microsoft YaHei" w:eastAsia="Microsoft YaHei" w:cs="Microsoft YaHei"/>
        </w:rPr>
        <w:t>、</w:t>
      </w:r>
      <w:r>
        <w:rPr>
          <w:rFonts w:ascii="MS Gothic" w:hAnsi="MS Gothic" w:eastAsia="MS Gothic" w:cs="MS Gothic"/>
        </w:rPr>
        <w:t>われわれは</w:t>
      </w:r>
      <w:r>
        <w:rPr>
          <w:rFonts w:ascii="Microsoft YaHei" w:hAnsi="Microsoft YaHei" w:eastAsia="Microsoft YaHei" w:cs="Microsoft YaHei"/>
        </w:rPr>
        <w:t>眠</w:t>
      </w:r>
      <w:r>
        <w:rPr>
          <w:rFonts w:ascii="MS Gothic" w:hAnsi="MS Gothic" w:eastAsia="MS Gothic" w:cs="MS Gothic"/>
        </w:rPr>
        <w:t>っていてよいのであろうか</w:t>
      </w:r>
      <w:r>
        <w:rPr>
          <w:rFonts w:ascii="Times New Roman" w:hAnsi="Times New Roman" w:eastAsia="Times New Roman" w:cs="Times New Roman"/>
        </w:rPr>
        <w:t>.</w:t>
      </w:r>
      <w:r>
        <w:rPr>
          <w:rFonts w:ascii="Microsoft YaHei" w:hAnsi="Microsoft YaHei" w:eastAsia="Microsoft YaHei" w:cs="Microsoft YaHei"/>
        </w:rPr>
        <w:t>鈍</w:t>
      </w:r>
      <w:r>
        <w:rPr>
          <w:rFonts w:ascii="MS Gothic" w:hAnsi="MS Gothic" w:eastAsia="MS Gothic" w:cs="MS Gothic"/>
        </w:rPr>
        <w:t>く</w:t>
      </w:r>
      <w:r>
        <w:rPr>
          <w:rFonts w:ascii="Microsoft YaHei" w:hAnsi="Microsoft YaHei" w:eastAsia="Microsoft YaHei" w:cs="Microsoft YaHei"/>
        </w:rPr>
        <w:t>、冷</w:t>
      </w:r>
      <w:r>
        <w:rPr>
          <w:rFonts w:ascii="MS Gothic" w:hAnsi="MS Gothic" w:eastAsia="MS Gothic" w:cs="MS Gothic"/>
        </w:rPr>
        <w:t>たく</w:t>
      </w:r>
      <w:r>
        <w:rPr>
          <w:rFonts w:ascii="Microsoft YaHei" w:hAnsi="Microsoft YaHei" w:eastAsia="Microsoft YaHei" w:cs="Microsoft YaHei"/>
        </w:rPr>
        <w:t>、死</w:t>
      </w:r>
      <w:r>
        <w:rPr>
          <w:rFonts w:ascii="MS Gothic" w:hAnsi="MS Gothic" w:eastAsia="MS Gothic" w:cs="MS Gothic"/>
        </w:rPr>
        <w:t>んだようであってよいのであろうか</w:t>
      </w:r>
      <w:r>
        <w:rPr>
          <w:rFonts w:ascii="Times New Roman" w:hAnsi="Times New Roman" w:eastAsia="Times New Roman" w:cs="Times New Roman"/>
        </w:rPr>
        <w:t>.</w:t>
      </w:r>
      <w:r>
        <w:rPr>
          <w:rFonts w:ascii="MS Gothic" w:hAnsi="MS Gothic" w:eastAsia="MS Gothic" w:cs="MS Gothic"/>
        </w:rPr>
        <w:t>ああ</w:t>
      </w:r>
      <w:r>
        <w:rPr>
          <w:rFonts w:ascii="Microsoft YaHei" w:hAnsi="Microsoft YaHei" w:eastAsia="Microsoft YaHei" w:cs="Microsoft YaHei"/>
        </w:rPr>
        <w:t>、</w:t>
      </w:r>
      <w:r>
        <w:rPr>
          <w:rFonts w:ascii="MS Gothic" w:hAnsi="MS Gothic" w:eastAsia="MS Gothic" w:cs="MS Gothic"/>
        </w:rPr>
        <w:t>われわれの</w:t>
      </w:r>
      <w:r>
        <w:rPr>
          <w:rFonts w:ascii="Microsoft YaHei" w:hAnsi="Microsoft YaHei" w:eastAsia="Microsoft YaHei" w:cs="Microsoft YaHei"/>
        </w:rPr>
        <w:t>教会</w:t>
      </w:r>
      <w:r>
        <w:rPr>
          <w:rFonts w:ascii="MS Gothic" w:hAnsi="MS Gothic" w:eastAsia="MS Gothic" w:cs="MS Gothic"/>
        </w:rPr>
        <w:t>において</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御霊</w:t>
      </w:r>
      <w:r>
        <w:rPr>
          <w:rFonts w:ascii="MS Gothic" w:hAnsi="MS Gothic" w:eastAsia="MS Gothic" w:cs="MS Gothic"/>
        </w:rPr>
        <w:t>と</w:t>
      </w:r>
      <w:r>
        <w:rPr>
          <w:rFonts w:ascii="Microsoft YaHei" w:hAnsi="Microsoft YaHei" w:eastAsia="Microsoft YaHei" w:cs="Microsoft YaHei"/>
        </w:rPr>
        <w:t>息吹</w:t>
      </w:r>
      <w:r>
        <w:rPr>
          <w:rFonts w:ascii="MS Gothic" w:hAnsi="MS Gothic" w:eastAsia="MS Gothic" w:cs="MS Gothic"/>
        </w:rPr>
        <w:t>とがその</w:t>
      </w:r>
      <w:r>
        <w:rPr>
          <w:rFonts w:ascii="Microsoft YaHei" w:hAnsi="Microsoft YaHei" w:eastAsia="Microsoft YaHei" w:cs="Microsoft YaHei"/>
        </w:rPr>
        <w:t>民</w:t>
      </w:r>
      <w:r>
        <w:rPr>
          <w:rFonts w:ascii="MS Gothic" w:hAnsi="MS Gothic" w:eastAsia="MS Gothic" w:cs="MS Gothic"/>
        </w:rPr>
        <w:t>のうちに</w:t>
      </w:r>
      <w:r>
        <w:rPr>
          <w:rFonts w:ascii="Microsoft YaHei" w:hAnsi="Microsoft YaHei" w:eastAsia="Microsoft YaHei" w:cs="Microsoft YaHei"/>
        </w:rPr>
        <w:t>吹</w:t>
      </w:r>
      <w:r>
        <w:rPr>
          <w:rFonts w:ascii="MS Gothic" w:hAnsi="MS Gothic" w:eastAsia="MS Gothic" w:cs="MS Gothic"/>
        </w:rPr>
        <w:t>き</w:t>
      </w:r>
      <w:r>
        <w:rPr>
          <w:rFonts w:ascii="Microsoft YaHei" w:hAnsi="Microsoft YaHei" w:eastAsia="Microsoft YaHei" w:cs="Microsoft YaHei"/>
        </w:rPr>
        <w:t>込</w:t>
      </w:r>
      <w:r>
        <w:rPr>
          <w:rFonts w:ascii="MS Gothic" w:hAnsi="MS Gothic" w:eastAsia="MS Gothic" w:cs="MS Gothic"/>
        </w:rPr>
        <w:t>まれ</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自分</w:t>
      </w:r>
      <w:r>
        <w:rPr>
          <w:rFonts w:ascii="MS Gothic" w:hAnsi="MS Gothic" w:eastAsia="MS Gothic" w:cs="MS Gothic"/>
        </w:rPr>
        <w:t>の</w:t>
      </w:r>
      <w:r>
        <w:rPr>
          <w:rFonts w:ascii="Microsoft YaHei" w:hAnsi="Microsoft YaHei" w:eastAsia="Microsoft YaHei" w:cs="Microsoft YaHei"/>
        </w:rPr>
        <w:t>足</w:t>
      </w:r>
      <w:r>
        <w:rPr>
          <w:rFonts w:ascii="MS Gothic" w:hAnsi="MS Gothic" w:eastAsia="MS Gothic" w:cs="MS Gothic"/>
        </w:rPr>
        <w:t>で</w:t>
      </w:r>
      <w:r>
        <w:rPr>
          <w:rFonts w:ascii="Microsoft YaHei" w:hAnsi="Microsoft YaHei" w:eastAsia="Microsoft YaHei" w:cs="Microsoft YaHei"/>
        </w:rPr>
        <w:t>立</w:t>
      </w:r>
      <w:r>
        <w:rPr>
          <w:rFonts w:ascii="MS Gothic" w:hAnsi="MS Gothic" w:eastAsia="MS Gothic" w:cs="MS Gothic"/>
        </w:rPr>
        <w:t>ち</w:t>
      </w:r>
      <w:r>
        <w:rPr>
          <w:rFonts w:ascii="Microsoft YaHei" w:hAnsi="Microsoft YaHei" w:eastAsia="Microsoft YaHei" w:cs="Microsoft YaHei"/>
        </w:rPr>
        <w:t>、生</w:t>
      </w:r>
      <w:r>
        <w:rPr>
          <w:rFonts w:ascii="MS Gothic" w:hAnsi="MS Gothic" w:eastAsia="MS Gothic" w:cs="MS Gothic"/>
        </w:rPr>
        <w:t>きる</w:t>
      </w:r>
      <w:r>
        <w:rPr>
          <w:rFonts w:ascii="Microsoft YaHei" w:hAnsi="Microsoft YaHei" w:eastAsia="Microsoft YaHei" w:cs="Microsoft YaHei"/>
        </w:rPr>
        <w:t>者</w:t>
      </w:r>
      <w:r>
        <w:rPr>
          <w:rFonts w:ascii="MS Gothic" w:hAnsi="MS Gothic" w:eastAsia="MS Gothic" w:cs="MS Gothic"/>
        </w:rPr>
        <w:t>となるように</w:t>
      </w:r>
      <w:r>
        <w:rPr>
          <w:rFonts w:ascii="Times New Roman" w:hAnsi="Times New Roman" w:eastAsia="Times New Roman" w:cs="Times New Roman"/>
        </w:rPr>
        <w:t>.</w:t>
      </w:r>
      <w:r>
        <w:rPr>
          <w:rFonts w:ascii="MS Gothic" w:hAnsi="MS Gothic" w:eastAsia="MS Gothic" w:cs="MS Gothic"/>
        </w:rPr>
        <w:t>われわれは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道</w:t>
      </w:r>
      <w:r>
        <w:rPr>
          <w:rFonts w:ascii="MS Gothic" w:hAnsi="MS Gothic" w:eastAsia="MS Gothic" w:cs="MS Gothic"/>
        </w:rPr>
        <w:t>が</w:t>
      </w:r>
      <w:r>
        <w:rPr>
          <w:rFonts w:ascii="Microsoft YaHei" w:hAnsi="Microsoft YaHei" w:eastAsia="Microsoft YaHei" w:cs="Microsoft YaHei"/>
        </w:rPr>
        <w:t>狭</w:t>
      </w:r>
      <w:r>
        <w:rPr>
          <w:rFonts w:ascii="MS Gothic" w:hAnsi="MS Gothic" w:eastAsia="MS Gothic" w:cs="MS Gothic"/>
        </w:rPr>
        <w:t>く</w:t>
      </w:r>
      <w:r>
        <w:rPr>
          <w:rFonts w:ascii="Microsoft YaHei" w:hAnsi="Microsoft YaHei" w:eastAsia="Microsoft YaHei" w:cs="Microsoft YaHei"/>
        </w:rPr>
        <w:t>、門</w:t>
      </w:r>
      <w:r>
        <w:rPr>
          <w:rFonts w:ascii="MS Gothic" w:hAnsi="MS Gothic" w:eastAsia="MS Gothic" w:cs="MS Gothic"/>
        </w:rPr>
        <w:t>が</w:t>
      </w:r>
      <w:r>
        <w:rPr>
          <w:rFonts w:ascii="Microsoft YaHei" w:hAnsi="Microsoft YaHei" w:eastAsia="Microsoft YaHei" w:cs="Microsoft YaHei"/>
        </w:rPr>
        <w:t>細</w:t>
      </w:r>
      <w:r>
        <w:rPr>
          <w:rFonts w:ascii="MS Gothic" w:hAnsi="MS Gothic" w:eastAsia="MS Gothic" w:cs="MS Gothic"/>
        </w:rPr>
        <w:t>いことを</w:t>
      </w:r>
      <w:r>
        <w:rPr>
          <w:rFonts w:ascii="Microsoft YaHei" w:hAnsi="Microsoft YaHei" w:eastAsia="Microsoft YaHei" w:cs="Microsoft YaHei"/>
        </w:rPr>
        <w:t>知</w:t>
      </w:r>
      <w:r>
        <w:rPr>
          <w:rFonts w:ascii="MS Gothic" w:hAnsi="MS Gothic" w:eastAsia="MS Gothic" w:cs="MS Gothic"/>
        </w:rPr>
        <w:t>らなければならない</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われわれがその</w:t>
      </w:r>
      <w:r>
        <w:rPr>
          <w:rFonts w:ascii="Microsoft YaHei" w:hAnsi="Microsoft YaHei" w:eastAsia="Microsoft YaHei" w:cs="Microsoft YaHei"/>
        </w:rPr>
        <w:t>狭</w:t>
      </w:r>
      <w:r>
        <w:rPr>
          <w:rFonts w:ascii="MS Gothic" w:hAnsi="MS Gothic" w:eastAsia="MS Gothic" w:cs="MS Gothic"/>
        </w:rPr>
        <w:t>き</w:t>
      </w:r>
      <w:r>
        <w:rPr>
          <w:rFonts w:ascii="Microsoft YaHei" w:hAnsi="Microsoft YaHei" w:eastAsia="Microsoft YaHei" w:cs="Microsoft YaHei"/>
        </w:rPr>
        <w:t>門</w:t>
      </w:r>
      <w:r>
        <w:rPr>
          <w:rFonts w:ascii="MS Gothic" w:hAnsi="MS Gothic" w:eastAsia="MS Gothic" w:cs="MS Gothic"/>
        </w:rPr>
        <w:t>を</w:t>
      </w:r>
      <w:r>
        <w:rPr>
          <w:rFonts w:ascii="Microsoft YaHei" w:hAnsi="Microsoft YaHei" w:eastAsia="Microsoft YaHei" w:cs="Microsoft YaHei"/>
        </w:rPr>
        <w:t>通</w:t>
      </w:r>
      <w:r>
        <w:rPr>
          <w:rFonts w:ascii="MS Gothic" w:hAnsi="MS Gothic" w:eastAsia="MS Gothic" w:cs="MS Gothic"/>
        </w:rPr>
        <w:t>るとき</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広</w:t>
      </w:r>
      <w:r>
        <w:rPr>
          <w:rFonts w:ascii="MS Gothic" w:hAnsi="MS Gothic" w:eastAsia="MS Gothic" w:cs="MS Gothic"/>
        </w:rPr>
        <w:t>がりは</w:t>
      </w:r>
      <w:r>
        <w:rPr>
          <w:rFonts w:ascii="Microsoft YaHei" w:hAnsi="Microsoft YaHei" w:eastAsia="Microsoft YaHei" w:cs="Microsoft YaHei"/>
        </w:rPr>
        <w:t>限</w:t>
      </w:r>
      <w:r>
        <w:rPr>
          <w:rFonts w:ascii="MS Gothic" w:hAnsi="MS Gothic" w:eastAsia="MS Gothic" w:cs="MS Gothic"/>
        </w:rPr>
        <w:t>りがない</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Manuscript Releases</w:t>
      </w:r>
      <w:r>
        <w:rPr>
          <w:rFonts w:ascii="Microsoft YaHei" w:hAnsi="Microsoft YaHei" w:eastAsia="Microsoft YaHei" w:cs="Microsoft YaHei"/>
        </w:rPr>
        <w:t>』第</w:t>
      </w:r>
      <w:r>
        <w:rPr>
          <w:rFonts w:ascii="Times New Roman" w:hAnsi="Times New Roman" w:eastAsia="Times New Roman" w:cs="Times New Roman"/>
        </w:rPr>
        <w:t>20</w:t>
      </w:r>
      <w:r>
        <w:rPr>
          <w:rFonts w:ascii="Microsoft YaHei" w:hAnsi="Microsoft YaHei" w:eastAsia="Microsoft YaHei" w:cs="Microsoft YaHei"/>
        </w:rPr>
        <w:t>巻、</w:t>
      </w:r>
      <w:r>
        <w:rPr>
          <w:rFonts w:ascii="Times New Roman" w:hAnsi="Times New Roman" w:eastAsia="Times New Roman" w:cs="Times New Roman"/>
        </w:rPr>
        <w:t>216</w:t>
      </w:r>
      <w:r>
        <w:rPr>
          <w:rFonts w:ascii="Microsoft YaHei" w:hAnsi="Microsoft YaHei" w:eastAsia="Microsoft YaHei" w:cs="Microsoft YaHei"/>
        </w:rPr>
        <w:t>、</w:t>
      </w:r>
      <w:r>
        <w:rPr>
          <w:rFonts w:ascii="Times New Roman" w:hAnsi="Times New Roman" w:eastAsia="Times New Roman" w:cs="Times New Roman"/>
        </w:rPr>
        <w:t>217</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“Rûnê zêrîn,” peyamên Ruhê Xwedê ne ku ji hewza jorîn têne xwarê bi rêça wê kanalê ku ew du boriyên zêrîn in, ku ew du şahidên Kitêba Pîroz û Ruhê Pêxemberiyê ne, an jî Peymana Kevin û Peymana Nû ne, an jî qanûn û pêxember in, an jî Mûsa û Îlyas in.</w:t>
      </w:r>
    </w:p>
    <w:p>
      <w:pPr>
        <w:pStyle w:val="ArticleScripture"/>
        <w:jc w:val="left"/>
      </w:pPr>
      <w:r>
        <w:rPr>
          <w:rFonts w:ascii="Times New Roman" w:hAnsi="Times New Roman" w:eastAsia="Times New Roman" w:cs="Times New Roman"/>
        </w:rPr>
        <w:t>“Abo basingirwe amavuta bahagaze iruhande rw’Umwami w’isi yose bafite umwanya Satani yigeze guhabwa nk’ikirubi gitwikira. Binyuze ku biremwa byera bikikije intebe ye y’ubwami, Umwami akomeza itumanaho ridahwema n’abatuye isi. Amavuta ya zahabu ashushanya ubuntu Imana ikomeza kugemurira amatara y’abizera, kugira ngo adacumba ngo azime. Iyo bitaba ko ayo mavuta yera asukwa avuye mu ijuru binyuze mu butumwa bw’Umwuka w’Imana, imbaraga z’umubi zari kugira ubutegetsi bwuzuye ku bantu.”</w:t>
      </w:r>
    </w:p>
    <w:p>
      <w:pPr>
        <w:pStyle w:val="ArticleScripture"/>
        <w:jc w:val="left"/>
      </w:pPr>
      <w:r>
        <w:rPr>
          <w:rFonts w:ascii="Times New Roman" w:hAnsi="Times New Roman" w:eastAsia="Times New Roman" w:cs="Times New Roman"/>
        </w:rPr>
        <w:t>“Kuvala kiye, Mulungu ahononwa apo tutampokelele yayi mauthenga agho wakutitumizira. Ntheura tikukana mafuta ghagolide agho wangathira mu mizimu yithu kuti ghaŵikenge kwa awo ŵali mu mdima. Para kuyowoya kwiza, ‘Wonani, mkwati wakwiza; fumani mukakumane nayo,’ awo ŵandapoke mafuta ghatuŵa, awo ŵandasunge mu mitima yawo chisomo cha Khristu, ŵazamkusanga, nga ni virgo viheni, kuti ŵandanozgekele kukumana na Fumu yawo. Iwo ŵalije, mwa iwoŵene, nkhongono yakusangira mafuta, ndipo umoyo wawo wanangika. Kweni usange Mzimu Mutuŵa wa Mulungu wapempheka, usange tapempha mwakulomberera, nga umo Mozesi wakachitira, ‘Nirongore uchindami winu,’ chitemwa cha Mulungu chizamuthiririka mu mitima yithu. Kwizira mu mipope yagolide, mafuta ghagolide ghazamuperekekera kwa ise. ‘Ntchifukwa cha nkhongono yayi, nesi chifukwa cha mphamvu yayi, kweni chifukwa cha Mzimu wane, wakuti Yehova wa mizinda.’ Pakupokera kuŵara kwakuwala kwa Dazi la Urunji, ŵana ŵa Mulungu ŵakuŵala nga ni maunenesko mu charu.” Review and Herald, July 20, 1897.</w:t>
      </w:r>
    </w:p>
    <w:p>
      <w:pPr>
        <w:pStyle w:val="ArticleBody"/>
        <w:jc w:val="left"/>
      </w:pPr>
      <w:r>
        <w:rPr>
          <w:rFonts w:ascii="Times New Roman" w:hAnsi="Times New Roman" w:eastAsia="Times New Roman" w:cs="Times New Roman"/>
        </w:rPr>
        <w:t>پەیامی ئەوەی ئەحاز ڕەتی دەکردەوە، هەمان پەیامی هاوارەی نیوەشەو بوو، کە ئەگەر سەرکردایەتیی لائودیکیا ئەو پەیامەی بۆ لائودیکیا لە ساڵی 1856 «نێردرا» بۆیان وەربگرتایە، ئەوا دەگەیشتە لووتکەی هاتنەوەی دووەمی مەسیح. پاشان ئەو پەیامە گەورەتر دەبووەوە تا ببێتە هاوارێکی بەرز، و گەلی خودا کارەکەیان تەواو دەکرد و لە ئاشتی‌دا دەبوون. بەڵام لەبری ئەوە، بۆ ئەو قیەیە گەڕانەوە کە لێی ڕزگار کرابوون.</w:t>
      </w:r>
    </w:p>
    <w:p>
      <w:pPr>
        <w:pStyle w:val="ArticleBody"/>
        <w:jc w:val="left"/>
      </w:pPr>
      <w:r>
        <w:rPr>
          <w:rFonts w:ascii="Times New Roman" w:hAnsi="Times New Roman" w:eastAsia="Times New Roman" w:cs="Times New Roman"/>
        </w:rPr>
        <w:t>Yesaya na Ahazi vameonyeshwa kuwa katika mchakato wa utakaso wa shamba la mfulia-nguo, ambao hutimizwa na Mjumbe wa Agano katika sura ya tatu ya Malaki. Kwa namna ya kiishara wamewekwa mahali ambapo “mafuta” (ujumbe) yanamiminwa katika njozi ya Zekaria, na katika siku za mwisho, ujumbe wa Yesaya kwa Ahazi ndio ujumbe wa Uislamu wa Ole wa tatu; ndio ujumbe wa historia iliyofichwa ya ngurumo saba; ndio ujumbe kwamba yule wa nane ametoka katika wale saba; ndio ujumbe wa shamba la mizabibu; ndio ujumbe wa “Kweli,” ambavyo vyote ni vipengele vya Ufunuo wa Yesu Kristo, ambao katika siku za mwisho huleta utakaso unaowakilishwa na shamba la mfulia-nguo.</w:t>
      </w:r>
    </w:p>
    <w:p>
      <w:pPr>
        <w:pStyle w:val="ArticleBody"/>
        <w:jc w:val="left"/>
      </w:pPr>
      <w:r>
        <w:rPr>
          <w:rFonts w:ascii="Times New Roman" w:hAnsi="Times New Roman" w:eastAsia="Times New Roman" w:cs="Times New Roman"/>
        </w:rPr>
        <w:t>“saba nyakati” ulikuwa na bado ndio ujumbe pia, ambao hubadilika kutoka jiwe la msingi la Miller, na kuwa jiwe kuu la pembeni, kwa maana ulikuwa ukweli wa kwanza, na kwa hiyo ni lazima uwe ukweli wa mwisho. Mwaka 1863 uliashiria hitimisho la mchakato wa utakaso ulioanza kwa kuwasili kwa malaika wa tatu tarehe 22 Oktoba 1844, na hatimaye ukafikia nuru ya “saba nyakati” mwaka 1856. Mwaka 1844 nuru ya miaka elfu mbili mia tatu iliashiria mwanzo uliosababisha mwisho uliowekwa alama na miaka elfu mbili mia tano na ishirini. Hata hivyo, upofu wa Laodikia katika mwanzo na mwisho, unakataa kuona uhusiano wa maono hayo mawili. Mwaka 1863 unawakilisha hitimisho la mchakato wa utakaso ambao hutukia daima ujumbe unapofunuliwa, na ujumbe wa malaika wa tatu ulifunuliwa tarehe 22 Oktoba 1844.</w:t>
      </w:r>
    </w:p>
    <w:p>
      <w:pPr>
        <w:pStyle w:val="ArticleBody"/>
        <w:jc w:val="left"/>
      </w:pPr>
      <w:r>
        <w:rPr>
          <w:rFonts w:ascii="Times New Roman" w:hAnsi="Times New Roman" w:eastAsia="Times New Roman" w:cs="Times New Roman"/>
        </w:rPr>
        <w:t>1844-</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മുദ്രവിച്ഛേദിക്കപ്പെട്ട</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w:t>
      </w:r>
      <w:r>
        <w:rPr>
          <w:rFonts w:ascii="Nirmala UI" w:hAnsi="Nirmala UI" w:eastAsia="Nirmala UI" w:cs="Nirmala UI"/>
        </w:rPr>
        <w:t>ഏകാകിയായ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വെളിച്ചമല്ലായിരുന്നു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സിസ്റ്റർ</w:t>
      </w:r>
      <w:r>
        <w:rPr>
          <w:rFonts w:ascii="Times New Roman" w:hAnsi="Times New Roman" w:eastAsia="Times New Roman" w:cs="Times New Roman"/>
        </w:rPr>
        <w:t xml:space="preserve"> </w:t>
      </w:r>
      <w:r>
        <w:rPr>
          <w:rFonts w:ascii="Nirmala UI" w:hAnsi="Nirmala UI" w:eastAsia="Nirmala UI" w:cs="Nirmala UI"/>
        </w:rPr>
        <w:t>വൈറ്റ്</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പുരോഗമിക്കുന്ന</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പരാമർശിക്കുന്നതായിരുന്നു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പുരോഗമിക്കുന്ന</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1844-</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പരീക്ഷാകാലം</w:t>
      </w:r>
      <w:r>
        <w:rPr>
          <w:rFonts w:ascii="Times New Roman" w:hAnsi="Times New Roman" w:eastAsia="Times New Roman" w:cs="Times New Roman"/>
        </w:rPr>
        <w:t xml:space="preserve"> </w:t>
      </w:r>
      <w:r>
        <w:rPr>
          <w:rFonts w:ascii="Nirmala UI" w:hAnsi="Nirmala UI" w:eastAsia="Nirmala UI" w:cs="Nirmala UI"/>
        </w:rPr>
        <w:t>അവസാനിക്കുന്നതുവരെ</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പുരോഗമിച്ചു</w:t>
      </w:r>
      <w:r>
        <w:rPr>
          <w:rFonts w:ascii="Times New Roman" w:hAnsi="Times New Roman" w:eastAsia="Times New Roman" w:cs="Times New Roman"/>
        </w:rPr>
        <w:t xml:space="preserve"> </w:t>
      </w:r>
      <w:r>
        <w:rPr>
          <w:rFonts w:ascii="Nirmala UI" w:hAnsi="Nirmala UI" w:eastAsia="Nirmala UI" w:cs="Nirmala UI"/>
        </w:rPr>
        <w:t>കൊണ്ടിരിക്കുന്നു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വന്നപ്പോൾ</w:t>
      </w:r>
      <w:r>
        <w:rPr>
          <w:rFonts w:ascii="Times New Roman" w:hAnsi="Times New Roman" w:eastAsia="Times New Roman" w:cs="Times New Roman"/>
        </w:rPr>
        <w:t xml:space="preserve"> </w:t>
      </w:r>
      <w:r>
        <w:rPr>
          <w:rFonts w:ascii="Nirmala UI" w:hAnsi="Nirmala UI" w:eastAsia="Nirmala UI" w:cs="Nirmala UI"/>
        </w:rPr>
        <w:t>തന്നെയും</w:t>
      </w:r>
      <w:r>
        <w:rPr>
          <w:rFonts w:ascii="Times New Roman" w:hAnsi="Times New Roman" w:eastAsia="Times New Roman" w:cs="Times New Roman"/>
        </w:rPr>
        <w:t xml:space="preserve">, </w:t>
      </w:r>
      <w:r>
        <w:rPr>
          <w:rFonts w:ascii="Nirmala UI" w:hAnsi="Nirmala UI" w:eastAsia="Nirmala UI" w:cs="Nirmala UI"/>
        </w:rPr>
        <w:t>ഒടുവിൽ</w:t>
      </w:r>
      <w:r>
        <w:rPr>
          <w:rFonts w:ascii="Times New Roman" w:hAnsi="Times New Roman" w:eastAsia="Times New Roman" w:cs="Times New Roman"/>
        </w:rPr>
        <w:t xml:space="preserve"> </w:t>
      </w:r>
      <w:r>
        <w:rPr>
          <w:rFonts w:ascii="Nirmala UI" w:hAnsi="Nirmala UI" w:eastAsia="Nirmala UI" w:cs="Nirmala UI"/>
        </w:rPr>
        <w:t>അവസാനിക്കുമ്പോഴും</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ദൂതനോടു</w:t>
      </w:r>
      <w:r>
        <w:rPr>
          <w:rFonts w:ascii="Times New Roman" w:hAnsi="Times New Roman" w:eastAsia="Times New Roman" w:cs="Times New Roman"/>
        </w:rPr>
        <w:t xml:space="preserve"> </w:t>
      </w:r>
      <w:r>
        <w:rPr>
          <w:rFonts w:ascii="Nirmala UI" w:hAnsi="Nirmala UI" w:eastAsia="Nirmala UI" w:cs="Nirmala UI"/>
        </w:rPr>
        <w:t>ബന്ധപ്പെട്ട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പ്രത്യേക</w:t>
      </w:r>
      <w:r>
        <w:rPr>
          <w:rFonts w:ascii="Times New Roman" w:hAnsi="Times New Roman" w:eastAsia="Times New Roman" w:cs="Times New Roman"/>
        </w:rPr>
        <w:t xml:space="preserve"> </w:t>
      </w:r>
      <w:r>
        <w:rPr>
          <w:rFonts w:ascii="Nirmala UI" w:hAnsi="Nirmala UI" w:eastAsia="Nirmala UI" w:cs="Nirmala UI"/>
        </w:rPr>
        <w:t>പരിശോധനാകാലം</w:t>
      </w:r>
      <w:r>
        <w:rPr>
          <w:rFonts w:ascii="Times New Roman" w:hAnsi="Times New Roman" w:eastAsia="Times New Roman" w:cs="Times New Roman"/>
        </w:rPr>
        <w:t xml:space="preserve"> </w:t>
      </w:r>
      <w:r>
        <w:rPr>
          <w:rFonts w:ascii="Nirmala UI" w:hAnsi="Nirmala UI" w:eastAsia="Nirmala UI" w:cs="Nirmala UI"/>
        </w:rPr>
        <w:t>ഉണ്ട്</w:t>
      </w:r>
      <w:r>
        <w:rPr>
          <w:rFonts w:ascii="Times New Roman" w:hAnsi="Times New Roman" w:eastAsia="Times New Roman" w:cs="Times New Roman"/>
        </w:rPr>
        <w:t xml:space="preserve">. </w:t>
      </w:r>
      <w:r>
        <w:rPr>
          <w:rFonts w:ascii="Nirmala UI" w:hAnsi="Nirmala UI" w:eastAsia="Nirmala UI" w:cs="Nirmala UI"/>
        </w:rPr>
        <w:t>ആരംഭത്തിലും</w:t>
      </w:r>
      <w:r>
        <w:rPr>
          <w:rFonts w:ascii="Times New Roman" w:hAnsi="Times New Roman" w:eastAsia="Times New Roman" w:cs="Times New Roman"/>
        </w:rPr>
        <w:t xml:space="preserve"> </w:t>
      </w:r>
      <w:r>
        <w:rPr>
          <w:rFonts w:ascii="Nirmala UI" w:hAnsi="Nirmala UI" w:eastAsia="Nirmala UI" w:cs="Nirmala UI"/>
        </w:rPr>
        <w:t>അവസാനത്തിലും</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പരിശോധനാകാലങ്ങൾ</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അറിവിന്റെ</w:t>
      </w:r>
      <w:r>
        <w:rPr>
          <w:rFonts w:ascii="Times New Roman" w:hAnsi="Times New Roman" w:eastAsia="Times New Roman" w:cs="Times New Roman"/>
        </w:rPr>
        <w:t xml:space="preserve"> </w:t>
      </w:r>
      <w:r>
        <w:rPr>
          <w:rFonts w:ascii="Nirmala UI" w:hAnsi="Nirmala UI" w:eastAsia="Nirmala UI" w:cs="Nirmala UI"/>
        </w:rPr>
        <w:t>വർധന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പരിശോധനാ</w:t>
      </w:r>
      <w:r>
        <w:rPr>
          <w:rFonts w:ascii="Times New Roman" w:hAnsi="Times New Roman" w:eastAsia="Times New Roman" w:cs="Times New Roman"/>
        </w:rPr>
        <w:t xml:space="preserve"> </w:t>
      </w:r>
      <w:r>
        <w:rPr>
          <w:rFonts w:ascii="Nirmala UI" w:hAnsi="Nirmala UI" w:eastAsia="Nirmala UI" w:cs="Nirmala UI"/>
        </w:rPr>
        <w:t>പ്രക്രിയയെയും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പുരോഗമിക്കുന്ന</w:t>
      </w:r>
      <w:r>
        <w:rPr>
          <w:rFonts w:ascii="Times New Roman" w:hAnsi="Times New Roman" w:eastAsia="Times New Roman" w:cs="Times New Roman"/>
        </w:rPr>
        <w:t xml:space="preserve"> </w:t>
      </w:r>
      <w:r>
        <w:rPr>
          <w:rFonts w:ascii="Nirmala UI" w:hAnsi="Nirmala UI" w:eastAsia="Nirmala UI" w:cs="Nirmala UI"/>
        </w:rPr>
        <w:t>വെളിച്ചം</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مَحَجیڠن پڠوجين ڤد ڤرموﻻأن برمولا ڤد تاهون 1844، دان ترڠ يڠ سمکين مَجُو ايت برتامبه دالم ڤنڬتاهوان هيڠݢ مچڤاي کسيڤولنه ڤد تاهون 1856. ترڠ ڤرموﻻأن دان ترڠ ڤڠاخيران باݢي تمڤوه ڤڠوجين ايت اياله دوا ڤڠlihatan دالم دانيال fasal lapan، ayat tiga belas dan empat belas، يڠ ملوݢمبارکن اساس دان تيڠݢق اوتام ادڤينتيسمه.</w:t>
      </w:r>
    </w:p>
    <w:p>
      <w:pPr>
        <w:pStyle w:val="ArticleBody"/>
        <w:jc w:val="left"/>
      </w:pPr>
      <w:r>
        <w:rPr>
          <w:rFonts w:ascii="Times New Roman" w:hAnsi="Times New Roman" w:eastAsia="Times New Roman" w:cs="Times New Roman"/>
        </w:rPr>
        <w:t>Muda wa kujaribiwa wa malaika wa kwanza ulianza tarehe 11 Agosti 1840 na ukaisha katika kuvunjika moyo kwa kwanza tarehe 19 Aprili 1844. Kisha muda wa kujaribiwa wa malaika wa pili ulianza, nao ukaendelea hadi tarehe 22 Oktoba 1844. Wakati huo malaika wa tatu alifika, na muda wa kujaribiwa wa malaika wa tatu ukaendelea hadi Uadventista wa Laodikia ulipoikataa nuru ya malaika wa tatu mwaka 1863.</w:t>
      </w:r>
    </w:p>
    <w:p>
      <w:pPr>
        <w:pStyle w:val="ArticleBody"/>
        <w:jc w:val="left"/>
      </w:pPr>
      <w:r>
        <w:rPr>
          <w:rFonts w:ascii="Nirmala UI" w:hAnsi="Nirmala UI" w:eastAsia="Nirmala UI" w:cs="Nirmala UI"/>
        </w:rPr>
        <w:t>ꯃꯤꯂꯂꯔꯥꯏꯠ</w:t>
      </w:r>
      <w:r>
        <w:rPr>
          <w:rFonts w:ascii="Times New Roman" w:hAnsi="Times New Roman" w:eastAsia="Times New Roman" w:cs="Times New Roman"/>
        </w:rPr>
        <w:t xml:space="preserve"> </w:t>
      </w:r>
      <w:r>
        <w:rPr>
          <w:rFonts w:ascii="Nirmala UI" w:hAnsi="Nirmala UI" w:eastAsia="Nirmala UI" w:cs="Nirmala UI"/>
        </w:rPr>
        <w:t>ꯑꯦꯗꯕꯦꯟꯇꯤꯁꯝꯒꯤ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ꯑꯣꯛꯅꯕ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ꯑꯃꯝꯕ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ꯎꯠꯂꯒꯅꯤ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ꯌꯦꯁꯨꯅ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ꯂꯣꯏꯁꯤꯜ</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ꯑꯍꯣꯡꯕꯅ</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ꯄꯥꯡꯂꯤ।</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ꯑꯥꯂꯣꯛꯀꯤ</w:t>
      </w:r>
      <w:r>
        <w:rPr>
          <w:rFonts w:ascii="Times New Roman" w:hAnsi="Times New Roman" w:eastAsia="Times New Roman" w:cs="Times New Roman"/>
        </w:rPr>
        <w:t xml:space="preserve"> </w:t>
      </w:r>
      <w:r>
        <w:rPr>
          <w:rFonts w:ascii="Nirmala UI" w:hAnsi="Nirmala UI" w:eastAsia="Nirmala UI" w:cs="Nirmala UI"/>
        </w:rPr>
        <w:t>ꯍꯥꯡꯈꯤꯕꯗꯨ</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ꯑꯍꯨꯝꯁꯨꯡ</w:t>
      </w:r>
      <w:r>
        <w:rPr>
          <w:rFonts w:ascii="Times New Roman" w:hAnsi="Times New Roman" w:eastAsia="Times New Roman" w:cs="Times New Roman"/>
        </w:rPr>
        <w:t xml:space="preserve"> </w:t>
      </w:r>
      <w:r>
        <w:rPr>
          <w:rFonts w:ascii="Nirmala UI" w:hAnsi="Nirmala UI" w:eastAsia="Nirmala UI" w:cs="Nirmala UI"/>
        </w:rPr>
        <w:t>ꯅꯤꯄꯥꯜꯒꯤ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ꯆꯨꯗ꯭ꯗ</w:t>
      </w:r>
      <w:r>
        <w:rPr>
          <w:rFonts w:ascii="Times New Roman" w:hAnsi="Times New Roman" w:eastAsia="Times New Roman" w:cs="Times New Roman"/>
        </w:rPr>
        <w:t xml:space="preserve"> </w:t>
      </w:r>
      <w:r>
        <w:rPr>
          <w:rFonts w:ascii="Nirmala UI" w:hAnsi="Nirmala UI" w:eastAsia="Nirmala UI" w:cs="Nirmala UI"/>
        </w:rPr>
        <w:t>ꯃꯔꯨꯂ</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ꯃꯔꯦꯍ</w:t>
      </w:r>
      <w:r>
        <w:rPr>
          <w:rFonts w:ascii="Times New Roman" w:hAnsi="Times New Roman" w:eastAsia="Times New Roman" w:cs="Times New Roman"/>
        </w:rPr>
        <w:t xml:space="preserve"> (“mareh”)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ꯗ꯭ꯔꯤꯃꯁꯟꯒꯤ</w:t>
      </w:r>
      <w:r>
        <w:rPr>
          <w:rFonts w:ascii="Times New Roman" w:hAnsi="Times New Roman" w:eastAsia="Times New Roman" w:cs="Times New Roman"/>
        </w:rPr>
        <w:t xml:space="preserve"> </w:t>
      </w:r>
      <w:r>
        <w:rPr>
          <w:rFonts w:ascii="Nirmala UI" w:hAnsi="Nirmala UI" w:eastAsia="Nirmala UI" w:cs="Nirmala UI"/>
        </w:rPr>
        <w:t>ꯑꯥꯂꯣꯛ</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ꯑꯥꯂꯣꯛꯀꯤ</w:t>
      </w:r>
      <w:r>
        <w:rPr>
          <w:rFonts w:ascii="Times New Roman" w:hAnsi="Times New Roman" w:eastAsia="Times New Roman" w:cs="Times New Roman"/>
        </w:rPr>
        <w:t xml:space="preserve"> </w:t>
      </w:r>
      <w:r>
        <w:rPr>
          <w:rFonts w:ascii="Nirmala UI" w:hAnsi="Nirmala UI" w:eastAsia="Nirmala UI" w:cs="Nirmala UI"/>
        </w:rPr>
        <w:t>ꯂꯣꯏꯁꯤꯜꯗꯨ</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ꯊꯝꯕꯒꯤ</w:t>
      </w:r>
      <w:r>
        <w:rPr>
          <w:rFonts w:ascii="Times New Roman" w:hAnsi="Times New Roman" w:eastAsia="Times New Roman" w:cs="Times New Roman"/>
        </w:rPr>
        <w:t xml:space="preserve"> </w:t>
      </w:r>
      <w:r>
        <w:rPr>
          <w:rFonts w:ascii="Nirmala UI" w:hAnsi="Nirmala UI" w:eastAsia="Nirmala UI" w:cs="Nirmala UI"/>
        </w:rPr>
        <w:t>ꯑꯥꯂꯣꯛ</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ꯆꯨꯗ꯭ꯗ</w:t>
      </w:r>
      <w:r>
        <w:rPr>
          <w:rFonts w:ascii="Times New Roman" w:hAnsi="Times New Roman" w:eastAsia="Times New Roman" w:cs="Times New Roman"/>
        </w:rPr>
        <w:t xml:space="preserve"> </w:t>
      </w:r>
      <w:r>
        <w:rPr>
          <w:rFonts w:ascii="Nirmala UI" w:hAnsi="Nirmala UI" w:eastAsia="Nirmala UI" w:cs="Nirmala UI"/>
        </w:rPr>
        <w:t>ꯃꯔꯨꯂ</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ꯆꯍꯨꯝꯁꯨꯝ</w:t>
      </w:r>
      <w:r>
        <w:rPr>
          <w:rFonts w:ascii="Times New Roman" w:hAnsi="Times New Roman" w:eastAsia="Times New Roman" w:cs="Times New Roman"/>
        </w:rPr>
        <w:t xml:space="preserve"> </w:t>
      </w:r>
      <w:r>
        <w:rPr>
          <w:rFonts w:ascii="Nirmala UI" w:hAnsi="Nirmala UI" w:eastAsia="Nirmala UI" w:cs="Nirmala UI"/>
        </w:rPr>
        <w:t>ꯃꯐꯝꯒꯤ</w:t>
      </w:r>
      <w:r>
        <w:rPr>
          <w:rFonts w:ascii="Times New Roman" w:hAnsi="Times New Roman" w:eastAsia="Times New Roman" w:cs="Times New Roman"/>
        </w:rPr>
        <w:t xml:space="preserve"> </w:t>
      </w:r>
      <w:r>
        <w:rPr>
          <w:rFonts w:ascii="Nirmala UI" w:hAnsi="Nirmala UI" w:eastAsia="Nirmala UI" w:cs="Nirmala UI"/>
        </w:rPr>
        <w:t>ꯍꯥꯖꯟ</w:t>
      </w:r>
      <w:r>
        <w:rPr>
          <w:rFonts w:ascii="Times New Roman" w:hAnsi="Times New Roman" w:eastAsia="Times New Roman" w:cs="Times New Roman"/>
        </w:rPr>
        <w:t xml:space="preserve"> (“chazon”)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ꯗ꯭ꯔꯤꯃꯁꯟꯒꯤ</w:t>
      </w:r>
      <w:r>
        <w:rPr>
          <w:rFonts w:ascii="Times New Roman" w:hAnsi="Times New Roman" w:eastAsia="Times New Roman" w:cs="Times New Roman"/>
        </w:rPr>
        <w:t xml:space="preserve"> </w:t>
      </w:r>
      <w:r>
        <w:rPr>
          <w:rFonts w:ascii="Nirmala UI" w:hAnsi="Nirmala UI" w:eastAsia="Nirmala UI" w:cs="Nirmala UI"/>
        </w:rPr>
        <w:t>ꯑꯥꯂꯣꯛ</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ꯑꯅꯤꯁꯨꯡ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ꯑꯔꯣꯏꯕꯒꯤ</w:t>
      </w:r>
      <w:r>
        <w:rPr>
          <w:rFonts w:ascii="Times New Roman" w:hAnsi="Times New Roman" w:eastAsia="Times New Roman" w:cs="Times New Roman"/>
        </w:rPr>
        <w:t xml:space="preserve"> </w:t>
      </w:r>
      <w:r>
        <w:rPr>
          <w:rFonts w:ascii="Nirmala UI" w:hAnsi="Nirmala UI" w:eastAsia="Nirmala UI" w:cs="Nirmala UI"/>
        </w:rPr>
        <w:t>ꯃꯋꯣꯡꯗ</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w:t>
      </w:r>
      <w:r>
        <w:rPr>
          <w:rFonts w:ascii="Nirmala UI" w:hAnsi="Nirmala UI" w:eastAsia="Nirmala UI" w:cs="Nirmala UI"/>
        </w:rPr>
        <w:t>ꯑꯃꯥꯡ</w:t>
      </w:r>
      <w:r>
        <w:rPr>
          <w:rFonts w:ascii="Times New Roman" w:hAnsi="Times New Roman" w:eastAsia="Times New Roman" w:cs="Times New Roman"/>
        </w:rPr>
        <w:t xml:space="preserve"> </w:t>
      </w:r>
      <w:r>
        <w:rPr>
          <w:rFonts w:ascii="Nirmala UI" w:hAnsi="Nirmala UI" w:eastAsia="Nirmala UI" w:cs="Nirmala UI"/>
        </w:rPr>
        <w:t>ꯌꯥꯎꯔꯤ।</w:t>
      </w:r>
    </w:p>
    <w:p>
      <w:pPr>
        <w:pStyle w:val="ArticleScripture"/>
        <w:jc w:val="left"/>
      </w:pPr>
      <w:r>
        <w:rPr>
          <w:rFonts w:ascii="Times New Roman" w:hAnsi="Times New Roman" w:eastAsia="Times New Roman" w:cs="Times New Roman"/>
        </w:rPr>
        <w:t>Basi yo ukamfanyisha tarumbeta ya yubile ilie siku ya kumi ya mwezi wa saba; siku ya upatanisho mtalifanya tarumbeta ilie katika nchi yenu yote. Mambo ya Walawi 25:9.</w:t>
      </w:r>
    </w:p>
    <w:p>
      <w:pPr>
        <w:pStyle w:val="ArticleBody"/>
        <w:jc w:val="left"/>
      </w:pPr>
      <w:r>
        <w:rPr>
          <w:rFonts w:ascii="Times New Roman" w:hAnsi="Times New Roman" w:eastAsia="Times New Roman" w:cs="Times New Roman"/>
        </w:rPr>
        <w:t>Kuhe kwa muhigo kwari kuzanywa ku Munsi wa Impongano, ari wo wa 22 Ukwakira 1844, kwari ihembe rya Yubile, rigereranya uruziga rwera rw’imyaka irindwi, rukaba rungana n’iminsi ibihumbi bibiri na magana atanu na makumyabiri. Uwiteka yashakaga kuyobora Isirayeli ya kera ataziguye ayinjiza mu Gihugu cy’Isezerano, ariko ubugome bwabo bwabujije ko ibyo biba. Uwiteka yashakaga kuyobora Isirayeli ya none ataziguye ayinjiza mu Gihugu cy’Isezerano, ariko ubugome bwabujije ko ibyo biba. Iyo Isirayeli ya none iza kuba yarumviye umucyo ugenda urushaho kwaguka w’umumarayika wa gatatu, iba yaraburiye isi, kandi Uwiteka aba yaragarutse hashize imyaka irenga ijana.</w:t>
      </w:r>
    </w:p>
    <w:p>
      <w:pPr>
        <w:pStyle w:val="ArticleBody"/>
        <w:jc w:val="left"/>
      </w:pPr>
      <w:r>
        <w:rPr>
          <w:rFonts w:ascii="Times New Roman" w:hAnsi="Times New Roman" w:eastAsia="Times New Roman" w:cs="Times New Roman"/>
        </w:rPr>
        <w:t>Ili jambo hilo litokee, ingempasa Bwana kutenda mabadiliko miongoni mwa Wamileriti, na mabadiliko hayo yanatambulishwa katika Maandiko kuwa ni siri ya Mungu. Ikiwa Uadventista ungekuwa umefuata nuru inayoendelea ya malaika wa tatu, basi tarumbeta ya Yubile ingekuwa imepiga mfululizo hadi mwisho, kwa maana ni katika siku ambazo tarumbeta ya saba inalia, ndipo siri ya Mungu inakamilishwa. Katika Ufunuo kumi, tarumbeta hiyo, ambayo ni tarumbeta ya Yubile, na pia tarumbeta ya ole wa tatu, ilianza kulia tarehe 22 Oktoba, 1844.</w:t>
      </w:r>
    </w:p>
    <w:p>
      <w:pPr>
        <w:pStyle w:val="ArticleScripture"/>
        <w:jc w:val="left"/>
      </w:pPr>
      <w:r>
        <w:rPr>
          <w:rFonts w:ascii="Times New Roman" w:hAnsi="Times New Roman" w:eastAsia="Times New Roman" w:cs="Times New Roman"/>
        </w:rPr>
        <w:t>Û hingivê ku min dît ku li ser deryayê û li ser erdê radiwesta, destê xwe ber bi ezmên ve rakir, û bi Wî yê her û her dijî sond xwar, yê ezmên û tiştên ku tê de ne, erdê û tiştên ku tê de ne, û deryayê û tiştên ku tê de ne afirandîye, ku dem êdî nemîne; lê di rojên dengê hingivê heftem de, gava ku ew dest bi lêdanê bike, raziya Xwedê wê biqede, wekî ku Ew ji xizmetkarên xwe, pêxemberan re ragihandîye. Wahiy 10:5–7.</w:t>
      </w:r>
    </w:p>
    <w:p>
      <w:pPr>
        <w:pStyle w:val="ArticleBody"/>
        <w:jc w:val="left"/>
      </w:pPr>
      <w:r>
        <w:rPr>
          <w:rFonts w:ascii="Times New Roman" w:hAnsi="Times New Roman" w:eastAsia="Times New Roman" w:cs="Times New Roman"/>
        </w:rPr>
        <w:t>Kigezo cha utakaso wa majaribio kilichoanza tarehe 22 Oktoba, 1844, ambacho kilikuwa nuru inayoendelea ya malaika wa tatu, kilianza kwa nuru ya Danieli sura ya nane, aya ya kumi na nne, na kikamalizika kwa nuru ya Danieli sura ya nane, aya ya kumi na tatu. Kilianza kwa jibu la aya ya kumi na nne, na kikamalizika kwa swali la aya ya kumi na tatu.</w:t>
      </w:r>
    </w:p>
    <w:p>
      <w:pPr>
        <w:pStyle w:val="ArticleBody"/>
        <w:jc w:val="left"/>
      </w:pPr>
      <w:r>
        <w:rPr>
          <w:rFonts w:ascii="Times New Roman" w:hAnsi="Times New Roman" w:eastAsia="Times New Roman" w:cs="Times New Roman"/>
        </w:rPr>
        <w:t>Maka kumi na tisa hayo yaliwakilishwa kwa mfano na kufika kwa ujumbe wa onyo wa Isaya kwa Ahazi, mfalme wa Yuda halisi, wakati wa vita vya wenyewe kwa wenyewe kati ya kaskazini na kusini. Miaka hiyo kumi na tisa ilikoma kwa mfalme wa kaskazini kuichukua Israeli utumwani. Miaka hiyo kumi na tisa iliwakilisha kwa mfano kufika kwa malaika wa tatu mwaka 1844, hadi uasi wa mwaka 1863. Nuru inayozidi kusonga mbele ya malaika wa tatu iliwasilishwa na ujumbe wa Isaya.</w:t>
      </w:r>
    </w:p>
    <w:p>
      <w:pPr>
        <w:pStyle w:val="ArticleBody"/>
        <w:jc w:val="left"/>
      </w:pPr>
      <w:r>
        <w:rPr>
          <w:rFonts w:ascii="Times New Roman" w:hAnsi="Times New Roman" w:eastAsia="Times New Roman" w:cs="Times New Roman"/>
        </w:rPr>
        <w:t>Okutanga kw’omusana ogwo ogw’avanceranga kwaleeta enkomerero y’Omukululo gwa Millerite, era mu kiseera ekyo eky’okugezesa, Omukululo gwa Millerite ogwa Filaderufiya gwakyuka ne gufuuka Ekkanisa y’e Lawodikiya. Emyaka kkumi na mwenda egyatandika mu 742 BC, n’emyaka kkumi na mwenda egyatandika mu 1844, byombi biraga enkola ey’okugezesa n’okutukulula mu nnaku ez’oluvannyuma, kwe kugamba, ekiseera ekisembayo eky’okugezesa eky’omusana ogweyongera ogwa malayika ow’okusatu.</w:t>
      </w:r>
    </w:p>
    <w:p>
      <w:pPr>
        <w:pStyle w:val="ArticleBody"/>
        <w:jc w:val="left"/>
      </w:pPr>
      <w:r>
        <w:rPr>
          <w:rFonts w:ascii="Times New Roman" w:hAnsi="Times New Roman" w:eastAsia="Times New Roman" w:cs="Times New Roman"/>
        </w:rPr>
        <w:t>Mu mulekadilo wa kulekelesha wa kweseka, chiswama cha Leza chikamala. Abali umwanda umo na makumi yane na bane ni abo abalindila, ababwelera no kulamikwa akaboneno.</w:t>
      </w:r>
    </w:p>
    <w:p>
      <w:pPr>
        <w:pStyle w:val="ArticleScripture"/>
        <w:jc w:val="left"/>
      </w:pPr>
      <w:r>
        <w:rPr>
          <w:rFonts w:ascii="Times New Roman" w:hAnsi="Times New Roman" w:eastAsia="Times New Roman" w:cs="Times New Roman"/>
        </w:rPr>
        <w:t>Boholisá l testimonio, na seliá l ley entre mis disípulos. Y yo esperaré a Jehová, que escondé su rostro de la casa de Jacob, y en él pondré mi esperanza. He aquí, yo y los hijos que Jehová me ha dado somos por señales y por maravillas en Israel, de parte de Jehová de los ejércitos, que mora en el monte de Sion. Isaías 8:16–18.</w:t>
      </w:r>
    </w:p>
    <w:p>
      <w:pPr>
        <w:pStyle w:val="ArticleBody"/>
        <w:jc w:val="left"/>
      </w:pPr>
      <w:r>
        <w:rPr>
          <w:rFonts w:ascii="Times New Roman" w:hAnsi="Times New Roman" w:eastAsia="Times New Roman" w:cs="Times New Roman"/>
        </w:rPr>
        <w:t>Ihulo lya kukengela lya mwisho la nuru inayoendelea ya malaika wa tatu katika siku za mwisho lilianza mahali pale ambapo ihulo la mwanzo la kukengela lilianzia. Lilianza wakati Yesu alipoinua mkono Wake kuelekea mbinguni na kutangaza, “kwamba wakati hautakuwapo tena.” Tangazo hilo lilitokea tarehe 22 Oktoba, 1844, wakati parapanda ya saba ilipotangaza Yubilei kwenye hitimisho la mzunguko mtakatifu wa saba. Mzunguko wa miaka saba, uliorudiwa mara saba, ulikuwa kihalisia miaka arobaini na tisa, au siku elfu mbili mia tano na ishirini.</w:t>
      </w:r>
    </w:p>
    <w:p>
      <w:pPr>
        <w:pStyle w:val="ArticleBody"/>
        <w:jc w:val="left"/>
      </w:pPr>
      <w:r>
        <w:rPr>
          <w:rFonts w:ascii="Times New Roman" w:hAnsi="Times New Roman" w:eastAsia="Times New Roman" w:cs="Times New Roman"/>
        </w:rPr>
        <w:t>1989, hareketa ya watu laki moja na arobaini na nne, inaonyesha “wakati wa mwisho,” na 1989 pia inaonyesha hitimisho la miaka mia moja ishirini na sita iliyoanza katika uasi wa 1863. Harakati ya watu laki moja na arobaini na nne ilianza katika “wakati wa mwisho,” kwa ishara ya “nyakati saba,” kwa maana mia moja ishirini na sita ni zaka ya elfu moja mia mbili sitini, ambayo nayo ni nusu ya elfu mbili mia tano ishirini.</w:t>
      </w:r>
    </w:p>
    <w:p>
      <w:pPr>
        <w:pStyle w:val="ArticleBody"/>
        <w:jc w:val="left"/>
      </w:pPr>
      <w:r>
        <w:rPr>
          <w:rFonts w:ascii="Times New Roman" w:hAnsi="Times New Roman" w:eastAsia="Times New Roman" w:cs="Times New Roman"/>
        </w:rPr>
        <w:t>Yesu daima huwakilisha mwisho wa jambo kwa mwanzo wa jambo, na mwanzo wa mwendo wa wale mia moja na arobaini na nne elfu uliwekwa alama kwa ishara ya “nyakati saba,” kama ilivyo pia katika mwisho wa mwendo huo. Siku za sauti ya malaika wa saba, wakati siri ya Mungu inapokamilishwa, zilianza katika hitimisho la zile siku “tatu na nusu” za Ufunuo sura ya kumi na moja. Baragumu ya Saba, ambayo pia ni Ole ya tatu, ilipiga noti yake ya pili tarehe 7 Oktoba, 2023, na siri ya Mungu sasa inakamilishwa, kama “alivyowatangazia watumishi wake manabii.” Mwisho wa mwendo huo umewekwa alama kwa ishara ya “nyakati saba,” kama ulivyokuwa mwanzo wa mwendo huohuo.</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끝의</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왕국에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분노의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끝났고</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끝에</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와</w:t>
      </w:r>
      <w:r>
        <w:rPr>
          <w:rFonts w:ascii="Times New Roman" w:hAnsi="Times New Roman" w:eastAsia="Times New Roman" w:cs="Times New Roman"/>
        </w:rPr>
        <w:t xml:space="preserve"> </w:t>
      </w:r>
      <w:r>
        <w:rPr>
          <w:rFonts w:ascii="Malgun Gothic" w:hAnsi="Malgun Gothic" w:eastAsia="Malgun Gothic" w:cs="Malgun Gothic"/>
        </w:rPr>
        <w:t>연관된</w:t>
      </w:r>
      <w:r>
        <w:rPr>
          <w:rFonts w:ascii="Times New Roman" w:hAnsi="Times New Roman" w:eastAsia="Times New Roman" w:cs="Times New Roman"/>
        </w:rPr>
        <w:t xml:space="preserve"> </w:t>
      </w:r>
      <w:r>
        <w:rPr>
          <w:rFonts w:ascii="Malgun Gothic" w:hAnsi="Malgun Gothic" w:eastAsia="Malgun Gothic" w:cs="Malgun Gothic"/>
        </w:rPr>
        <w:t>진리들을</w:t>
      </w:r>
      <w:r>
        <w:rPr>
          <w:rFonts w:ascii="Times New Roman" w:hAnsi="Times New Roman" w:eastAsia="Times New Roman" w:cs="Times New Roman"/>
        </w:rPr>
        <w:t xml:space="preserve"> </w:t>
      </w:r>
      <w:r>
        <w:rPr>
          <w:rFonts w:ascii="Malgun Gothic" w:hAnsi="Malgun Gothic" w:eastAsia="Malgun Gothic" w:cs="Malgun Gothic"/>
        </w:rPr>
        <w:t>거절한</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1863</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반역을</w:t>
      </w:r>
      <w:r>
        <w:rPr>
          <w:rFonts w:ascii="Times New Roman" w:hAnsi="Times New Roman" w:eastAsia="Times New Roman" w:cs="Times New Roman"/>
        </w:rPr>
        <w:t xml:space="preserve"> </w:t>
      </w:r>
      <w:r>
        <w:rPr>
          <w:rFonts w:ascii="Malgun Gothic" w:hAnsi="Malgun Gothic" w:eastAsia="Malgun Gothic" w:cs="Malgun Gothic"/>
        </w:rPr>
        <w:t>표지하였다</w:t>
      </w:r>
      <w:r>
        <w:rPr>
          <w:rFonts w:ascii="Times New Roman" w:hAnsi="Times New Roman" w:eastAsia="Times New Roman" w:cs="Times New Roman"/>
        </w:rPr>
        <w:t xml:space="preserve">. </w:t>
      </w:r>
      <w:r>
        <w:rPr>
          <w:rFonts w:ascii="Malgun Gothic" w:hAnsi="Malgun Gothic" w:eastAsia="Malgun Gothic" w:cs="Malgun Gothic"/>
        </w:rPr>
        <w:t>예수께서는</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것의</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것의</w:t>
      </w:r>
      <w:r>
        <w:rPr>
          <w:rFonts w:ascii="Times New Roman" w:hAnsi="Times New Roman" w:eastAsia="Times New Roman" w:cs="Times New Roman"/>
        </w:rPr>
        <w:t xml:space="preserve"> </w:t>
      </w:r>
      <w:r>
        <w:rPr>
          <w:rFonts w:ascii="Malgun Gothic" w:hAnsi="Malgun Gothic" w:eastAsia="Malgun Gothic" w:cs="Malgun Gothic"/>
        </w:rPr>
        <w:t>시작으로</w:t>
      </w:r>
      <w:r>
        <w:rPr>
          <w:rFonts w:ascii="Times New Roman" w:hAnsi="Times New Roman" w:eastAsia="Times New Roman" w:cs="Times New Roman"/>
        </w:rPr>
        <w:t xml:space="preserve"> </w:t>
      </w:r>
      <w:r>
        <w:rPr>
          <w:rFonts w:ascii="Malgun Gothic" w:hAnsi="Malgun Gothic" w:eastAsia="Malgun Gothic" w:cs="Malgun Gothic"/>
        </w:rPr>
        <w:t>예증하시며</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w:t>
      </w:r>
      <w:r>
        <w:rPr>
          <w:rFonts w:ascii="Times New Roman" w:hAnsi="Times New Roman" w:eastAsia="Times New Roman" w:cs="Times New Roman"/>
        </w:rPr>
        <w:t>(</w:t>
      </w:r>
      <w:r>
        <w:rPr>
          <w:rFonts w:ascii="Malgun Gothic" w:hAnsi="Malgun Gothic" w:eastAsia="Malgun Gothic" w:cs="Malgun Gothic"/>
        </w:rPr>
        <w:t>밀러파</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w:t>
      </w:r>
      <w:r>
        <w:rPr>
          <w:rFonts w:ascii="Times New Roman" w:hAnsi="Times New Roman" w:eastAsia="Times New Roman" w:cs="Times New Roman"/>
        </w:rPr>
        <w:t>(</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예증한다</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운동은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끝난다</w:t>
      </w:r>
      <w:r>
        <w:rPr>
          <w:rFonts w:ascii="Times New Roman" w:hAnsi="Times New Roman" w:eastAsia="Times New Roman" w:cs="Times New Roman"/>
        </w:rPr>
        <w:t xml:space="preserve">. </w:t>
      </w:r>
      <w:r>
        <w:rPr>
          <w:rFonts w:ascii="Malgun Gothic" w:hAnsi="Malgun Gothic" w:eastAsia="Malgun Gothic" w:cs="Malgun Gothic"/>
        </w:rPr>
        <w:t>이런</w:t>
      </w:r>
      <w:r>
        <w:rPr>
          <w:rFonts w:ascii="Times New Roman" w:hAnsi="Times New Roman" w:eastAsia="Times New Roman" w:cs="Times New Roman"/>
        </w:rPr>
        <w:t xml:space="preserve"> </w:t>
      </w:r>
      <w:r>
        <w:rPr>
          <w:rFonts w:ascii="Malgun Gothic" w:hAnsi="Malgun Gothic" w:eastAsia="Malgun Gothic" w:cs="Malgun Gothic"/>
        </w:rPr>
        <w:t>것들은</w:t>
      </w:r>
      <w:r>
        <w:rPr>
          <w:rFonts w:ascii="Times New Roman" w:hAnsi="Times New Roman" w:eastAsia="Times New Roman" w:cs="Times New Roman"/>
        </w:rPr>
        <w:t xml:space="preserve"> </w:t>
      </w:r>
      <w:r>
        <w:rPr>
          <w:rFonts w:ascii="Malgun Gothic" w:hAnsi="Malgun Gothic" w:eastAsia="Malgun Gothic" w:cs="Malgun Gothic"/>
        </w:rPr>
        <w:t>꾸며</w:t>
      </w:r>
      <w:r>
        <w:rPr>
          <w:rFonts w:ascii="Times New Roman" w:hAnsi="Times New Roman" w:eastAsia="Times New Roman" w:cs="Times New Roman"/>
        </w:rPr>
        <w:t xml:space="preserve"> </w:t>
      </w:r>
      <w:r>
        <w:rPr>
          <w:rFonts w:ascii="Malgun Gothic" w:hAnsi="Malgun Gothic" w:eastAsia="Malgun Gothic" w:cs="Malgun Gothic"/>
        </w:rPr>
        <w:t>낼</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Tukwendeleze somo hili katika makala inayofuata.</w:t>
      </w:r>
    </w:p>
    <w:p>
      <w:pPr>
        <w:pStyle w:val="ArticleScripture"/>
        <w:jc w:val="left"/>
      </w:pPr>
      <w:r>
        <w:rPr>
          <w:rFonts w:ascii="Times New Roman" w:hAnsi="Times New Roman" w:eastAsia="Times New Roman" w:cs="Times New Roman"/>
        </w:rPr>
        <w:t>“Batu abo bali mu myanya y’obuvunaanyizibwa tebateekwa kukyusibwa ne bafuuka ab’okukkiriza emitindo gy’ensi egy’okweleyereza n’okweyonoona mu by’amaanyi, kubanga tebayinza kugisobola; era ne bwe bandisobodde, emitindo egya Kristo tegyandikkirizza. Okwigiriza okw’enjawulo okw’amaanyi kwetaagibwa. ‘Ani gw’aliyigiriza okumanya? era ani gw’aliwa okutegeera enjigiriza? abo abalumiddwa ku mata, ne baggibwa ku mabeere. Kubanga etteeka liteekwa okuba ku tteeka, etteeka ku tteeka; layini ku layini, layini ku layini; wano katono, na wali katono.’ Bw’atyo ekigambo kya Mukama kiteekwa okuleetebwa mu maaso g’abaana n’obugumiikiriza era ne kikuumibwa mu maaso gaabwe, abazadde abakkiriza ekigambo kya Katonda nga bakikola. ‘Kubanga alibayogera n’emimwa egy’okusikattira n’olulimi olulala eri abantu bano. Be yagamba nti, Kino kye kiwummulo mwe munaawummuzisiza abakooye; era kuno kwe kuzza obuggya: naye ne batayagala kuwulira. Naye ekigambo kya Mukama ne kifuuka gye bali etteeka ku tteeka, etteeka ku tteeka; layini ku layini, layini ku layini; wano katono, na wali katono; balyoke bagende, bagwe emabega, bamenyeke, basibwe mu mutego, era bakwatibwe.’ Lwaki?—kubanga tebaafaayo ku kigambo kya Mukama ekyajja gye bali.”</w:t>
      </w:r>
    </w:p>
    <w:p>
      <w:pPr>
        <w:pStyle w:val="ArticleScripture"/>
        <w:jc w:val="left"/>
      </w:pPr>
      <w:r>
        <w:rPr>
          <w:rFonts w:ascii="Times New Roman" w:hAnsi="Times New Roman" w:eastAsia="Times New Roman" w:cs="Times New Roman"/>
        </w:rPr>
        <w:t>“Eleyi túmọ̀ sí àwọn tí kò tíì gba ìtọ́ni, ṣùgbọ́n tí wọ́n ti fẹ́ràn ọgbọ́n ara wọn, tí wọ́n sì ti yàn láti ṣiṣẹ́ fún ara wọn gẹ́gẹ́ bí èrò tiwọn. Olúwa fún irú àwọn wọ̀nyí ní ìdánwò náà, kí wọ́n lè yá ipò wọn láti tẹ̀lé ìmọ̀ràn Rẹ̀, tàbí kí wọ́n kọ̀, kí wọ́n sì ṣe gẹ́gẹ́ bí èrò tiwọn; lẹ́yìn náà Olúwa yóò fi wọ́n sílẹ̀ sí àbájáde tí ó dájú. Nínú gbogbo ọ̀nà wa, nínú gbogbo iṣẹ́ ìsìn wa sí Ọlọ́run, Ó ń bá wa sọ pé, ‘Fi ọkàn rẹ fún Mi.’ Ẹ̀mí ìtẹríba, tí ó sì jẹ́ ẹni tí a lè kọ́, ni Ọlọ́run ń fẹ́. Ohun tí ń fún àdúrà ní ọlá-àṣẹ rẹ̀ ni òtítọ́ náà pé a mí i jáde láti inú ọkàn onífẹ̀ẹ́, onígbọràn.</w:t>
      </w:r>
    </w:p>
    <w:p>
      <w:pPr>
        <w:pStyle w:val="ArticleScripture"/>
        <w:jc w:val="left"/>
      </w:pPr>
      <w:r>
        <w:rPr>
          <w:rFonts w:ascii="Times New Roman" w:hAnsi="Times New Roman" w:eastAsia="Times New Roman" w:cs="Times New Roman"/>
        </w:rPr>
        <w:t>"Xwedê ji gelê Xwe hin tiştan dixwaze; heke ew bibêjin, Ez dilê xwe nadim ku vî tiştî bikim, Xudan wan dihêle ku di dadweriya xwe ya ku ew bi xwe zanayî dibînin de, bê zanebûna asmanî, bidomînin, heta ku ev Nivîsar [Îşaya 28:13] bê temamkirin. Hûn ne ku bibêjin, Ez ê rêbertiya Xudan bişopînim heta xalekî ku bi dadweriya min re lihev tê, û paşê bi ramanên xwe ve bisekinin, û qebûl nekin ku li gorî şibandina Xudan werin şekildan. Bila pirs were kirin, Ma ev iradeya Xudan e? ne ku, Ma ev raya an dadweriya—– ye?"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Kitab de Daniel - Numero Setenta y Cinco</dc:title>
  <dc:subject>Ubwiruzanye bwo mu Buhanuzi: Kuva ku Butumwa bwa Yesaya kugera ku Ibyahishuwe byo muri Iyi Minsi</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