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Tisini na Moja</w:t>
      </w:r>
    </w:p>
    <w:p>
      <w:pPr>
        <w:pStyle w:val="ArticleSubtitle"/>
        <w:jc w:val="left"/>
      </w:pPr>
      <w:r>
        <w:rPr>
          <w:rFonts w:ascii="Arial" w:hAnsi="Arial" w:eastAsia="Arial" w:cs="Arial"/>
        </w:rPr>
        <w:t>Kufunua Mto wa Kinabii: Safari Kupitia Mahusiano Kati ya Mienendo ya Maono ya Danieli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Ubumenyi bwadeketswe mu murimo w’umumarayika wa mbere bushushanywa n’iyerekwa ry’Uruzi Ulai mu gitabo cya Daniyeli. Iryo yerekwa rihagarariye ibice bya karindwi, umunani n’icyenda bya Daniyeli, kandi ubumenyi bwadeketswe mu murimo w’umumarayika wa gatatu bushushanywa n’iyerekwa ry’Uruzi Hiddekel, rihagarariye ibice bya cumi, cumi na kimwe na cumi na bibiri. Amasano ari hagati y’iyo mirimo yombi ni menshi. Iyo mirimo yombi ihuzwa n’imyaka ijana na makumyabiri n’itandatu uhereye ku bugome bwo kwigomeka bwo mu 1863, kugeza ku gihe cy’iherezo mu 1989.</w:t>
      </w:r>
    </w:p>
    <w:p>
      <w:pPr>
        <w:pStyle w:val="ArticleBody"/>
        <w:jc w:val="left"/>
      </w:pPr>
      <w:r>
        <w:rPr>
          <w:rFonts w:ascii="Times New Roman" w:hAnsi="Times New Roman" w:eastAsia="Times New Roman" w:cs="Times New Roman"/>
        </w:rPr>
        <w:t>Mwisho wa nyakati zote mbili, katika kila vuguvugu, umewekwa alama na “nyakati saba” za Mambo ya Walawi ishirini na sita. Upagani, na kisha upapa, vilikuwa vimekanyagakanyaga patakatifu na jeshi mpaka wakati wa mwisho mwaka wa 1798. Tangu uasi wa 1863 hadi 1989, ukanyagaji wa kiroho ulikuwa umetukia, kama unavyowakilishwa na machukizo manne ya Ezekieli sura ya nane.</w:t>
      </w:r>
    </w:p>
    <w:p>
      <w:pPr>
        <w:pStyle w:val="ArticleBody"/>
        <w:jc w:val="left"/>
      </w:pPr>
      <w:r>
        <w:rPr>
          <w:rFonts w:ascii="Times New Roman" w:hAnsi="Times New Roman" w:eastAsia="Times New Roman" w:cs="Times New Roman"/>
        </w:rPr>
        <w:t>Umisaka makumi ana na mutandatu kuva ku iherezo ry’uburakari bwa mbere kugeza ku iherezo ry’uburakari bwa nyuma mu 1844, aho Kristo yari yarubakishije urusengero rw’umwuka, maze akarwinjiramo gitunguranye ku wa 22 Ukwakira 1844, bihura n’igihe cy’iherezo gitangira mu 1989 kugeza ku itegeko ryo ku cyumweru riri hafi kuza, ubwo Kristo yongeye kubaka urusengero rw’umwuka, azarugeramo gitunguranye mu isaha y’umutingito ukomeye wo mu Ibyahishuwe igice cya cumi na kimwe.</w:t>
      </w:r>
    </w:p>
    <w:p>
      <w:pPr>
        <w:pStyle w:val="ArticleBody"/>
        <w:jc w:val="left"/>
      </w:pPr>
      <w:r>
        <w:rPr>
          <w:rFonts w:ascii="Times New Roman" w:hAnsi="Times New Roman" w:eastAsia="Times New Roman" w:cs="Times New Roman"/>
        </w:rPr>
        <w:t>Dema ku sêyem di sala 1844-an de hat, Pêyamberê Peymanê ji nişkêve xuya bû da ku kurên Lewî paqij bike; lê di sala 1863-an de, wan Lewîyên bêvefadar peyama Mûsa ku ji aliyê Îlyas ve hate gihandin red kirin û zivirîn ku di çolê de bigerin. Di wê pêvajoya ceribandinê de, “avaker” dê di dawiyê de “kevirê goşeyê” yê “heft caran” red bikin, û paşê ji tevgera Fîladelfyayê derbas bibin heta dêra Laodîkeyayê. Di rojên dawî de, gava ku Pêyamberê Peymanê ji nişkêve tê perestgeha Xwe, di qanûna Yekşemê ya nêzîk-hatî de, Ew ê Lewîyên dilsoz bi kar bîne da ku pezên din ên Xwe bang bike. Dilsozên rojên dawî dê ji “dêr” a Laodîkeyayê derbas bûbin heta “tevger” a Fîladelfyayê.</w:t>
      </w:r>
    </w:p>
    <w:p>
      <w:pPr>
        <w:pStyle w:val="ArticleBody"/>
        <w:jc w:val="left"/>
      </w:pPr>
      <w:r>
        <w:rPr>
          <w:rFonts w:ascii="Times New Roman" w:hAnsi="Times New Roman" w:eastAsia="Times New Roman" w:cs="Times New Roman"/>
        </w:rPr>
        <w:t>ikorwa ry’umumarayika wa mbere ryatangaje ubutumwa bwaryo bwateguwe mu buryo bwa gihamya hashize imyaka magana abiri na makumyabiri nyuma y’aho Bibiliya y’Ubwami ya King James imenyekanishirijwe, kandi igikorwa cy’umumarayika wa gatatu cyatangaje ubutumwa bwacyo bwateguwe mu buryo bwa gihamya hashize imyaka magana abiri na makumyabiri nyuma y’aho Itangazo ry’Ubwigenge ryatangarijwe. Ubutumwa bwateguwe mu buryo bwa gihamya bw’izo ngendo zombi bwahawe imbaraga n’isohozwa ry’ubuhanuzi buvuga kuri Isilamu, bwari bwararanzwe no kumanuka k’umumarayika. Ukuza k’uwo mumarayika kwagaragaje intangiriro y’“impaka” zo muri Habakuki igice cya kabiri, kandi kuyobora gutangazwa kw’ameza ya Habakuki.</w:t>
      </w:r>
    </w:p>
    <w:p>
      <w:pPr>
        <w:pStyle w:val="ArticleBody"/>
        <w:jc w:val="left"/>
      </w:pPr>
      <w:r>
        <w:rPr>
          <w:rFonts w:ascii="Times New Roman" w:hAnsi="Times New Roman" w:eastAsia="Times New Roman" w:cs="Times New Roman"/>
        </w:rPr>
        <w:t>Ujumbe uliotiwa nguvu uliowakilishwa na mabamba ya Habakuki ulisababisha kukatishwa tamaa, ambako kuliingiza kipindi cha kukawia, kilichoongoza kwenye ujumbe wa Kilio cha Usiku wa Manane, kilichohitimishwa kwa kutimizwa kwa ujumbe wa Kilio cha Usiku wa Manane. Mifanano iliyopo kati ya harakati hizo mbili ni ushahidi wa mwisho kwa wale wanaochagua kuona, kwamba vipengele vyote vya historia ya Wamileraiti vimeunganishwa na, na vinarudiwa katika, historia ya wale mia moja arobaini na nne elfu. Kipindi cha wakati wa mvua ya masika ya mwisho kimefananishwa kwa mfano katika harakati ya Wamileraiti, na kinatimizwa katika harakati ya Future for America. Mara kwa mara ufunuo huwafahamisha wale walio tayari kusikia kwamba ni wale tu wanaoitambua mvua ya masika ya mwisho watakaoiipokea.</w:t>
      </w:r>
    </w:p>
    <w:p>
      <w:pPr>
        <w:pStyle w:val="ArticleBody"/>
        <w:jc w:val="left"/>
      </w:pPr>
      <w:r>
        <w:rPr>
          <w:rFonts w:ascii="Times New Roman" w:hAnsi="Times New Roman" w:eastAsia="Times New Roman" w:cs="Times New Roman"/>
        </w:rPr>
        <w:t>mvula ya makumwisho mu ntangu na yandi, mu kutambula na yandi, mpe mu nsangu na yandi nyonso me monisama na masolo ya ba-Millerite, mpe ndinga “zaba diaka” ke monisa kumona kima yina nge me monaka ntete. Nzila kaka ya kumona ntangu, kutambula, mpe nsangu ya mvula ya makumwisho kele kuzaba diaka ti yo me pesama kifwani na masolo ya ba-Millerite. Yo me pesama mpe kifwani na kati ya kutambula ya nkudulu ya santu yankaka. Kutambula ya ba-Millerite vandaka kutambula ya ebandeli yina ke tadisa kutambula ya nsuka, yo yina yo kele na bivinga mingi kuluta ya mbala mosi koleka kutambula ya nkudulu ya ntama. Yo kele mpe na kidimbu ya Alfa mpe Omega, Yina ke monisaka ntangu nyonso nsuka ya kima mosi na ebandeli ya kima mosi.</w:t>
      </w:r>
    </w:p>
    <w:p>
      <w:pPr>
        <w:pStyle w:val="ArticleBody"/>
        <w:jc w:val="left"/>
      </w:pPr>
      <w:r>
        <w:rPr>
          <w:rFonts w:ascii="Times New Roman" w:hAnsi="Times New Roman" w:eastAsia="Times New Roman" w:cs="Times New Roman"/>
        </w:rPr>
        <w:t>Mu ngendelo gwa baMillerite kwatekwe emisingi, ne nguzanchi ya pakati yali Daniel chapta ya kane na ya mwanda, mavesi ikumi na atatu ne ikumi na ine. Ndimanya ukuti Sister White alangisha vesi ya ikumi na ine ngo nguzanchi ya pakati ne nsingi, lelo ichine n’chakuti vesi ya ikumi na ine ni yanuko ku lukonko lwa vesi ya ikumi na itatu. Yanuko tayingaba ne fyakupilibula kano fye umuntu amvwishe ilukonko ilileta iyo yanuko. Vesi ya ikumi na itatu ilondolola ichimonwa ca kukandamizwa panshi, ico cilefikilishiwa na maka yabili ayaleta ubusanso; kabili vesi ya ikumi na ine e chimonwa ca kwa Kristu ukubwekesha itempile ne bumba ifyo fyakandamizwe panshi. Ifimonwa fibili fyapatikana ukutolokana ku mibele ya ndimi, ku gramari, na kuli Palmoni, Uwa Cishinka mu Kubala.</w:t>
      </w:r>
    </w:p>
    <w:p>
      <w:pPr>
        <w:pStyle w:val="ArticleBody"/>
        <w:jc w:val="left"/>
      </w:pPr>
      <w:r>
        <w:rPr>
          <w:rFonts w:ascii="Times New Roman" w:hAnsi="Times New Roman" w:eastAsia="Times New Roman" w:cs="Times New Roman"/>
        </w:rPr>
        <w:t>Wiliamu Milla alitumiwa kutambua kweli za msingi, ambazo ni Danieli sura ya nane, aya ya kumi na tatu na ya kumi na nne. Kito cha kwanza alichokigundua kilikuwa ni “nyakati saba” zinazowakilisha kukanyagwa chini kwa aya ya kumi na tatu, na mfumo alioujenga muundo wake wote wa unabii juu yake ulikuwa ni dhana ya “mamlaka mbili zinazofanya ukiwa” inayowakilishwa katika aya ya kumi na tatu. Milla alitambua kwa usahihi kwamba “ya daima” chukizo la aya ya kumi na tatu lilikuwa ni upagani, na uasi wa mamlaka inayofanya ukiwa ulikuwa ni upapa. Kwa maana hii, “msingi” wenyewe wa mfumo wa Milla, na “msingi” wa msingi na nguzo kuu, ulikuwa ni ufahamu kwamba “ya daima” katika sura ya nane iliwakilisha upagani. Msingi wa kuongezeka kwa maarifa kutoka katika historia ya Wamilleriti ulikuwa ni kwamba “ya daima,” ya Danieli sura ya nane, ilikuwa ni upagani, na uvuvio ulikuwa mwangalifu kubainisha kwamba “wale waliotoa kilio cha saa ya hukumu walikuwa na uelewa sahihi wa ya daima.”</w:t>
      </w:r>
    </w:p>
    <w:p>
      <w:pPr>
        <w:pStyle w:val="ArticleBody"/>
        <w:jc w:val="left"/>
      </w:pPr>
      <w:r>
        <w:rPr>
          <w:rFonts w:ascii="Times New Roman" w:hAnsi="Times New Roman" w:eastAsia="Times New Roman" w:cs="Times New Roman"/>
        </w:rPr>
        <w:t>1989</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끝의</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빛의</w:t>
      </w:r>
      <w:r>
        <w:rPr>
          <w:rFonts w:ascii="Times New Roman" w:hAnsi="Times New Roman" w:eastAsia="Times New Roman" w:cs="Times New Roman"/>
        </w:rPr>
        <w:t xml:space="preserve"> </w:t>
      </w:r>
      <w:r>
        <w:rPr>
          <w:rFonts w:ascii="Malgun Gothic" w:hAnsi="Malgun Gothic" w:eastAsia="Malgun Gothic" w:cs="Malgun Gothic"/>
        </w:rPr>
        <w:t>기초는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날마다</w:t>
      </w:r>
      <w:r>
        <w:rPr>
          <w:rFonts w:ascii="Times New Roman" w:hAnsi="Times New Roman" w:eastAsia="Times New Roman" w:cs="Times New Roman"/>
        </w:rPr>
        <w:t>”</w:t>
      </w:r>
      <w:r>
        <w:rPr>
          <w:rFonts w:ascii="Malgun Gothic" w:hAnsi="Malgun Gothic" w:eastAsia="Malgun Gothic" w:cs="Malgun Gothic"/>
        </w:rPr>
        <w:t>이다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단지</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평행일</w:t>
      </w:r>
      <w:r>
        <w:rPr>
          <w:rFonts w:ascii="Times New Roman" w:hAnsi="Times New Roman" w:eastAsia="Times New Roman" w:cs="Times New Roman"/>
        </w:rPr>
        <w:t xml:space="preserve"> </w:t>
      </w:r>
      <w:r>
        <w:rPr>
          <w:rFonts w:ascii="Malgun Gothic" w:hAnsi="Malgun Gothic" w:eastAsia="Malgun Gothic" w:cs="Malgun Gothic"/>
        </w:rPr>
        <w:t>뿐이다</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여섯</w:t>
      </w:r>
      <w:r>
        <w:rPr>
          <w:rFonts w:ascii="Times New Roman" w:hAnsi="Times New Roman" w:eastAsia="Times New Roman" w:cs="Times New Roman"/>
        </w:rPr>
        <w:t xml:space="preserve"> </w:t>
      </w:r>
      <w:r>
        <w:rPr>
          <w:rFonts w:ascii="Malgun Gothic" w:hAnsi="Malgun Gothic" w:eastAsia="Malgun Gothic" w:cs="Malgun Gothic"/>
        </w:rPr>
        <w:t>절에</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증가를</w:t>
      </w:r>
      <w:r>
        <w:rPr>
          <w:rFonts w:ascii="Times New Roman" w:hAnsi="Times New Roman" w:eastAsia="Times New Roman" w:cs="Times New Roman"/>
        </w:rPr>
        <w:t xml:space="preserve"> </w:t>
      </w:r>
      <w:r>
        <w:rPr>
          <w:rFonts w:ascii="Malgun Gothic" w:hAnsi="Malgun Gothic" w:eastAsia="Malgun Gothic" w:cs="Malgun Gothic"/>
        </w:rPr>
        <w:t>인식하기</w:t>
      </w:r>
      <w:r>
        <w:rPr>
          <w:rFonts w:ascii="Times New Roman" w:hAnsi="Times New Roman" w:eastAsia="Times New Roman" w:cs="Times New Roman"/>
        </w:rPr>
        <w:t xml:space="preserve"> </w:t>
      </w:r>
      <w:r>
        <w:rPr>
          <w:rFonts w:ascii="Malgun Gothic" w:hAnsi="Malgun Gothic" w:eastAsia="Malgun Gothic" w:cs="Malgun Gothic"/>
        </w:rPr>
        <w:t>위해서는</w:t>
      </w:r>
      <w:r>
        <w:rPr>
          <w:rFonts w:ascii="Times New Roman" w:hAnsi="Times New Roman" w:eastAsia="Times New Roman" w:cs="Times New Roman"/>
        </w:rPr>
        <w:t xml:space="preserve"> </w:t>
      </w:r>
      <w:r>
        <w:rPr>
          <w:rFonts w:ascii="Malgun Gothic" w:hAnsi="Malgun Gothic" w:eastAsia="Malgun Gothic" w:cs="Malgun Gothic"/>
        </w:rPr>
        <w:t>엘렌</w:t>
      </w:r>
      <w:r>
        <w:rPr>
          <w:rFonts w:ascii="Times New Roman" w:hAnsi="Times New Roman" w:eastAsia="Times New Roman" w:cs="Times New Roman"/>
        </w:rPr>
        <w:t xml:space="preserve"> </w:t>
      </w:r>
      <w:r>
        <w:rPr>
          <w:rFonts w:ascii="Malgun Gothic" w:hAnsi="Malgun Gothic" w:eastAsia="Malgun Gothic" w:cs="Malgun Gothic"/>
        </w:rPr>
        <w:t>화잇의</w:t>
      </w:r>
      <w:r>
        <w:rPr>
          <w:rFonts w:ascii="Times New Roman" w:hAnsi="Times New Roman" w:eastAsia="Times New Roman" w:cs="Times New Roman"/>
        </w:rPr>
        <w:t xml:space="preserve"> </w:t>
      </w:r>
      <w:r>
        <w:rPr>
          <w:rFonts w:ascii="Malgun Gothic" w:hAnsi="Malgun Gothic" w:eastAsia="Malgun Gothic" w:cs="Malgun Gothic"/>
        </w:rPr>
        <w:t>저술을</w:t>
      </w:r>
      <w:r>
        <w:rPr>
          <w:rFonts w:ascii="Times New Roman" w:hAnsi="Times New Roman" w:eastAsia="Times New Roman" w:cs="Times New Roman"/>
        </w:rPr>
        <w:t xml:space="preserve"> </w:t>
      </w:r>
      <w:r>
        <w:rPr>
          <w:rFonts w:ascii="Malgun Gothic" w:hAnsi="Malgun Gothic" w:eastAsia="Malgun Gothic" w:cs="Malgun Gothic"/>
        </w:rPr>
        <w:t>적용하는</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요구된다</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저술에서</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31</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절들에서</w:t>
      </w:r>
      <w:r>
        <w:rPr>
          <w:rFonts w:ascii="Times New Roman" w:hAnsi="Times New Roman" w:eastAsia="Times New Roman" w:cs="Times New Roman"/>
        </w:rPr>
        <w:t xml:space="preserve"> </w:t>
      </w:r>
      <w:r>
        <w:rPr>
          <w:rFonts w:ascii="Malgun Gothic" w:hAnsi="Malgun Gothic" w:eastAsia="Malgun Gothic" w:cs="Malgun Gothic"/>
        </w:rPr>
        <w:t>반복될</w:t>
      </w:r>
      <w:r>
        <w:rPr>
          <w:rFonts w:ascii="Times New Roman" w:hAnsi="Times New Roman" w:eastAsia="Times New Roman" w:cs="Times New Roman"/>
        </w:rPr>
        <w:t xml:space="preserve"> </w:t>
      </w:r>
      <w:r>
        <w:rPr>
          <w:rFonts w:ascii="Malgun Gothic" w:hAnsi="Malgun Gothic" w:eastAsia="Malgun Gothic" w:cs="Malgun Gothic"/>
        </w:rPr>
        <w:t>것임을</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영감된</w:t>
      </w:r>
      <w:r>
        <w:rPr>
          <w:rFonts w:ascii="Times New Roman" w:hAnsi="Times New Roman" w:eastAsia="Times New Roman" w:cs="Times New Roman"/>
        </w:rPr>
        <w:t xml:space="preserve"> </w:t>
      </w:r>
      <w:r>
        <w:rPr>
          <w:rFonts w:ascii="Malgun Gothic" w:hAnsi="Malgun Gothic" w:eastAsia="Malgun Gothic" w:cs="Malgun Gothic"/>
        </w:rPr>
        <w:t>단서가</w:t>
      </w:r>
      <w:r>
        <w:rPr>
          <w:rFonts w:ascii="Times New Roman" w:hAnsi="Times New Roman" w:eastAsia="Times New Roman" w:cs="Times New Roman"/>
        </w:rPr>
        <w:t xml:space="preserve"> </w:t>
      </w:r>
      <w:r>
        <w:rPr>
          <w:rFonts w:ascii="Malgun Gothic" w:hAnsi="Malgun Gothic" w:eastAsia="Malgun Gothic" w:cs="Malgun Gothic"/>
        </w:rPr>
        <w:t>없다면</w:t>
      </w:r>
      <w:r>
        <w:rPr>
          <w:rFonts w:ascii="Times New Roman" w:hAnsi="Times New Roman" w:eastAsia="Times New Roman" w:cs="Times New Roman"/>
        </w:rPr>
        <w:t>, 31</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평행한</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40</w:t>
      </w:r>
      <w:r>
        <w:rPr>
          <w:rFonts w:ascii="Malgun Gothic" w:hAnsi="Malgun Gothic" w:eastAsia="Malgun Gothic" w:cs="Malgun Gothic"/>
        </w:rPr>
        <w:t>절과</w:t>
      </w:r>
      <w:r>
        <w:rPr>
          <w:rFonts w:ascii="Times New Roman" w:hAnsi="Times New Roman" w:eastAsia="Times New Roman" w:cs="Times New Roman"/>
        </w:rPr>
        <w:t xml:space="preserve"> 41</w:t>
      </w:r>
      <w:r>
        <w:rPr>
          <w:rFonts w:ascii="Malgun Gothic" w:hAnsi="Malgun Gothic" w:eastAsia="Malgun Gothic" w:cs="Malgun Gothic"/>
        </w:rPr>
        <w:t>절과</w:t>
      </w:r>
      <w:r>
        <w:rPr>
          <w:rFonts w:ascii="Times New Roman" w:hAnsi="Times New Roman" w:eastAsia="Times New Roman" w:cs="Times New Roman"/>
        </w:rPr>
        <w:t xml:space="preserve"> </w:t>
      </w:r>
      <w:r>
        <w:rPr>
          <w:rFonts w:ascii="Malgun Gothic" w:hAnsi="Malgun Gothic" w:eastAsia="Malgun Gothic" w:cs="Malgun Gothic"/>
        </w:rPr>
        <w:t>연결하여</w:t>
      </w:r>
      <w:r>
        <w:rPr>
          <w:rFonts w:ascii="Times New Roman" w:hAnsi="Times New Roman" w:eastAsia="Times New Roman" w:cs="Times New Roman"/>
        </w:rPr>
        <w:t xml:space="preserve"> </w:t>
      </w:r>
      <w:r>
        <w:rPr>
          <w:rFonts w:ascii="Malgun Gothic" w:hAnsi="Malgun Gothic" w:eastAsia="Malgun Gothic" w:cs="Malgun Gothic"/>
        </w:rPr>
        <w:t>이해하는</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w:t>
      </w:r>
      <w:r>
        <w:rPr>
          <w:rFonts w:ascii="Malgun Gothic" w:hAnsi="Malgun Gothic" w:eastAsia="Malgun Gothic" w:cs="Malgun Gothic"/>
        </w:rPr>
        <w:t>훨씬</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어려운</w:t>
      </w:r>
      <w:r>
        <w:rPr>
          <w:rFonts w:ascii="Times New Roman" w:hAnsi="Times New Roman" w:eastAsia="Times New Roman" w:cs="Times New Roman"/>
        </w:rPr>
        <w:t xml:space="preserve"> </w:t>
      </w:r>
      <w:r>
        <w:rPr>
          <w:rFonts w:ascii="Malgun Gothic" w:hAnsi="Malgun Gothic" w:eastAsia="Malgun Gothic" w:cs="Malgun Gothic"/>
        </w:rPr>
        <w:t>과업이</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 siang ni” a pakabuk ni Daniel ket itakderna ti pagano ken isu ti pundasion ti pundasion para kadagiti Millerita, ken isu met ti pundasion ti mensahe para iti movimiento dagiti sangagasut ken uppat a pulo ket uppat a ribu. Isu pay ti kinapudno a sinadya a pinagbalin a biddut babaen iti maysa a “kinaulbod” a naiyeg iti maikatlo a kaputotan ti Laodicean a Adventismo, a naitipo babaen iti maikatlo nga aramid a makarimon a “babai a agsangsangit gapu kenni Tammuz” idi Ezekiel kapitulo walo, ken iti panagkompromiso a naipakita babaen iti maikatlo nga iglesia ti Pergamo.</w:t>
      </w:r>
    </w:p>
    <w:p>
      <w:pPr>
        <w:pStyle w:val="ArticleBody"/>
        <w:jc w:val="left"/>
      </w:pPr>
      <w:r>
        <w:rPr>
          <w:rFonts w:ascii="Times New Roman" w:hAnsi="Times New Roman" w:eastAsia="Times New Roman" w:cs="Times New Roman"/>
        </w:rPr>
        <w:t>iyoooojo lyaa Mwene aa kabumba mulimo wa “caanda cindi ne cindi” kuti nkhani mu ciindi ca mvula ya mumaalelo, ncakukomya maningi kapati, alimwi cili kule ncobeni ku busobozi bwa kuti bantu bakabumbe. Cizukulwana ca bune ca Adventismu wa Laodikea cilangiziwa mbuli ciyakotama ku zuba, a boobo cimililila kutambula cimanyilo ca ciswango. Sista White ulatondezya kuti kutambula cimanyilo eco nkokuba a mizeezo njiyonya a ciswango, alimwi kuti aabo basobana pa bupanduluzi bwa antikristu, kumamanino bayooba ku lubazu lwa muntu wa cibi. Zyonse ezi zilangililidwe mu baalumi bakale mu Jerusalemu mu cipati ca luseleka ca Ezekieli.</w:t>
      </w:r>
    </w:p>
    <w:p>
      <w:pPr>
        <w:pStyle w:val="ArticleBody"/>
        <w:jc w:val="left"/>
      </w:pPr>
      <w:r>
        <w:rPr>
          <w:rFonts w:ascii="Times New Roman" w:hAnsi="Times New Roman" w:eastAsia="Times New Roman" w:cs="Times New Roman"/>
        </w:rPr>
        <w:t>Ku kizazi cha tatu na cha nne Mungu huwapatiliza hukumu wale wamchukiao, nayo hukumu hiyo hutekelezwa wakati tabaka lile jingine linapokea muhuri wa idhini ya Mungu. Kifungu kilekile katika Maandiko kilichompa William Miller nuru aliyohitaji kutambua kwamba ilikuwa ni Roma ya kipagani iliyowakilishwa kuwa “sadaka ya daima” katika kitabu cha Danieli, ndicho utambulisho wa moja kwa moja kabisa wa yule mtu wa dhambi, ambaye wazee wa kale humsujudia katika sura ya nane ya Ezekieli. Sura hiyo humtambulisha papa wa nguvu ya pili iharibuyo, huku pia ikitambulisha upagani wa nguvu ya kwanza iharibuyo. Nayo kweli iliyo kiini cha kifungu hicho ni wajibu wa Roma ya kipagani, ambaye katika 2 Wathesalonike ndiye nguvu izuiayo upapa usipande kwenye kiti cha enzi mpaka mwaka 538.</w:t>
      </w:r>
    </w:p>
    <w:p>
      <w:pPr>
        <w:pStyle w:val="ArticleBody"/>
        <w:jc w:val="left"/>
      </w:pPr>
      <w:r>
        <w:rPr>
          <w:rFonts w:ascii="Times New Roman" w:hAnsi="Times New Roman" w:eastAsia="Times New Roman" w:cs="Times New Roman"/>
        </w:rPr>
        <w:t>“hiçar rojane” ya ku rastiya bingehîn a Miller bû, ew rastiyê bû ku destûr da wî ku çarçoveyek pêxemberiyê ava bike li ser bingeha du hêzên wêraniyê yên ku pîrozgeh û leşker pêl dikin û binpê dikin; ew rastî ye ku Pawlos ew nas dike wekî ew rastî ya ku tê redkirin, û ku di rojên dawî de ji bo wan kesên ku heman wê rastiyê hez nakin gumanek bihêz tîne. Li gorî dîrokên hevbeş, heman wê rastiyê, ku ew rastiya bingehîn e, destûr da Future for America ku çarçoveyek pêxemberiyê derbarê yekbûna dawî ya sê-alî di rojên dawî de ava bike.</w:t>
      </w:r>
    </w:p>
    <w:p>
      <w:pPr>
        <w:pStyle w:val="ArticleBody"/>
        <w:jc w:val="left"/>
      </w:pPr>
      <w:r>
        <w:rPr>
          <w:rFonts w:ascii="Times New Roman" w:hAnsi="Times New Roman" w:eastAsia="Times New Roman" w:cs="Times New Roman"/>
        </w:rPr>
        <w:t>Kwoka nakyo, naye amazima ago ag’omusingi, agali amazima ag’omusingi eri ebyafaayo byombi eby’enkanya, gafuulibwa “obulimba” obufuuka ensobi ey’oku musingi era n’okusikiriza okw’amaanyi Pawulo kw’ayogeraako, olw’enkola y’obubaka obw’enkuba ey’oluvannyuma ey’obulimba obw’“emirembe n’obukuumi” obulangirirwa abasajja abataaddayo nate kuyimusa maloboozi gaabwe ne balaga abantu ba Katonda ebyonoono byabwe. “Eky’ennaku zonna” kikiikirira omusingi gwonna ogw’entambula y’ekibiina eky’omubaka ow’olubereberye n’ow’omubaka ow’okusatu, era abajeemu ba Laodikiya bwe baakyusa amakulu gaakyo ne bagafuula eky’enjawulo ddala, nga bategeka akabonero aka Setaani ng’akabonero ka Kristo, akabonero ak’obulimba ne kafuuka omusingi gw’obubaka obw’okulimba obw’enkuba ey’oluvannyuma ey’obulimba.</w:t>
      </w:r>
    </w:p>
    <w:p>
      <w:pPr>
        <w:pStyle w:val="ArticleScripture"/>
        <w:jc w:val="left"/>
      </w:pPr>
      <w:r>
        <w:rPr>
          <w:rFonts w:ascii="Times New Roman" w:hAnsi="Times New Roman" w:eastAsia="Times New Roman" w:cs="Times New Roman"/>
        </w:rPr>
        <w:t>Mukisimeke, mushime ntemwa; lishotoloke, muvule: bakolwe, lelo ke na vino nansha; batalalalala, lelo ke na bikolwa bikole nansha. Pantu Yehova amiminenepo peenu mupashi wa tulo twakushinkana, kabili afimbile menso yenu: bapolofita na bakateka benu, ababoni, ebo abafimbile. Elyo ukumona kwa bonse kwabafikila nga mashina ya buku bwakakungwa, abo abantu bapela kuli uwishibe, bati, Belenga ici, ndapapata: nao ati, Nshingacibelenga; pantu cakakungwa: Elyo buku bupelwa kuli uushishibe, bati, Belenga ici, ndapapata: nao ati, Nshishibe ukubelenga. Eico Shikulu atile, Pantu abantu aba balensendelako mu kanwa kabo, kabili bampesha ne milomo yabo, lelo imitima yabo bayifumishepo kule na Ine, kabili ukuntina kwabo kuli Ine kwasambilishiwa ku mafunde ya bantu: Kanshi, moneni, nkatwalilila ukucita pakati ka bantu aba umulimo wa kusunguka, ee, umulimo wa kusunguka na cipeshamano: pantu amano ya ba mano babo yakapwa, kabili ukumfwa kwa ba mano yabo abacenekela kukafishiwa. Mwe bafiilwa abo abafwaya ukufisa amano yabo mu mashimo ukufuma kuli Yehova, kabili imilimo yabo ili mu mfifi, kabili batila, Nani utumona? kabili nani utwishiba? Cinshi, ukupilibula kwenu ifintu mu mulu no panshi kukabalwa nga bulongo bwa mubumbi: pantu bushe icintu icapangilwe cingalanda pa uwacipangile, ati, Tana mpangile? nangu bushe icintu icabumbilwe cingalanda pa uwacibumbile, ati, Tali na mano? Esaya 29:9–16.</w:t>
      </w:r>
    </w:p>
    <w:p>
      <w:pPr>
        <w:pStyle w:val="ArticleBody"/>
        <w:jc w:val="left"/>
      </w:pPr>
      <w:r>
        <w:rPr>
          <w:rFonts w:ascii="Times New Roman" w:hAnsi="Times New Roman" w:eastAsia="Times New Roman" w:cs="Times New Roman"/>
        </w:rPr>
        <w:t>Abahanuzi bose bavuze iby’iminsi y’imperuka, kandi kubeshya ku mugaragaro kugira ngo bahindure rwose ubusobanuro bw’“igitambo gihoraho” bakabuhindukiza umutwe hasi, bigana bya hafi cyane igisobanuro cy’icyaha kitabababarirwa. Kugenaho umuntu ko yazimiye iteka ryose birenze ubushobozi, cyangwa ubutware bwo mu rwego rw’imyitwarire, abantu bagira ku bandi bantu; ariko si cyo kiri hano kigaragazwa.</w:t>
      </w:r>
    </w:p>
    <w:p>
      <w:pPr>
        <w:pStyle w:val="ArticleBody"/>
        <w:jc w:val="left"/>
      </w:pPr>
      <w:r>
        <w:rPr>
          <w:rFonts w:ascii="Times New Roman" w:hAnsi="Times New Roman" w:eastAsia="Times New Roman" w:cs="Times New Roman"/>
        </w:rPr>
        <w:t>Pehlih In Aisaia mi bang ke thilte hi a lehlam a sangsang uh, chu Aisaia in hmundangah thim chu êng tih leh êng chu thim tih a sawi hi a danglamna thu sawi dang mai a ni, chuho chu an tawpna rorêlna a entîr laiin Jerusalem rorêltute mipa hluiho tihin an hriat a ni.</w:t>
      </w:r>
    </w:p>
    <w:p>
      <w:pPr>
        <w:pStyle w:val="ArticleScripture"/>
        <w:jc w:val="left"/>
      </w:pPr>
      <w:r>
        <w:rPr>
          <w:rFonts w:ascii="Times New Roman" w:hAnsi="Times New Roman" w:eastAsia="Times New Roman" w:cs="Times New Roman"/>
        </w:rPr>
        <w:t>Ole waxaya vaathu abatita owakhulanga okubi ngokuthi kuhle, nokuhle ngokuthi kubi; abamisa ubumnyama esikhundleni sokukhanya, nokukhanya esikhundleni sobumnyama; ababeka okubabayo esikhundleni sokumnandi, nokumnandi esikhundleni sokubabayo! Ole waxaya vaathu abahlakaniphileyo emehlweni abo, nabaqondayo ekuboneni kwabo! Ole waxaya vaathu abanamandla okuphuza iwayini, namadoda obuqhawe ekuxubeni isiphuzo esinamandla: abenza omubi abe ngolungileyo ngenxa yomvuzo, basuse ukulunga kolungileyo kuye! Ngakho-ke, njengokuba umlilo uqeda izibi, nelangabi liqothula amakhoba, ngokunjalo impande yabo iyakuba njengokubola, nembali yabo iyakukhuphuka njengothuli; ngokuba bayilahlile umthetho kaJehova wamabandla, badelela izwi loNgcwele ka-Israyeli. Ngakho intukuthelo kaJehova ivuthele abantu bakhe, welula isandla sakhe phezu kwabo, wabashaya; namagquma athuthumela, nezidumbu zabo zaba njengezinto ezidatshuliweyo phakathi kwezitaladi. Ngenxa yakho konke lokhu intukuthelo yakhe ayiphendukanga, kodwa isandla sakhe siseluliwe. Uyakuphakamisela izizwe ezikude ibhanela, azishayele ikhwelo eseziphethweni zomhlaba; bhekani, ziyakuza ngejubane, masinyane. U-Isaya 5:20–26.</w:t>
      </w:r>
    </w:p>
    <w:p>
      <w:pPr>
        <w:pStyle w:val="ArticleBody"/>
        <w:jc w:val="left"/>
      </w:pPr>
      <w:r>
        <w:rPr>
          <w:rFonts w:ascii="Times New Roman" w:hAnsi="Times New Roman" w:eastAsia="Times New Roman" w:cs="Times New Roman"/>
        </w:rPr>
        <w:t>Kalunga ka ensign yakwe (ba lukama lumo na bina na bine bya mafuku makumi ana na bane) kaluulwa ngwetu ensign pa ntangu ya nsiku ya Domingo yina ikesa masika, yina kele ntangu yina “nganzi ya Mfumu mepela na bantu na Yandi”, mpe Yandi wangana “diboko na Yandi na zulu na bo”, mpe “beti bo”, mpe “bikadulu na bo ta pasuka na kati-kati ya babalabala.” Kati-kati ya babalabala kele babalabala ya Yeruzalemi ntangu yina bawanzio babebisi ya Ezekiele kapu ya uvwa, bapekisami kubasika “mpe kubeta: disu na beno kubika ve, mpi beno wa mawa ve: Boma kieleka bankuluntu mpe bilenge, bana-bakento mpe bana ya fyoti, mpe bakento: kansi beno pusanaka ve pene-pene ya muntu nionso yina kele na kidimbu; mpe banda na kisika na Mono ya santu. Bongo bo bandaka na bakuluntu yina vandaka na ntwala ya nzo.” “Bakuluntu” ya Ezekiele, yina Mpangi-kento White ke tuba ti bo vandaka bantu yina fwete vanda bakalama ya bantu, kele “balawu ya Efraimi” ya Yezaya bayina “ke balulaka bima na nse-mpe-zulu” na bakapu ya makumi zole na nana mpe makumi zole na uvwa.</w:t>
      </w:r>
    </w:p>
    <w:p>
      <w:pPr>
        <w:pStyle w:val="ArticleBody"/>
        <w:jc w:val="left"/>
      </w:pPr>
      <w:r>
        <w:rPr>
          <w:rFonts w:ascii="Times New Roman" w:hAnsi="Times New Roman" w:eastAsia="Times New Roman" w:cs="Times New Roman"/>
        </w:rPr>
        <w:t>Cha ku tano, hao ndio walio “mashujaa wa kunywa divai, na watu wenye nguvu wa kuchanganya kileo; wanaomhesabia haki mwovu kwa ajili ya zawadi.” Kwa kuchapishwa kwa kitabu *Questions on Doctrine*, wale watu wa kale walikunywa katika kikombe cha Uprotestanti ulioasi, nao wakawasilisha injili ya uongo ya kuhesabiwa haki inayodai kwamba wanadamu hawawezi kutakaswa, kwamba Kristo ni Badala wetu, lakini si Mfano wetu. Kwa kufanya hivyo, kitabu hicho kiliwahesabia haki waovu, kwa thawabu ya kukubaliwa miongoni mwa makanisa yaliyoanguka ya Uprotestanti ulioasi. Kifungu hicho kinatambulisha hukumu yao ya mwisho, na sababu ya hukumu hiyo ni kwamba “wamelidharau neno la Mtakatifu wa Israeli.” Walifanya hivyo kwa kuikataa fahamu ya “the daily,” iliyowasilishwa na wale waliotoa kilio cha saa ya hukumu, na kwa kunywa katika kikombe cha Uprotestanti ulioasi.</w:t>
      </w:r>
    </w:p>
    <w:p>
      <w:pPr>
        <w:pStyle w:val="ArticleBody"/>
        <w:jc w:val="left"/>
      </w:pPr>
      <w:r>
        <w:rPr>
          <w:rFonts w:ascii="Times New Roman" w:hAnsi="Times New Roman" w:eastAsia="Times New Roman" w:cs="Times New Roman"/>
        </w:rPr>
        <w:t>وِسِمْبِتْسَوْ أُوكُولُونْغَوَهْ، بَاغُوِينْدُولَا أُوكُومْنَنْدِي أُكُبَا أُبُهْلُونْغُو، نُوأُكُومْنَنْدِي أُكُبَا أُبُهْلُونْغُو أُكُوْبَا أُكُبِهْلَا. أُمْلَايِزُو أُسِسَنْدْلِنِي سِكَا-نْجيلُوسِي لَفُوْنَا إِهْلَا يُونْغُومُنَنْدِي نْغَسِكْهَاتِي أُيِسْوِيْتِي، كَانْتِي أُسُونْدِيلِيلَوْ سَوْ أُيِبِهْلَا. بَافُونَا أُوكُوثِي أُمْلَايِزُو وَيْمْفُولَا يَوْكُوغْسِينَا وَقِينِيسُو، وِصِنِيسَوْ، أُولُوْقَالَا لَفُوْنَا إِهْلَا يِبِهْلَا، فُوتِي إِسِفُونْدُو سَوْ بَخُومْبَا أُمْلَايِزُو وُوكُوثُولَا نُوْكُوْزِيثُلَا وأُيِسْوِتِي أُكُيِنْقُولُتْهِنِي، نْغُوبَا بَانْغِيْكِ سَوْ بَزِيْغْوِيمِيسِي أُوكُوْفَاكَا إِيزِينْتُو أُنْغَقْوُبُو.</w:t>
      </w:r>
    </w:p>
    <w:p>
      <w:pPr>
        <w:pStyle w:val="ArticleBody"/>
        <w:jc w:val="left"/>
      </w:pPr>
      <w:r>
        <w:rPr>
          <w:rFonts w:ascii="Myanmar Text" w:hAnsi="Myanmar Text" w:eastAsia="Myanmar Text" w:cs="Myanmar Text"/>
        </w:rPr>
        <w:t>အပြစ်တော်ဤအရာကို</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ထိုကျမ်းပိုဒ်သည်၊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အစုအဖွဲ့ဆိုင်ရာ</w:t>
      </w:r>
      <w:r>
        <w:rPr>
          <w:rFonts w:ascii="Times New Roman" w:hAnsi="Times New Roman" w:eastAsia="Times New Roman" w:cs="Times New Roman"/>
        </w:rPr>
        <w:t xml:space="preserve"> </w:t>
      </w:r>
      <w:r>
        <w:rPr>
          <w:rFonts w:ascii="Myanmar Text" w:hAnsi="Myanmar Text" w:eastAsia="Myanmar Text" w:cs="Myanmar Text"/>
        </w:rPr>
        <w:t>စမ်းသပ်ကာလပိတ်သိမ်းချိန်၌</w:t>
      </w:r>
      <w:r>
        <w:rPr>
          <w:rFonts w:ascii="Times New Roman" w:hAnsi="Times New Roman" w:eastAsia="Times New Roman" w:cs="Times New Roman"/>
        </w:rPr>
        <w:t xml:space="preserve"> </w:t>
      </w:r>
      <w:r>
        <w:rPr>
          <w:rFonts w:ascii="Myanmar Text" w:hAnsi="Myanmar Text" w:eastAsia="Myanmar Text" w:cs="Myanmar Text"/>
        </w:rPr>
        <w:t>တည်ရှိသည်။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ပေဂံဝါဒ၏</w:t>
      </w:r>
      <w:r>
        <w:rPr>
          <w:rFonts w:ascii="Times New Roman" w:hAnsi="Times New Roman" w:eastAsia="Times New Roman" w:cs="Times New Roman"/>
        </w:rPr>
        <w:t xml:space="preserve"> </w:t>
      </w:r>
      <w:r>
        <w:rPr>
          <w:rFonts w:ascii="Myanmar Text" w:hAnsi="Myanmar Text" w:eastAsia="Myanmar Text" w:cs="Myanmar Text"/>
        </w:rPr>
        <w:t>စာတန်ဆိုင်ရာ</w:t>
      </w:r>
      <w:r>
        <w:rPr>
          <w:rFonts w:ascii="Times New Roman" w:hAnsi="Times New Roman" w:eastAsia="Times New Roman" w:cs="Times New Roman"/>
        </w:rPr>
        <w:t xml:space="preserve"> </w:t>
      </w:r>
      <w:r>
        <w:rPr>
          <w:rFonts w:ascii="Myanmar Text" w:hAnsi="Myanmar Text" w:eastAsia="Myanmar Text" w:cs="Myanmar Text"/>
        </w:rPr>
        <w:t>လုပ်ဆောင်မှုကို</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လုပ်ဆောင်မှုအဖြစ်</w:t>
      </w:r>
      <w:r>
        <w:rPr>
          <w:rFonts w:ascii="Times New Roman" w:hAnsi="Times New Roman" w:eastAsia="Times New Roman" w:cs="Times New Roman"/>
        </w:rPr>
        <w:t xml:space="preserve"> </w:t>
      </w:r>
      <w:r>
        <w:rPr>
          <w:rFonts w:ascii="Myanmar Text" w:hAnsi="Myanmar Text" w:eastAsia="Myanmar Text" w:cs="Myanmar Text"/>
        </w:rPr>
        <w:t>သတ်မှတ်ဖော်ထုတ်သော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လုပ်ရပ်များသည်၊</w:t>
      </w:r>
      <w:r>
        <w:rPr>
          <w:rFonts w:ascii="Times New Roman" w:hAnsi="Times New Roman" w:eastAsia="Times New Roman" w:cs="Times New Roman"/>
        </w:rPr>
        <w:t xml:space="preserve"> </w:t>
      </w:r>
      <w:r>
        <w:rPr>
          <w:rFonts w:ascii="Myanmar Text" w:hAnsi="Myanmar Text" w:eastAsia="Myanmar Text" w:cs="Myanmar Text"/>
        </w:rPr>
        <w:t>သန့်ရှင်းသောဝိညာဉ်တော်၏</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အမှုအဖြစ်</w:t>
      </w:r>
      <w:r>
        <w:rPr>
          <w:rFonts w:ascii="Times New Roman" w:hAnsi="Times New Roman" w:eastAsia="Times New Roman" w:cs="Times New Roman"/>
        </w:rPr>
        <w:t xml:space="preserve"> </w:t>
      </w:r>
      <w:r>
        <w:rPr>
          <w:rFonts w:ascii="Myanmar Text" w:hAnsi="Myanmar Text" w:eastAsia="Myanmar Text" w:cs="Myanmar Text"/>
        </w:rPr>
        <w:t>သတ်မှတ်ဖော်ထုတ်ခြင်းဟူသော</w:t>
      </w:r>
      <w:r>
        <w:rPr>
          <w:rFonts w:ascii="Times New Roman" w:hAnsi="Times New Roman" w:eastAsia="Times New Roman" w:cs="Times New Roman"/>
        </w:rPr>
        <w:t xml:space="preserve"> </w:t>
      </w:r>
      <w:r>
        <w:rPr>
          <w:rFonts w:ascii="Myanmar Text" w:hAnsi="Myanmar Text" w:eastAsia="Myanmar Text" w:cs="Myanmar Text"/>
        </w:rPr>
        <w:t>ခွင့်လွှတ်၍မရသော</w:t>
      </w:r>
      <w:r>
        <w:rPr>
          <w:rFonts w:ascii="Times New Roman" w:hAnsi="Times New Roman" w:eastAsia="Times New Roman" w:cs="Times New Roman"/>
        </w:rPr>
        <w:t xml:space="preserve"> </w:t>
      </w:r>
      <w:r>
        <w:rPr>
          <w:rFonts w:ascii="Myanmar Text" w:hAnsi="Myanmar Text" w:eastAsia="Myanmar Text" w:cs="Myanmar Text"/>
        </w:rPr>
        <w:t>အပြစ်နှင့်</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အပြိုင်သဘောတရားဖြစ်ကြောင်း</w:t>
      </w:r>
      <w:r>
        <w:rPr>
          <w:rFonts w:ascii="Times New Roman" w:hAnsi="Times New Roman" w:eastAsia="Times New Roman" w:cs="Times New Roman"/>
        </w:rPr>
        <w:t xml:space="preserve"> </w:t>
      </w:r>
      <w:r>
        <w:rPr>
          <w:rFonts w:ascii="Myanmar Text" w:hAnsi="Myanmar Text" w:eastAsia="Myanmar Text" w:cs="Myanmar Text"/>
        </w:rPr>
        <w:t>မြင်ရခြင်းသည်</w:t>
      </w:r>
      <w:r>
        <w:rPr>
          <w:rFonts w:ascii="Times New Roman" w:hAnsi="Times New Roman" w:eastAsia="Times New Roman" w:cs="Times New Roman"/>
        </w:rPr>
        <w:t xml:space="preserve"> </w:t>
      </w:r>
      <w:r>
        <w:rPr>
          <w:rFonts w:ascii="Myanmar Text" w:hAnsi="Myanmar Text" w:eastAsia="Myanmar Text" w:cs="Myanmar Text"/>
        </w:rPr>
        <w:t>သင့်လျော်သည်။</w:t>
      </w:r>
      <w:r>
        <w:rPr>
          <w:rFonts w:ascii="Times New Roman" w:hAnsi="Times New Roman" w:eastAsia="Times New Roman" w:cs="Times New Roman"/>
        </w:rPr>
        <w:t xml:space="preserve"> “</w:t>
      </w:r>
      <w:r>
        <w:rPr>
          <w:rFonts w:ascii="Myanmar Text" w:hAnsi="Myanmar Text" w:eastAsia="Myanmar Text" w:cs="Myanmar Text"/>
        </w:rPr>
        <w:t>လိမ်လည်မှု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အက်ဒဗင်တစ်ဝါဒ၏</w:t>
      </w:r>
      <w:r>
        <w:rPr>
          <w:rFonts w:ascii="Times New Roman" w:hAnsi="Times New Roman" w:eastAsia="Times New Roman" w:cs="Times New Roman"/>
        </w:rPr>
        <w:t xml:space="preserve"> </w:t>
      </w:r>
      <w:r>
        <w:rPr>
          <w:rFonts w:ascii="Myanmar Text" w:hAnsi="Myanmar Text" w:eastAsia="Myanmar Text" w:cs="Myanmar Text"/>
        </w:rPr>
        <w:t>တတိယမျိုးဆက်အတွင်း</w:t>
      </w:r>
      <w:r>
        <w:rPr>
          <w:rFonts w:ascii="Times New Roman" w:hAnsi="Times New Roman" w:eastAsia="Times New Roman" w:cs="Times New Roman"/>
        </w:rPr>
        <w:t xml:space="preserve"> </w:t>
      </w:r>
      <w:r>
        <w:rPr>
          <w:rFonts w:ascii="Myanmar Text" w:hAnsi="Myanmar Text" w:eastAsia="Myanmar Text" w:cs="Myanmar Text"/>
        </w:rPr>
        <w:t>ထည့်သွင်းထားခြင်းသည်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နောက်မိုးရေသွန်လောင်းခြင်းဆိုင်ရာ</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အခြေခံယုတ္တိကို</w:t>
      </w:r>
      <w:r>
        <w:rPr>
          <w:rFonts w:ascii="Times New Roman" w:hAnsi="Times New Roman" w:eastAsia="Times New Roman" w:cs="Times New Roman"/>
        </w:rPr>
        <w:t xml:space="preserve"> </w:t>
      </w:r>
      <w:r>
        <w:rPr>
          <w:rFonts w:ascii="Myanmar Text" w:hAnsi="Myanmar Text" w:eastAsia="Myanmar Text" w:cs="Myanmar Text"/>
        </w:rPr>
        <w:t>ပံ့ပိုးပေးခဲ့ပြီး၊</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သူတို့အပေါ်</w:t>
      </w:r>
      <w:r>
        <w:rPr>
          <w:rFonts w:ascii="Times New Roman" w:hAnsi="Times New Roman" w:eastAsia="Times New Roman" w:cs="Times New Roman"/>
        </w:rPr>
        <w:t xml:space="preserve"> </w:t>
      </w:r>
      <w:r>
        <w:rPr>
          <w:rFonts w:ascii="Myanmar Text" w:hAnsi="Myanmar Text" w:eastAsia="Myanmar Text" w:cs="Myanmar Text"/>
        </w:rPr>
        <w:t>အလွန်ပြင်းထန်သော</w:t>
      </w:r>
      <w:r>
        <w:rPr>
          <w:rFonts w:ascii="Times New Roman" w:hAnsi="Times New Roman" w:eastAsia="Times New Roman" w:cs="Times New Roman"/>
        </w:rPr>
        <w:t xml:space="preserve"> </w:t>
      </w:r>
      <w:r>
        <w:rPr>
          <w:rFonts w:ascii="Myanmar Text" w:hAnsi="Myanmar Text" w:eastAsia="Myanmar Text" w:cs="Myanmar Text"/>
        </w:rPr>
        <w:t>မိုဟ်မှားယွင်းခြင်းကို</w:t>
      </w:r>
      <w:r>
        <w:rPr>
          <w:rFonts w:ascii="Times New Roman" w:hAnsi="Times New Roman" w:eastAsia="Times New Roman" w:cs="Times New Roman"/>
        </w:rPr>
        <w:t xml:space="preserve"> </w:t>
      </w:r>
      <w:r>
        <w:rPr>
          <w:rFonts w:ascii="Myanmar Text" w:hAnsi="Myanmar Text" w:eastAsia="Myanmar Text" w:cs="Myanmar Text"/>
        </w:rPr>
        <w:t>ရောက်စေသည်။</w:t>
      </w:r>
      <w:r>
        <w:rPr>
          <w:rFonts w:ascii="Times New Roman" w:hAnsi="Times New Roman" w:eastAsia="Times New Roman" w:cs="Times New Roman"/>
        </w:rPr>
        <w:t xml:space="preserve"> Miller </w:t>
      </w:r>
      <w:r>
        <w:rPr>
          <w:rFonts w:ascii="Myanmar Text" w:hAnsi="Myanmar Text" w:eastAsia="Myanmar Text" w:cs="Myanmar Text"/>
        </w:rPr>
        <w:t>သည်</w:t>
      </w:r>
      <w:r>
        <w:rPr>
          <w:rFonts w:ascii="Times New Roman" w:hAnsi="Times New Roman" w:eastAsia="Times New Roman" w:cs="Times New Roman"/>
        </w:rPr>
        <w:t xml:space="preserve"> “the daily”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အဓိပ္ပာယ်ကို</w:t>
      </w:r>
      <w:r>
        <w:rPr>
          <w:rFonts w:ascii="Times New Roman" w:hAnsi="Times New Roman" w:eastAsia="Times New Roman" w:cs="Times New Roman"/>
        </w:rPr>
        <w:t xml:space="preserve"> </w:t>
      </w:r>
      <w:r>
        <w:rPr>
          <w:rFonts w:ascii="Myanmar Text" w:hAnsi="Myanmar Text" w:eastAsia="Myanmar Text" w:cs="Myanmar Text"/>
        </w:rPr>
        <w:t>နားလည်လာခဲ့သော</w:t>
      </w:r>
      <w:r>
        <w:rPr>
          <w:rFonts w:ascii="Times New Roman" w:hAnsi="Times New Roman" w:eastAsia="Times New Roman" w:cs="Times New Roman"/>
        </w:rPr>
        <w:t xml:space="preserve"> </w:t>
      </w:r>
      <w:r>
        <w:rPr>
          <w:rFonts w:ascii="Myanmar Text" w:hAnsi="Myanmar Text" w:eastAsia="Myanmar Text" w:cs="Myanmar Text"/>
        </w:rPr>
        <w:t>ထိုကျမ်းပိုဒ်တိတိ၌ပင်၊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ဖြိုဖျက်လှဲချခံရသူများအဖြစ်</w:t>
      </w:r>
      <w:r>
        <w:rPr>
          <w:rFonts w:ascii="Times New Roman" w:hAnsi="Times New Roman" w:eastAsia="Times New Roman" w:cs="Times New Roman"/>
        </w:rPr>
        <w:t xml:space="preserve"> </w:t>
      </w:r>
      <w:r>
        <w:rPr>
          <w:rFonts w:ascii="Myanmar Text" w:hAnsi="Myanmar Text" w:eastAsia="Myanmar Text" w:cs="Myanmar Text"/>
        </w:rPr>
        <w:t>ပုံဖော်ဖော်ပြထားကြသည်။</w:t>
      </w:r>
    </w:p>
    <w:p>
      <w:pPr>
        <w:pStyle w:val="ArticleScripture"/>
        <w:jc w:val="left"/>
      </w:pPr>
      <w:r>
        <w:rPr>
          <w:rFonts w:ascii="Times New Roman" w:hAnsi="Times New Roman" w:eastAsia="Times New Roman" w:cs="Times New Roman"/>
        </w:rPr>
        <w:t>Ata syang makapanhimbung ha iyo ha bisan ano nga paagi: kay adto nga adlaw diri maabot, gawas kon mahiuna anay an pagtalikod, ngan maipahayag an tawo han sala, an anak han kapirdehan; nga nakontra ngan nagpapahitaas han iya kalugaringon labaw ha ngatanan nga gintatawag nga Dios, o ginsisingba; salit hiya, sugad nga Dios, nalingkod ha templo han Dios, nga iginapakita an iya kalugaringon nga hiya amo an Dios. Diri ba kamo nahinumdom nga, han kaupod ko pa kamo, ginsumatan ko kamo hini nga mga butang? Ngan yana maaram na kamo kon ano an nagpupugong, basi maipahayag hiya ha iya panahon. Kay an tinago nga buhat han karat-an nagbubuhat na yana: la an usa nga yana nagpapugong amo la gihapon an magpapadayon ha pagpugong, tubtob nga makuha hiya tikang ha dalan. Ngan kataposan maipapahayag an Maraot, nga an Ginoo mauubos ha espiritu han iya baba, ngan papapahawaon pinaagi han kasanag han iya pagkari: Bisan hiya, nga an iya pagkari sumunod ha pagbuhat ni Satanas upod an ngatanan nga gahum ngan mga timaan ngan buwa nga mga katingalahan, Ngan upod an ngatanan nga limbong han pagkadiri-matadong dida hadton mga nawawara; tungod kay waray nira karawata an gugma han kamatuoran, basi unta maluwas hira. Ngan tungod hini nga hinungdan an Dios magpapadara ha ira hin makusog nga kasaypanan, basi tumoo hira ha kabuwaan: Aron hira ngatanan paghukman nga salaan nga waray tumoo ha kamatuoran, kondi nalipay ha pagkadiri-matadong. 2 Tesalonica 2:3–12.</w:t>
      </w:r>
    </w:p>
    <w:p>
      <w:pPr>
        <w:pStyle w:val="ArticleBody"/>
        <w:jc w:val="left"/>
      </w:pPr>
      <w:r>
        <w:rPr>
          <w:rFonts w:ascii="Times New Roman" w:hAnsi="Times New Roman" w:eastAsia="Times New Roman" w:cs="Times New Roman"/>
        </w:rPr>
        <w:t>Abahanuzabitumy bavuga iby’iminsi y’imperuka kuruta andi mateka ayo ari yo yose yera yabanje, kandi ni ko biri no kuri uyu murongo. Urufatiro rw’ukwiyongera kw’ubumenyi kwa Miller, ni na rwo rufatiro rw’ukwiyongera kw’ubumenyi kwaje mu 1989, kuko gusobanukirwa nyakuri amateka y’ubuhanuzi ahuriye ku “bya buri munsi,” bisobanura amateka y’imirongo ya mirongo ine n’iya mirongo ine n’umwe yo muri Daniyeli cumi na umwe. Icyo bisobanura ni uko, niba umunyeshuri w’ubuhanuzi adasobanukiwe uruhare rw’ubupagani n’isano yabwo y’ubuhanuzi na Roma ya gipapa, uwo munyeshuri ntazashobora kumenya ko umurimo wo kubanza gukumira izamuka ry’ubupapa, hanyuma umurimo wo gushyira ubupapa ku ntebe y’ubwami bw’isi, wakozwe n’ubupagani, kandi uwo murimo ushushanya uruhare rw’inyamaswa yo ku isi yo mu Byahishuwe cumi na bitatu, yo mbere ikumira ubupapa, ariko nyuma igahinduka ikabushyira ku ntebe y’ubwami bw’isi. Uruhare rw’inyamaswa yo ku isi yo mu Byahishuwe cumi na bitatu rugaragazwa nk’ahazaza h’Amerika.</w:t>
      </w:r>
    </w:p>
    <w:p>
      <w:pPr>
        <w:pStyle w:val="ArticleBody"/>
        <w:jc w:val="left"/>
      </w:pPr>
      <w:r>
        <w:rPr>
          <w:rFonts w:ascii="Times New Roman" w:hAnsi="Times New Roman" w:eastAsia="Times New Roman" w:cs="Times New Roman"/>
        </w:rPr>
        <w:t>Tukwata mu maelezo yetu ya kufunuliwa kwa nuru ya Mto Hidekeli katika makala yetu inayofuata.</w:t>
      </w:r>
    </w:p>
    <w:p>
      <w:pPr>
        <w:pStyle w:val="ArticleScripture"/>
        <w:jc w:val="left"/>
      </w:pPr>
      <w:r>
        <w:rPr>
          <w:rFonts w:ascii="Times New Roman" w:hAnsi="Times New Roman" w:eastAsia="Times New Roman" w:cs="Times New Roman"/>
        </w:rPr>
        <w:t>“Yule wî mútz wáts xaw, yule wî lútix̱ has du yáx̱ áwé, yoo x̱’atángi áwé yéi x̱wa.éix̱ sháa at du jeewú has du een x̱wasikóo: ‘Uwachx̱ánch áwé yéi áwé has du shukáx̱ né, du x̱’éináx̱ né, áx̱ toowúx̱ yéi x̱wasikóo has du yéewhán, has du x̱’éináx̱ aa káa, has du yoo x̱’atángi x̱ánt du jeewú aa jee yéi x̱wasaḵáawu áwé ch’u tleik yéi x̱wasikóo.’ Aaa, has du een yéi has du toowú has du yeisú, a tóon áwé has du toowú x̱áat has du léelk’w hás. Wáa sá iyatee has du yeisú, yéi áwé x̱wasaḵáawu has du jee; has du jín has du shukáx̱ yéi x̱wasaḵáawu has du yéesh; aadéi x̱wasikóo, ax̱ x̱wasiteen yoo x̱’atángi, tlél aadé has du x̱wasakóox̱; ax̱ x̱wasikéi, tlél has du x̱wasawadul. Tsa yéi áwé has du x̱’éix̱ áyá ayóo has du x̱washáat, ax̱ x̱’éix̱ tlél ḵúnáx̱ x̱wasiteen yéi x̱wasaḵáawu áwé has du yeisú x̱wasiteen.’ ‘Yéesh x̱wasiteen áwé Kadagóot yéi x̱wasaḵáawu has du jee, has du toowú x̱áat yéi x̱wasakóox̱ áwé kaa tlél áyá yéi x̱wasaḵáawu aatlein,’ aadéi x̱wasikóo, ‘yéesh áwé s’aax̱ú has du toowú x̱áat x̱wasiteen, has du toowú aadéi tlél x̱wasitee du léelk’w x̱áat, has du jee has du ḵusteeyí x̱áat tlél x̱wasakóox̱,’ ‘kein x̱’éináx̱ aa jee has du toowú x̱áat has du wasikóo.’ Isaiah 66:3, 4; 2 Thessalonians 2:11, 10, 12.</w:t>
      </w:r>
    </w:p>
    <w:p>
      <w:pPr>
        <w:pStyle w:val="ArticleScripture"/>
        <w:jc w:val="left"/>
      </w:pPr>
      <w:r>
        <w:rPr>
          <w:rFonts w:ascii="Times New Roman" w:hAnsi="Times New Roman" w:eastAsia="Times New Roman" w:cs="Times New Roman"/>
        </w:rPr>
        <w:t>“Omwegesa ow’omu Igulu yabuuza ati: ‘Kusikizibwa ki okusinga amaanyi ekiyinza okuwubisa amagezi okuggyako okwefuula nti ozimba ku musingi omutuufu era nti Katonda akkiriza emirimu gyo, ate nga mu mazima okozesa ebintu bingi ng’ogoberera enteekateeka ez’ensi era nga oyonoona eri Yakuwa? Ai, buno bulimba bunene, okusikizibwa okusikiriza ennyo, okubikka amagezi, abantu bwe baba nga baamala dda okumanya amazima ne bakyama ne bayisa ekifaananyi ky’okutya Katonda ng’ekintu kye kimu n’omwoyo n’amaanyi gaakyo; bwe balowooza nti bagagga era baayongerwako ebintu era tebeetaaga kintu kyonna, ate nga mu mazima beetaaga buli kintu kyonna.’”</w:t>
      </w:r>
    </w:p>
    <w:p>
      <w:pPr>
        <w:pStyle w:val="ArticleScripture"/>
        <w:jc w:val="left"/>
      </w:pPr>
      <w:r>
        <w:rPr>
          <w:rFonts w:ascii="Times New Roman" w:hAnsi="Times New Roman" w:eastAsia="Times New Roman" w:cs="Times New Roman"/>
        </w:rPr>
        <w:t>“Ngai ndabadilike kuhusiana na watumishi Wake waaminifu wanaozishika mavazi yao bila doa. Lakini wengi wanalia, ‘Amani na usalama,’ hali uharibifu wa ghafula unawajia. Isipokuwapo toba kamili, isipokuwa wanadamu wanyenyekeze mioyo yao kwa maungamo na kuipokea kweli kama ilivyo katika Yesu, hawataingia mbinguni kamwe. Utakaso utakapofanyika katika safu zetu, hatutakaa tena kwa kustarehe, tukijisifu kwamba tu matajiri, tumeongezeka kwa mali, wala hatuna haja ya kitu chochote.</w:t>
      </w:r>
    </w:p>
    <w:p>
      <w:pPr>
        <w:pStyle w:val="ArticleScripture"/>
        <w:jc w:val="left"/>
      </w:pPr>
      <w:r>
        <w:rPr>
          <w:rFonts w:ascii="Times New Roman" w:hAnsi="Times New Roman" w:eastAsia="Times New Roman" w:cs="Times New Roman"/>
        </w:rPr>
        <w:t>“Hiç kim doğrugirokî nikare bêje: ‘Zêrê me di agir de hate ceribandin; cilên me ji cîhanê bêlek in’? Min Mamosteyê xwe dît ku bi dest nîşanî cilên dadmendiya ku tenê bi navê wê tê gotin dikir. Gava ku Wan ji wan derxist, ew pîsî û nepakîya ku li binê wan bû eşkere kir. Piştre Wî ji min re got: ‘Ma tu nabînî ku wan bi xwepêşandan pîsî û çûnepelê karaktera xwe veşartiye? “Bajarê amîn çawa bûye fahişe!” Mala Bavê min bûye mala bazirganiyê, cihê ku hebûna ilahî û rûmeta wê ji wê derketiye! Ji ber vê yekê lawazî heye, û hêz tune ye.’”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Tisini na Moja</dc:title>
  <dc:subject>Kufunua Mto wa Kinabii: Safari Kupitia Mahusiano Kati ya Mienendo ya Maono ya Danieli</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