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Tarihi i Fshehur i Vargut Dyzet - Numri Njëzet e Një</w:t>
      </w:r>
    </w:p>
    <w:p>
      <w:pPr>
        <w:pStyle w:val="ArticleSubtitle"/>
        <w:jc w:val="left"/>
      </w:pPr>
      <w:r>
        <w:rPr>
          <w:rFonts w:ascii="Arial" w:hAnsi="Arial" w:eastAsia="Arial" w:cs="Arial"/>
        </w:rPr>
        <w:t>Հոգի երկրորդը — Մաս ութ — Եզեկիել թիվ երկրորդ</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2026-08-05</w:t>
      </w:r>
    </w:p>
    <w:p>
      <w:pPr>
        <w:pStyle w:val="ArticleBody"/>
        <w:jc w:val="left"/>
      </w:pPr>
      <w:r>
        <w:rPr>
          <w:rFonts w:ascii="Times New Roman" w:hAnsi="Times New Roman" w:eastAsia="Times New Roman" w:cs="Times New Roman"/>
        </w:rPr>
        <w:t>Ezekieli huwakilisha wale ambao wamefanyiwa kazi ya mafundisho na Simba wa kabila la Yuda, na mafundisho yake ya msingi ni “mstari juu ya mstari.”</w:t>
      </w:r>
    </w:p>
    <w:p>
      <w:pPr>
        <w:pStyle w:val="ArticleScripture"/>
        <w:jc w:val="left"/>
      </w:pPr>
      <w:r>
        <w:rPr>
          <w:rFonts w:ascii="Times New Roman" w:hAnsi="Times New Roman" w:eastAsia="Times New Roman" w:cs="Times New Roman"/>
        </w:rPr>
        <w:t>Avo ndivho a tshi ri, Hezwi ndi hone u awela he na nga awedza ngaho o netaho; nahone hezwi ndi hone u dovha hafhu mbilu: naho zwo ralo, a vho ngo funa u pfa. Fhedzi ipfi ḽa Murena ḽo vha khavho mulayo nṱha ha mulayo, mulayo nṱha ha mulayo; mutaladzi nṱha ha mutaladzi, mutaladzi nṱha ha mutaladzi; hafha zwiṱuku, na henefho zwiṱuku; uri vha kone u ṱuwa, vha we nga murahu, vha vunyea, vha fariwe nga mufhamu, nahone vha fariwe. Yesaya 28:12, 13.</w:t>
      </w:r>
    </w:p>
    <w:p>
      <w:pPr>
        <w:pStyle w:val="ArticleBody"/>
        <w:jc w:val="left"/>
      </w:pPr>
      <w:r>
        <w:rPr>
          <w:rFonts w:ascii="Times New Roman" w:hAnsi="Times New Roman" w:eastAsia="Times New Roman" w:cs="Times New Roman"/>
        </w:rPr>
        <w:t>Hano Omunyama w’Olulyo lwa Yuda ari kushuurura ekitabo kya Ezekieli. Nitutegeezibwa ngu Ezekieli ni kahona omu mwaka ogw’ashatu, yaaba “ashatu” n’ekimanyiso ky’obukuru bwe nka kahona, oba omwaka ogw’ashatu omu lunyiriri lw’obunabi olwatandikiire aha Kuhingurwaho Kwingi kwa Yosiya. Obukahona obw’enkomerero obw’eby’omu biro by’enkomerero ni bamwe n’enkumi makumi ana na nnya, kandi ebyafaayo eby’edda eby’amazima biraga nk’ekifaananyi ky’ebyafaayo eby’akabonero omu biro by’enkomerero.</w:t>
      </w:r>
    </w:p>
    <w:p>
      <w:pPr>
        <w:pStyle w:val="ArticleScripture"/>
        <w:jc w:val="left"/>
      </w:pPr>
      <w:r>
        <w:rPr>
          <w:rFonts w:ascii="Times New Roman" w:hAnsi="Times New Roman" w:eastAsia="Times New Roman" w:cs="Times New Roman"/>
        </w:rPr>
        <w:t>Lelo ndwimu mwitikwa makuhani a Bwana; andu makemwita atumishi a Ngai witũ; mwikaly’a utheo wa mataifa, na mũ nyĩsyo yao mwikekuma. Isaia 61:6.</w:t>
      </w:r>
    </w:p>
    <w:p>
      <w:pPr>
        <w:pStyle w:val="ArticleBody"/>
        <w:jc w:val="left"/>
      </w:pPr>
      <w:r>
        <w:rPr>
          <w:rFonts w:ascii="Times New Roman" w:hAnsi="Times New Roman" w:eastAsia="Times New Roman" w:cs="Times New Roman"/>
        </w:rPr>
        <w:t>ئێزقیێل ھێمای گەلی خودایە لە ڕۆژانی دواوەدا—ئەو مێژوویە پیرۆزەی کە هەموو شایەتییە پێغەمبەرییەکان ناساندنی دەکەن. ئەو مێژوویە پیرۆزە جووڵەی فریشتەی سێیەمە، کە بە شێوەیەکی تایبەت لە جووڵەی فریشتەی یەکەمدا لە ساڵی 1840 نموونەکرا. جووڵەی فریشتەی یەکەم فریشتەی ئەلفای ئەو سێ فریشتەیە بوو، و سێیەمیش فریشتەی ئۆمێگایە. لەبەر ئەوە، ئێزقیێل هاوتەرازە لەگەڵ پەترۆس لە کاتی مۆرکردنی سەد و چل و چوار هەزار. ئەو مێژوویە ھێماییەی کە هەردووکیان، پەترۆس و ئێزقیێل، تێیدا دانراون، وەک مێژووی پانیوم نیشان دەدرێت.</w:t>
      </w:r>
    </w:p>
    <w:p>
      <w:pPr>
        <w:pStyle w:val="ArticleHeading"/>
        <w:jc w:val="left"/>
      </w:pPr>
      <w:r>
        <w:rPr>
          <w:rFonts w:ascii="Arial" w:hAnsi="Arial" w:eastAsia="Arial" w:cs="Arial"/>
        </w:rPr>
        <w:t>Petit Livre</w:t>
      </w:r>
    </w:p>
    <w:p>
      <w:pPr>
        <w:pStyle w:val="ArticleBody"/>
        <w:jc w:val="left"/>
      </w:pPr>
      <w:r>
        <w:rPr>
          <w:rFonts w:ascii="Times New Roman" w:hAnsi="Times New Roman" w:eastAsia="Times New Roman" w:cs="Times New Roman"/>
        </w:rPr>
        <w:t>Ezekieli anachukua kile kitabu kidogo, kama alivyofanya Yohana katika Ufunuo kumi.</w:t>
      </w:r>
    </w:p>
    <w:p>
      <w:pPr>
        <w:pStyle w:val="ArticleScripture"/>
        <w:jc w:val="left"/>
      </w:pPr>
      <w:r>
        <w:rPr>
          <w:rFonts w:ascii="Times New Roman" w:hAnsi="Times New Roman" w:eastAsia="Times New Roman" w:cs="Times New Roman"/>
        </w:rPr>
        <w:t>Lê tu, ey kurê mirov, guh bidê tiştê ku ez ji te re dibêjim; wek wê mala serhildêr, tu serhildêr nebî. Devê xwe veke, û tiştê ku ez didim te bixwe. Û gava ku min temaşe kir, va ye, destek ji aliyê min ve hat şandin; û, va ye, pirtûkek tomarekê di wê de bû. Û ew li ber min belav kir; û ew ji hundir û ji derve hatibû nivîsîn; û di wê de şîn û girîn û wayî hatibûn nivîsîn. Herwiha wî ji min re got: Ey kurê mirov, tiştê ku dibînî bixwe; vê tomarê bixwe, û here bi mala Îsraêl re biaxive. Ji ber vê yekê min devê xwe vekir, û wî ew tomar da ku ez bixwim. Û wî ji min re got: Ey kurê mirov, bila zikê te bixwe, û hestîyên hundirînê te bi vê tomarê ku ez didim te tijî bike. Paşê min ew xwar; û di devê min de wek hingiv ji bo şîrîniyê bû. Ezekiel 2:8–10, 3:1–3.</w:t>
      </w:r>
    </w:p>
    <w:p>
      <w:pPr>
        <w:pStyle w:val="ArticleBody"/>
        <w:jc w:val="left"/>
      </w:pPr>
      <w:r>
        <w:rPr>
          <w:rFonts w:ascii="Times New Roman" w:hAnsi="Times New Roman" w:eastAsia="Times New Roman" w:cs="Times New Roman"/>
        </w:rPr>
        <w:t>Di Vahiyê deh de, Yûhenna pirtûka biçûk dixwe, û hemû beş nîşandana hêza Xwedê temsîl dike ji 11ê Tebaxa 1840an heta 22ê Cotmeha 1844an.</w:t>
      </w:r>
    </w:p>
    <w:p>
      <w:pPr>
        <w:pStyle w:val="ArticleScripture"/>
        <w:jc w:val="left"/>
      </w:pPr>
      <w:r>
        <w:rPr>
          <w:rFonts w:ascii="Times New Roman" w:hAnsi="Times New Roman" w:eastAsia="Times New Roman" w:cs="Times New Roman"/>
        </w:rPr>
        <w:t>“Malaika anayejumuika katika kutangaza ujumbe wa malaika wa tatu atauangaza ulimwengu wote kwa utukufu wake. Hapa kunatabiriwa kazi yenye upana wa ulimwengu mzima na nguvu isiyo ya kawaida. Vuguvugu la ujio wa Kristo la 1840–44 lilikuwa udhihirisho wa utukufu wa nguvu za Mungu; ujumbe wa malaika wa kwanza ulipelekwa kwa kila kituo cha umisionari duniani, na katika baadhi ya nchi kulikuwapo hamasa ya kidini iliyo kubwa zaidi ambayo imewahi kushuhudiwa katika nchi yoyote tangu Matengenezo ya karne ya kumi na sita; lakini haya yatapita kwa mbali kwa njia ya vuguvugu lenye nguvu chini ya onyo la mwisho la malaika wa tatu.” The Great Controversy, 611.</w:t>
      </w:r>
    </w:p>
    <w:p>
      <w:pPr>
        <w:pStyle w:val="ArticleBody"/>
        <w:jc w:val="left"/>
      </w:pPr>
      <w:r>
        <w:rPr>
          <w:rFonts w:ascii="Times New Roman" w:hAnsi="Times New Roman" w:eastAsia="Times New Roman" w:cs="Times New Roman"/>
        </w:rPr>
        <w:t>Ezekiel uliohundwa pamoja na Yohana katika sura ya kumi ya Ufunuo, hivyo Petro, Yohana, na Ezekiel husimama pamoja katika nafasi yao waliyopewa wakati wa kutiwa muhuri kwa wale mia moja arobaini na nne elfu.</w:t>
      </w:r>
    </w:p>
    <w:p>
      <w:pPr>
        <w:pStyle w:val="ArticleBody"/>
        <w:jc w:val="left"/>
      </w:pPr>
      <w:r>
        <w:rPr>
          <w:rFonts w:ascii="Times New Roman" w:hAnsi="Times New Roman" w:eastAsia="Times New Roman" w:cs="Times New Roman"/>
        </w:rPr>
        <w:t>1840 nginya 1844 kyerɛ mfe anan a efii ase bere a nkɔmhyɛ bere a efii afe ɔha ne aduonum mu wɔ July 27, 1299 no hyɛɛ ase no. Saa “abosome anum” no baa awiei na ɛkaa bere nkɔmhyɛ a ɛyɛ mfe ahasa aduɔkron baako ne nna dunum a ɛbaa awiei wɔ August 11, 1840 no ho, bere a Onyankopɔn tumi anuonyam no daa ne ho adi de kosii October 22, 1844. Afei nkɔmhyɛ bere no dwumadi baa awiei.</w:t>
      </w:r>
    </w:p>
    <w:p>
      <w:pPr>
        <w:pStyle w:val="ArticleScripture"/>
        <w:jc w:val="left"/>
      </w:pPr>
      <w:r>
        <w:rPr>
          <w:rFonts w:ascii="Times New Roman" w:hAnsi="Times New Roman" w:eastAsia="Times New Roman" w:cs="Times New Roman"/>
        </w:rPr>
        <w:t>Kandi akarahira uw'iteka ryose, we waremye ijuru n'ibiririmo, n'isi n'ibiririmo, n'inyanja n'ibirimo, yuko igihe kitazaba kikiriho. Ibyahishuwe 10:6.</w:t>
      </w:r>
    </w:p>
    <w:p>
      <w:pPr>
        <w:pStyle w:val="ArticleBody"/>
        <w:jc w:val="left"/>
      </w:pPr>
      <w:r>
        <w:rPr>
          <w:rFonts w:ascii="Times New Roman" w:hAnsi="Times New Roman" w:eastAsia="Times New Roman" w:cs="Times New Roman"/>
        </w:rPr>
        <w:t>Ubuhanuzi bw’igihe bwarangiye nk’ishyirwa mu bikorwa ryemewe ry’ubuhanuzi ku wa 22 Ukwakira 1844. Ezekiyeli, Petero na Yohana buri wese ahagarariye abagenzi b’abakobwa b’abanyabwenge b’Imana bo mu rugendo rw’umumarayika wa mbere n’uwa kabiri, kandi no mu rugendo rw’umumarayika wa gatatu.</w:t>
      </w:r>
    </w:p>
    <w:p>
      <w:pPr>
        <w:pStyle w:val="ArticleHeading"/>
        <w:jc w:val="left"/>
      </w:pPr>
      <w:r>
        <w:rPr>
          <w:rFonts w:ascii="Arial" w:hAnsi="Arial" w:eastAsia="Arial" w:cs="Arial"/>
        </w:rPr>
        <w:t>ئاڤاکان</w:t>
      </w:r>
    </w:p>
    <w:p>
      <w:pPr>
        <w:pStyle w:val="ArticleBody"/>
        <w:jc w:val="left"/>
      </w:pPr>
      <w:r>
        <w:rPr>
          <w:rFonts w:ascii="Times New Roman" w:hAnsi="Times New Roman" w:eastAsia="Times New Roman" w:cs="Times New Roman"/>
        </w:rPr>
        <w:t>حزقیێل کیتاوەکەی یەکەم «یازدە» بەشەکان کۆمەڵێک «بینین» پێشکەش دەکەن، وەک لە ئایەتی یەکەمی بەشی یەکەمدا هاتووە.</w:t>
      </w:r>
    </w:p>
    <w:p>
      <w:pPr>
        <w:pStyle w:val="ArticleScripture"/>
        <w:jc w:val="left"/>
      </w:pPr>
      <w:r>
        <w:rPr>
          <w:rFonts w:ascii="Times New Roman" w:hAnsi="Times New Roman" w:eastAsia="Times New Roman" w:cs="Times New Roman"/>
        </w:rPr>
        <w:t>Ma nĩ kwarĩkĩrĩra mũaka wa mĩrongo ĩtatũ, mweri wa kana, mũthenya wa gatano wa mweri, rĩrĩa ndaarĩ hamwe na andũ a ũt captive kũu rũũĩinĩ rwa Kebari, igũrũ rĩgakingūka, na ndĩona cioneki cia Ngai. Ezekieli 1:1.</w:t>
      </w:r>
    </w:p>
    <w:p>
      <w:pPr>
        <w:pStyle w:val="ArticleBody"/>
        <w:jc w:val="left"/>
      </w:pPr>
      <w:r>
        <w:rPr>
          <w:rFonts w:ascii="Times New Roman" w:hAnsi="Times New Roman" w:eastAsia="Times New Roman" w:cs="Times New Roman"/>
        </w:rPr>
        <w:t>“Adono” da ureta ra Cebar ga bobotne, onduka waraga ta tok ta rom ga sura tokti da si ga sura ga “bonang” ra bab tri, ma onduka wa ga ropokne ta tok ta rom ga sura ga Jerusalem ra bab wal. Tanina tok tri ra ureta ra Cebar, bonang, ma Jerusalem, na ngirdi da sura tri ga mekimup sura sik, me sura sik ta, ya “adono” ra sura ta si ga sura tok ga bab sik ma ta bab ‘eleven’ ta matam.</w:t>
      </w:r>
    </w:p>
    <w:p>
      <w:pPr>
        <w:pStyle w:val="ArticleHeading"/>
        <w:jc w:val="left"/>
      </w:pPr>
      <w:r>
        <w:rPr>
          <w:rFonts w:ascii="Arial" w:hAnsi="Arial" w:eastAsia="Arial" w:cs="Arial"/>
        </w:rPr>
        <w:t>یوویل</w:t>
      </w:r>
    </w:p>
    <w:p>
      <w:pPr>
        <w:pStyle w:val="ArticleBody"/>
        <w:jc w:val="left"/>
      </w:pPr>
      <w:r>
        <w:rPr>
          <w:rFonts w:ascii="Times New Roman" w:hAnsi="Times New Roman" w:eastAsia="Times New Roman" w:cs="Times New Roman"/>
        </w:rPr>
        <w:t xml:space="preserve">יובל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चक्र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योसियाह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प्रसिद्ध</w:t>
      </w:r>
      <w:r>
        <w:rPr>
          <w:rFonts w:ascii="Times New Roman" w:hAnsi="Times New Roman" w:eastAsia="Times New Roman" w:cs="Times New Roman"/>
        </w:rPr>
        <w:t xml:space="preserve"> </w:t>
      </w:r>
      <w:r>
        <w:rPr>
          <w:rFonts w:ascii="Nirmala UI" w:hAnsi="Nirmala UI" w:eastAsia="Nirmala UI" w:cs="Nirmala UI"/>
        </w:rPr>
        <w:t>फसह</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तैसको</w:t>
      </w:r>
      <w:r>
        <w:rPr>
          <w:rFonts w:ascii="Times New Roman" w:hAnsi="Times New Roman" w:eastAsia="Times New Roman" w:cs="Times New Roman"/>
        </w:rPr>
        <w:t xml:space="preserve"> </w:t>
      </w:r>
      <w:r>
        <w:rPr>
          <w:rFonts w:ascii="Nirmala UI" w:hAnsi="Nirmala UI" w:eastAsia="Nirmala UI" w:cs="Nirmala UI"/>
        </w:rPr>
        <w:t>तीसौँ</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तीसौँ</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मान्नु</w:t>
      </w:r>
      <w:r>
        <w:rPr>
          <w:rFonts w:ascii="Times New Roman" w:hAnsi="Times New Roman" w:eastAsia="Times New Roman" w:cs="Times New Roman"/>
        </w:rPr>
        <w:t xml:space="preserve"> </w:t>
      </w:r>
      <w:r>
        <w:rPr>
          <w:rFonts w:ascii="Nirmala UI" w:hAnsi="Nirmala UI" w:eastAsia="Nirmala UI" w:cs="Nirmala UI"/>
        </w:rPr>
        <w:t>सजिलै</w:t>
      </w:r>
      <w:r>
        <w:rPr>
          <w:rFonts w:ascii="Times New Roman" w:hAnsi="Times New Roman" w:eastAsia="Times New Roman" w:cs="Times New Roman"/>
        </w:rPr>
        <w:t xml:space="preserve"> </w:t>
      </w:r>
      <w:r>
        <w:rPr>
          <w:rFonts w:ascii="Nirmala UI" w:hAnsi="Nirmala UI" w:eastAsia="Nirmala UI" w:cs="Nirmala UI"/>
        </w:rPr>
        <w:t>समर्थनयोग्य</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इतिहासको</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विशेष</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स्पष्ट</w:t>
      </w:r>
      <w:r>
        <w:rPr>
          <w:rFonts w:ascii="Times New Roman" w:hAnsi="Times New Roman" w:eastAsia="Times New Roman" w:cs="Times New Roman"/>
        </w:rPr>
        <w:t xml:space="preserve"> </w:t>
      </w:r>
      <w:r>
        <w:rPr>
          <w:rFonts w:ascii="Nirmala UI" w:hAnsi="Nirmala UI" w:eastAsia="Nirmala UI" w:cs="Nirmala UI"/>
        </w:rPr>
        <w:t>रूपले</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रेखामाथि</w:t>
      </w:r>
      <w:r>
        <w:rPr>
          <w:rFonts w:ascii="Times New Roman" w:hAnsi="Times New Roman" w:eastAsia="Times New Roman" w:cs="Times New Roman"/>
        </w:rPr>
        <w:t xml:space="preserve"> </w:t>
      </w:r>
      <w:r>
        <w:rPr>
          <w:rFonts w:ascii="Nirmala UI" w:hAnsi="Nirmala UI" w:eastAsia="Nirmala UI" w:cs="Nirmala UI"/>
        </w:rPr>
        <w:t>अर्को</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एकभन्दा</w:t>
      </w:r>
      <w:r>
        <w:rPr>
          <w:rFonts w:ascii="Times New Roman" w:hAnsi="Times New Roman" w:eastAsia="Times New Roman" w:cs="Times New Roman"/>
        </w:rPr>
        <w:t xml:space="preserve"> </w:t>
      </w:r>
      <w:r>
        <w:rPr>
          <w:rFonts w:ascii="Nirmala UI" w:hAnsi="Nirmala UI" w:eastAsia="Nirmala UI" w:cs="Nirmala UI"/>
        </w:rPr>
        <w:t>बढी</w:t>
      </w:r>
      <w:r>
        <w:rPr>
          <w:rFonts w:ascii="Times New Roman" w:hAnsi="Times New Roman" w:eastAsia="Times New Roman" w:cs="Times New Roman"/>
        </w:rPr>
        <w:t xml:space="preserve"> </w:t>
      </w:r>
      <w:r>
        <w:rPr>
          <w:rFonts w:ascii="Nirmala UI" w:hAnsi="Nirmala UI" w:eastAsia="Nirmala UI" w:cs="Nirmala UI"/>
        </w:rPr>
        <w:t>साक्षीका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चित्रित</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उदाहरणका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फसहले</w:t>
      </w:r>
      <w:r>
        <w:rPr>
          <w:rFonts w:ascii="Times New Roman" w:hAnsi="Times New Roman" w:eastAsia="Times New Roman" w:cs="Times New Roman"/>
        </w:rPr>
        <w:t xml:space="preserve"> </w:t>
      </w:r>
      <w:r>
        <w:rPr>
          <w:rFonts w:ascii="Nirmala UI" w:hAnsi="Nirmala UI" w:eastAsia="Nirmala UI" w:cs="Nirmala UI"/>
        </w:rPr>
        <w:t>वसन्तकालीन</w:t>
      </w:r>
      <w:r>
        <w:rPr>
          <w:rFonts w:ascii="Times New Roman" w:hAnsi="Times New Roman" w:eastAsia="Times New Roman" w:cs="Times New Roman"/>
        </w:rPr>
        <w:t xml:space="preserve"> </w:t>
      </w:r>
      <w:r>
        <w:rPr>
          <w:rFonts w:ascii="Nirmala UI" w:hAnsi="Nirmala UI" w:eastAsia="Nirmala UI" w:cs="Nirmala UI"/>
        </w:rPr>
        <w:t>पर्वहरूलाई</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प्रायश्चित्तको</w:t>
      </w:r>
      <w:r>
        <w:rPr>
          <w:rFonts w:ascii="Times New Roman" w:hAnsi="Times New Roman" w:eastAsia="Times New Roman" w:cs="Times New Roman"/>
        </w:rPr>
        <w:t xml:space="preserve"> </w:t>
      </w:r>
      <w:r>
        <w:rPr>
          <w:rFonts w:ascii="Nirmala UI" w:hAnsi="Nirmala UI" w:eastAsia="Nirmala UI" w:cs="Nirmala UI"/>
        </w:rPr>
        <w:t>दिनले</w:t>
      </w:r>
      <w:r>
        <w:rPr>
          <w:rFonts w:ascii="Times New Roman" w:hAnsi="Times New Roman" w:eastAsia="Times New Roman" w:cs="Times New Roman"/>
        </w:rPr>
        <w:t xml:space="preserve"> </w:t>
      </w:r>
      <w:r>
        <w:rPr>
          <w:rFonts w:ascii="Nirmala UI" w:hAnsi="Nirmala UI" w:eastAsia="Nirmala UI" w:cs="Nirmala UI"/>
        </w:rPr>
        <w:t>शरद्कालीन</w:t>
      </w:r>
      <w:r>
        <w:rPr>
          <w:rFonts w:ascii="Times New Roman" w:hAnsi="Times New Roman" w:eastAsia="Times New Roman" w:cs="Times New Roman"/>
        </w:rPr>
        <w:t xml:space="preserve"> </w:t>
      </w:r>
      <w:r>
        <w:rPr>
          <w:rFonts w:ascii="Nirmala UI" w:hAnsi="Nirmala UI" w:eastAsia="Nirmala UI" w:cs="Nirmala UI"/>
        </w:rPr>
        <w:t>पर्वहरूलाई</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गर्छ।</w:t>
      </w:r>
      <w:r>
        <w:rPr>
          <w:rFonts w:ascii="Times New Roman" w:hAnsi="Times New Roman" w:eastAsia="Times New Roman" w:cs="Times New Roman"/>
        </w:rPr>
        <w:t xml:space="preserve"> </w:t>
      </w:r>
      <w:r>
        <w:rPr>
          <w:rFonts w:ascii="Nirmala UI" w:hAnsi="Nirmala UI" w:eastAsia="Nirmala UI" w:cs="Nirmala UI"/>
        </w:rPr>
        <w:t>यसकारण</w:t>
      </w:r>
      <w:r>
        <w:rPr>
          <w:rFonts w:ascii="Times New Roman" w:hAnsi="Times New Roman" w:eastAsia="Times New Roman" w:cs="Times New Roman"/>
        </w:rPr>
        <w:t xml:space="preserve"> </w:t>
      </w:r>
      <w:r>
        <w:rPr>
          <w:rFonts w:ascii="Nirmala UI" w:hAnsi="Nirmala UI" w:eastAsia="Nirmala UI" w:cs="Nirmala UI"/>
        </w:rPr>
        <w:t>लेवीव्यवस्था</w:t>
      </w:r>
      <w:r>
        <w:rPr>
          <w:rFonts w:ascii="Times New Roman" w:hAnsi="Times New Roman" w:eastAsia="Times New Roman" w:cs="Times New Roman"/>
        </w:rPr>
        <w:t xml:space="preserve"> </w:t>
      </w:r>
      <w:r>
        <w:rPr>
          <w:rFonts w:ascii="Nirmala UI" w:hAnsi="Nirmala UI" w:eastAsia="Nirmala UI" w:cs="Nirmala UI"/>
        </w:rPr>
        <w:t>तेइस</w:t>
      </w:r>
      <w:r>
        <w:rPr>
          <w:rFonts w:ascii="Times New Roman" w:hAnsi="Times New Roman" w:eastAsia="Times New Roman" w:cs="Times New Roman"/>
        </w:rPr>
        <w:t xml:space="preserve"> </w:t>
      </w:r>
      <w:r>
        <w:rPr>
          <w:rFonts w:ascii="Nirmala UI" w:hAnsi="Nirmala UI" w:eastAsia="Nirmala UI" w:cs="Nirmala UI"/>
        </w:rPr>
        <w:t>योसियाहबाट</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यु्बली</w:t>
      </w:r>
      <w:r>
        <w:rPr>
          <w:rFonts w:ascii="Times New Roman" w:hAnsi="Times New Roman" w:eastAsia="Times New Roman" w:cs="Times New Roman"/>
        </w:rPr>
        <w:t xml:space="preserve"> </w:t>
      </w:r>
      <w:r>
        <w:rPr>
          <w:rFonts w:ascii="Nirmala UI" w:hAnsi="Nirmala UI" w:eastAsia="Nirmala UI" w:cs="Nirmala UI"/>
        </w:rPr>
        <w:t>चक्रसँग</w:t>
      </w:r>
      <w:r>
        <w:rPr>
          <w:rFonts w:ascii="Times New Roman" w:hAnsi="Times New Roman" w:eastAsia="Times New Roman" w:cs="Times New Roman"/>
        </w:rPr>
        <w:t xml:space="preserve"> </w:t>
      </w:r>
      <w:r>
        <w:rPr>
          <w:rFonts w:ascii="Nirmala UI" w:hAnsi="Nirmala UI" w:eastAsia="Nirmala UI" w:cs="Nirmala UI"/>
        </w:rPr>
        <w:t>समरेखित</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योसियाह</w:t>
      </w:r>
      <w:r>
        <w:rPr>
          <w:rFonts w:ascii="Times New Roman" w:hAnsi="Times New Roman" w:eastAsia="Times New Roman" w:cs="Times New Roman"/>
        </w:rPr>
        <w:t xml:space="preserve"> </w:t>
      </w:r>
      <w:r>
        <w:rPr>
          <w:rFonts w:ascii="Nirmala UI" w:hAnsi="Nirmala UI" w:eastAsia="Nirmala UI" w:cs="Nirmala UI"/>
        </w:rPr>
        <w:t>राजादेखि</w:t>
      </w:r>
      <w:r>
        <w:rPr>
          <w:rFonts w:ascii="Times New Roman" w:hAnsi="Times New Roman" w:eastAsia="Times New Roman" w:cs="Times New Roman"/>
        </w:rPr>
        <w:t xml:space="preserve"> </w:t>
      </w:r>
      <w:r>
        <w:rPr>
          <w:rFonts w:ascii="Nirmala UI" w:hAnsi="Nirmala UI" w:eastAsia="Nirmala UI" w:cs="Nirmala UI"/>
        </w:rPr>
        <w:t>अक्टोबर</w:t>
      </w:r>
      <w:r>
        <w:rPr>
          <w:rFonts w:ascii="Times New Roman" w:hAnsi="Times New Roman" w:eastAsia="Times New Roman" w:cs="Times New Roman"/>
        </w:rPr>
        <w:t xml:space="preserve"> 22, 573 BC </w:t>
      </w:r>
      <w:r>
        <w:rPr>
          <w:rFonts w:ascii="Nirmala UI" w:hAnsi="Nirmala UI" w:eastAsia="Nirmala UI" w:cs="Nirmala UI"/>
        </w:rPr>
        <w:t>सम्म</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इतिहाससँग</w:t>
      </w:r>
      <w:r>
        <w:rPr>
          <w:rFonts w:ascii="Times New Roman" w:hAnsi="Times New Roman" w:eastAsia="Times New Roman" w:cs="Times New Roman"/>
        </w:rPr>
        <w:t xml:space="preserve"> </w:t>
      </w:r>
      <w:r>
        <w:rPr>
          <w:rFonts w:ascii="Nirmala UI" w:hAnsi="Nirmala UI" w:eastAsia="Nirmala UI" w:cs="Nirmala UI"/>
        </w:rPr>
        <w:t>समरेखित</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अन्य</w:t>
      </w:r>
      <w:r>
        <w:rPr>
          <w:rFonts w:ascii="Times New Roman" w:hAnsi="Times New Roman" w:eastAsia="Times New Roman" w:cs="Times New Roman"/>
        </w:rPr>
        <w:t xml:space="preserve"> </w:t>
      </w:r>
      <w:r>
        <w:rPr>
          <w:rFonts w:ascii="Nirmala UI" w:hAnsi="Nirmala UI" w:eastAsia="Nirmala UI" w:cs="Nirmala UI"/>
        </w:rPr>
        <w:t>रेखाहरू</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अक्टोबर</w:t>
      </w:r>
      <w:r>
        <w:rPr>
          <w:rFonts w:ascii="Times New Roman" w:hAnsi="Times New Roman" w:eastAsia="Times New Roman" w:cs="Times New Roman"/>
        </w:rPr>
        <w:t xml:space="preserve"> 22, 573 BC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यु्बली</w:t>
      </w:r>
      <w:r>
        <w:rPr>
          <w:rFonts w:ascii="Times New Roman" w:hAnsi="Times New Roman" w:eastAsia="Times New Roman" w:cs="Times New Roman"/>
        </w:rPr>
        <w:t xml:space="preserve"> </w:t>
      </w:r>
      <w:r>
        <w:rPr>
          <w:rFonts w:ascii="Nirmala UI" w:hAnsi="Nirmala UI" w:eastAsia="Nirmala UI" w:cs="Nirmala UI"/>
        </w:rPr>
        <w:t>वर्षको</w:t>
      </w:r>
      <w:r>
        <w:rPr>
          <w:rFonts w:ascii="Times New Roman" w:hAnsi="Times New Roman" w:eastAsia="Times New Roman" w:cs="Times New Roman"/>
        </w:rPr>
        <w:t xml:space="preserve"> </w:t>
      </w:r>
      <w:r>
        <w:rPr>
          <w:rFonts w:ascii="Nirmala UI" w:hAnsi="Nirmala UI" w:eastAsia="Nirmala UI" w:cs="Nirmala UI"/>
        </w:rPr>
        <w:t>ऐतिहासिक</w:t>
      </w:r>
      <w:r>
        <w:rPr>
          <w:rFonts w:ascii="Times New Roman" w:hAnsi="Times New Roman" w:eastAsia="Times New Roman" w:cs="Times New Roman"/>
        </w:rPr>
        <w:t xml:space="preserve"> </w:t>
      </w:r>
      <w:r>
        <w:rPr>
          <w:rFonts w:ascii="Nirmala UI" w:hAnsi="Nirmala UI" w:eastAsia="Nirmala UI" w:cs="Nirmala UI"/>
        </w:rPr>
        <w:t>परिपूर्ति</w:t>
      </w:r>
      <w:r>
        <w:rPr>
          <w:rFonts w:ascii="Times New Roman" w:hAnsi="Times New Roman" w:eastAsia="Times New Roman" w:cs="Times New Roman"/>
        </w:rPr>
        <w:t xml:space="preserve"> </w:t>
      </w:r>
      <w:r>
        <w:rPr>
          <w:rFonts w:ascii="Nirmala UI" w:hAnsi="Nirmala UI" w:eastAsia="Nirmala UI" w:cs="Nirmala UI"/>
        </w:rPr>
        <w:t>इतिहासकारहरूद्वारा</w:t>
      </w:r>
      <w:r>
        <w:rPr>
          <w:rFonts w:ascii="Times New Roman" w:hAnsi="Times New Roman" w:eastAsia="Times New Roman" w:cs="Times New Roman"/>
        </w:rPr>
        <w:t xml:space="preserve"> </w:t>
      </w:r>
      <w:r>
        <w:rPr>
          <w:rFonts w:ascii="Nirmala UI" w:hAnsi="Nirmala UI" w:eastAsia="Nirmala UI" w:cs="Nirmala UI"/>
        </w:rPr>
        <w:t>समर्थन</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w:t>
      </w:r>
    </w:p>
    <w:p>
      <w:pPr>
        <w:pStyle w:val="ArticleBody"/>
        <w:jc w:val="left"/>
      </w:pPr>
      <w:r>
        <w:rPr>
          <w:rFonts w:ascii="Times New Roman" w:hAnsi="Times New Roman" w:eastAsia="Times New Roman" w:cs="Times New Roman"/>
        </w:rPr>
        <w:t>Baikhonolotjian tengkhopna inman takhraba khudingmakna ningsing-i thajabana, atonement-gi numit adu October 22, 573 BC oina leplaba; aduga Josiah-gi Achouba Passover adu 622 BC-ta oirabasu, Baibel-gi chronology thoknaba makhoina kabul touba tarik amani. Passover, spring feasts-ki khudam ama oina, forty-nine chahi-gi Jubilee cycle ama hougatle, aduga adu atonement-gi numitta fall feasts-ki khudamda loisinle. Forty-nine chahi semgatpa chahi-gi week taret adu leipak-ki Sabbath-ki khudam-singni.</w:t>
      </w:r>
    </w:p>
    <w:p>
      <w:pPr>
        <w:pStyle w:val="ArticleScripture"/>
        <w:jc w:val="left"/>
      </w:pPr>
      <w:r>
        <w:rPr>
          <w:rFonts w:ascii="Times New Roman" w:hAnsi="Times New Roman" w:eastAsia="Times New Roman" w:cs="Times New Roman"/>
        </w:rPr>
        <w:t>"ہر ورق میں، خواہ تاریخ ہو، یا حکم، یا نبوت، عہدِ عتیق کے صحائف ابنِ خدا کے جلال سے منور ہیں۔ جہاں تک وہ الٰہی مقررہ تھا، یہودیت کا پورا نظام انجیل کی ایک مربوط نبوت تھا۔ مسیح کے حق میں "سب نبی گواہی دیتے ہیں۔" اعمال 10:43۔ آدم کو دی گئی وعدہ سے لے کر، سلسلۂ آبائے بزرگ کے ذریعے اور شریعتی نظام تک، آسمان کے پرجلال نور نے فدیہ دینے والے کے قدموں کے نشان آشکارا کر دیے۔ غیب بینوں نے بیت لحم کے ستارے کو، آنے والے شیلوہ کو، دیکھا، جبکہ آئندہ کی باتیں ایک پُراسرار جلوس میں ان کے سامنے سے گزرتی رہیں۔ ہر قربانی میں مسیح کی موت دکھائی گئی۔ بخور کے ہر بادل میں اُس کی راستبازی اوپر کو اٹھتی تھی۔ ہر یوبیل کے نرسنگے سے اُس کا نام سنایا جاتا تھا۔ قدس الاقداس کے ہیبت ناک بھید میں اُس کا جلال سکونت پذیر تھا۔" The Desire of Ages, 211.</w:t>
      </w:r>
    </w:p>
    <w:p>
      <w:pPr>
        <w:pStyle w:val="ArticleHeading"/>
        <w:jc w:val="left"/>
      </w:pPr>
      <w:r>
        <w:rPr>
          <w:rFonts w:ascii="Microsoft YaHei" w:hAnsi="Microsoft YaHei" w:eastAsia="Microsoft YaHei" w:cs="Microsoft YaHei"/>
        </w:rPr>
        <w:t>十七</w:t>
      </w:r>
    </w:p>
    <w:p>
      <w:pPr>
        <w:pStyle w:val="ArticleBody"/>
        <w:jc w:val="left"/>
      </w:pPr>
      <w:r>
        <w:rPr>
          <w:rFonts w:ascii="Times New Roman" w:hAnsi="Times New Roman" w:eastAsia="Times New Roman" w:cs="Times New Roman"/>
        </w:rPr>
        <w:t>Zedekiah akatwaliwa kwenda Babeli wakati Yerusalemu ulipoanguka miaka kumi na minne kabla ya 573 KK. Wanahistoria wa Kiyahudi hutambua mzunguko wa Yubilei kutoka kwa Yosia mwaka 622 hadi Oktoba 22, 573 kuwa ndio mzunguko wa 17 wa Yubilei. Kipindi kutoka vita vya Raphia hadi vita vya Panium kilikuwa miaka kumi na saba. Ptolemy alikuwa mshindi katika vita vya Raphia, naye alitawala kama mfalme wa kusini kwa miaka kumi na saba. Tangu Amri ya Milan hadi Konstantino alipoigawa milki yake mwaka 330, kulikuwa miaka kumi na saba. Katika mzunguko wa kumi na saba wa Yubilei, Yerusalemu uliharibiwa na Nebukadneza.</w:t>
      </w:r>
    </w:p>
    <w:p>
      <w:pPr>
        <w:pStyle w:val="ArticleScripture"/>
        <w:jc w:val="left"/>
      </w:pPr>
      <w:r>
        <w:rPr>
          <w:rFonts w:ascii="Times New Roman" w:hAnsi="Times New Roman" w:eastAsia="Times New Roman" w:cs="Times New Roman"/>
        </w:rPr>
        <w:t>Bana ba Isiraele ba tla hlola matsatsi a mangata ba se na morena, ba se na khosana, ba se na sehlabelo, ba se na setšoantšo, ba se na efoda, ba se na diterafime; hamorao bana ba Isiraele ba tla khutla, ba batle Jehova Molimo oa bona, le Davida morena oa bona; ’me ba tla tšaba Jehova le molemo oa hae matsatsing a ho qetela. Hosea 3:4, 5.</w:t>
      </w:r>
    </w:p>
    <w:p>
      <w:pPr>
        <w:pStyle w:val="ArticleBody"/>
        <w:jc w:val="left"/>
      </w:pPr>
      <w:r>
        <w:rPr>
          <w:rFonts w:ascii="Times New Roman" w:hAnsi="Times New Roman" w:eastAsia="Times New Roman" w:cs="Times New Roman"/>
        </w:rPr>
        <w:t>Hosea anaongea juu ya jambo lenye uhusiano wa moja kwa moja na utekwa wa Zedekia, ingawa pia linawakilisha mwanzo wa uhamisho wa ufalme wa kaskazini katika mwaka wa 723 KK. Sababu inayofanya kifungu cha Hosea kiungane na ushuhuda wa Ezekieli inahusu kumkataa Mungu wakati Israeli waliposisitiza kuwa na mfalme wa kibinadamu. Tamaa ya Israeli ya kutawaliwa na mfalme wa kibinadamu, badala ya Mfalme wa Kiungu, inawakilishwa kama “kiburi cha nguvu zenu” katika hukumu ya “nyakati saba” katika Mambo ya Walawi 26.</w:t>
      </w:r>
    </w:p>
    <w:p>
      <w:pPr>
        <w:pStyle w:val="ArticleScripture"/>
        <w:jc w:val="left"/>
      </w:pPr>
      <w:r>
        <w:rPr>
          <w:rFonts w:ascii="Times New Roman" w:hAnsi="Times New Roman" w:eastAsia="Times New Roman" w:cs="Times New Roman"/>
        </w:rPr>
        <w:t>Ari ihwa mukahulika kwango hata baada ya hayo yote, basi nitawaadhibu mara saba zaidi kwa ajili ya dhambi zenu. Nami nitavunja kiburi cha nguvu zenu; nami nitaifanya mbingu yenu kuwa kama chuma, na nchi yenu kama shaba. Mambo ya Walawi 26:18, 19.</w:t>
      </w:r>
    </w:p>
    <w:p>
      <w:pPr>
        <w:pStyle w:val="ArticleBody"/>
        <w:jc w:val="left"/>
      </w:pPr>
      <w:r>
        <w:rPr>
          <w:rFonts w:ascii="Times New Roman" w:hAnsi="Times New Roman" w:eastAsia="Times New Roman" w:cs="Times New Roman"/>
        </w:rPr>
        <w:t>“</w:t>
      </w:r>
      <w:r>
        <w:rPr>
          <w:rFonts w:ascii="Nirmala UI" w:hAnsi="Nirmala UI" w:eastAsia="Nirmala UI" w:cs="Nirmala UI"/>
        </w:rPr>
        <w:t>ꯅꯍꯥꯛꯀꯤ</w:t>
      </w:r>
      <w:r>
        <w:rPr>
          <w:rFonts w:ascii="Times New Roman" w:hAnsi="Times New Roman" w:eastAsia="Times New Roman" w:cs="Times New Roman"/>
        </w:rPr>
        <w:t xml:space="preserve"> </w:t>
      </w:r>
      <w:r>
        <w:rPr>
          <w:rFonts w:ascii="Nirmala UI" w:hAnsi="Nirmala UI" w:eastAsia="Nirmala UI" w:cs="Nirmala UI"/>
        </w:rPr>
        <w:t>ꯄꯥꯋꯔꯒꯤ</w:t>
      </w:r>
      <w:r>
        <w:rPr>
          <w:rFonts w:ascii="Times New Roman" w:hAnsi="Times New Roman" w:eastAsia="Times New Roman" w:cs="Times New Roman"/>
        </w:rPr>
        <w:t xml:space="preserve"> </w:t>
      </w:r>
      <w:r>
        <w:rPr>
          <w:rFonts w:ascii="Nirmala UI" w:hAnsi="Nirmala UI" w:eastAsia="Nirmala UI" w:cs="Nirmala UI"/>
        </w:rPr>
        <w:t>ꯄ꯭ꯔꯥꯏꯗ</w:t>
      </w:r>
      <w:r>
        <w:rPr>
          <w:rFonts w:ascii="Times New Roman" w:hAnsi="Times New Roman" w:eastAsia="Times New Roman" w:cs="Times New Roman"/>
        </w:rPr>
        <w:t xml:space="preserve">” </w:t>
      </w:r>
      <w:r>
        <w:rPr>
          <w:rFonts w:ascii="Nirmala UI" w:hAnsi="Nirmala UI" w:eastAsia="Nirmala UI" w:cs="Nirmala UI"/>
        </w:rPr>
        <w:t>ꯍꯥꯏꯕꯁꯤ</w:t>
      </w:r>
      <w:r>
        <w:rPr>
          <w:rFonts w:ascii="Times New Roman" w:hAnsi="Times New Roman" w:eastAsia="Times New Roman" w:cs="Times New Roman"/>
        </w:rPr>
        <w:t xml:space="preserve"> </w:t>
      </w:r>
      <w:r>
        <w:rPr>
          <w:rFonts w:ascii="Nirmala UI" w:hAnsi="Nirmala UI" w:eastAsia="Nirmala UI" w:cs="Nirmala UI"/>
        </w:rPr>
        <w:t>ꯏꯁ꯭ꯔꯥꯌꯦꯜꯅ</w:t>
      </w:r>
      <w:r>
        <w:rPr>
          <w:rFonts w:ascii="Times New Roman" w:hAnsi="Times New Roman" w:eastAsia="Times New Roman" w:cs="Times New Roman"/>
        </w:rPr>
        <w:t xml:space="preserve"> </w:t>
      </w:r>
      <w:r>
        <w:rPr>
          <w:rFonts w:ascii="Nirmala UI" w:hAnsi="Nirmala UI" w:eastAsia="Nirmala UI" w:cs="Nirmala UI"/>
        </w:rPr>
        <w:t>ꯃꯥꯂꯦꯝꯒꯤ</w:t>
      </w:r>
      <w:r>
        <w:rPr>
          <w:rFonts w:ascii="Times New Roman" w:hAnsi="Times New Roman" w:eastAsia="Times New Roman" w:cs="Times New Roman"/>
        </w:rPr>
        <w:t xml:space="preserve"> </w:t>
      </w:r>
      <w:r>
        <w:rPr>
          <w:rFonts w:ascii="Nirmala UI" w:hAnsi="Nirmala UI" w:eastAsia="Nirmala UI" w:cs="Nirmala UI"/>
        </w:rPr>
        <w:t>ꯃꯤꯁꯤꯡ</w:t>
      </w:r>
      <w:r>
        <w:rPr>
          <w:rFonts w:ascii="Times New Roman" w:hAnsi="Times New Roman" w:eastAsia="Times New Roman" w:cs="Times New Roman"/>
        </w:rPr>
        <w:t xml:space="preserve"> </w:t>
      </w:r>
      <w:r>
        <w:rPr>
          <w:rFonts w:ascii="Nirmala UI" w:hAnsi="Nirmala UI" w:eastAsia="Nirmala UI" w:cs="Nirmala UI"/>
        </w:rPr>
        <w:t>ꯑꯃꯒꯨꯝ</w:t>
      </w:r>
      <w:r>
        <w:rPr>
          <w:rFonts w:ascii="Times New Roman" w:hAnsi="Times New Roman" w:eastAsia="Times New Roman" w:cs="Times New Roman"/>
        </w:rPr>
        <w:t xml:space="preserve"> </w:t>
      </w:r>
      <w:r>
        <w:rPr>
          <w:rFonts w:ascii="Nirmala UI" w:hAnsi="Nirmala UI" w:eastAsia="Nirmala UI" w:cs="Nirmala UI"/>
        </w:rPr>
        <w:t>ꯑꯣꯏꯅꯕꯒꯤꯗꯃꯛ</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ꯃꯃꯥꯡ</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ꯂꯩꯕꯒꯤ</w:t>
      </w:r>
      <w:r>
        <w:rPr>
          <w:rFonts w:ascii="Times New Roman" w:hAnsi="Times New Roman" w:eastAsia="Times New Roman" w:cs="Times New Roman"/>
        </w:rPr>
        <w:t xml:space="preserve"> </w:t>
      </w:r>
      <w:r>
        <w:rPr>
          <w:rFonts w:ascii="Nirmala UI" w:hAnsi="Nirmala UI" w:eastAsia="Nirmala UI" w:cs="Nirmala UI"/>
        </w:rPr>
        <w:t>ꯑꯄꯥꯝꯕ</w:t>
      </w:r>
      <w:r>
        <w:rPr>
          <w:rFonts w:ascii="Times New Roman" w:hAnsi="Times New Roman" w:eastAsia="Times New Roman" w:cs="Times New Roman"/>
        </w:rPr>
        <w:t xml:space="preserve"> </w:t>
      </w:r>
      <w:r>
        <w:rPr>
          <w:rFonts w:ascii="Nirmala UI" w:hAnsi="Nirmala UI" w:eastAsia="Nirmala UI" w:cs="Nirmala UI"/>
        </w:rPr>
        <w:t>ꯄꯥꯝꯅꯕꯁꯤ</w:t>
      </w:r>
      <w:r>
        <w:rPr>
          <w:rFonts w:ascii="Times New Roman" w:hAnsi="Times New Roman" w:eastAsia="Times New Roman" w:cs="Times New Roman"/>
        </w:rPr>
        <w:t xml:space="preserve"> </w:t>
      </w:r>
      <w:r>
        <w:rPr>
          <w:rFonts w:ascii="Nirmala UI" w:hAnsi="Nirmala UI" w:eastAsia="Nirmala UI" w:cs="Nirmala UI"/>
        </w:rPr>
        <w:t>ꯐꯣꯡꯗꯣꯛꯂꯤ।</w:t>
      </w:r>
      <w:r>
        <w:rPr>
          <w:rFonts w:ascii="Times New Roman" w:hAnsi="Times New Roman" w:eastAsia="Times New Roman" w:cs="Times New Roman"/>
        </w:rPr>
        <w:t xml:space="preserve"> 723 BC</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ꯑꯋꯥꯡꯕ</w:t>
      </w:r>
      <w:r>
        <w:rPr>
          <w:rFonts w:ascii="Times New Roman" w:hAnsi="Times New Roman" w:eastAsia="Times New Roman" w:cs="Times New Roman"/>
        </w:rPr>
        <w:t xml:space="preserve"> </w:t>
      </w:r>
      <w:r>
        <w:rPr>
          <w:rFonts w:ascii="Nirmala UI" w:hAnsi="Nirmala UI" w:eastAsia="Nirmala UI" w:cs="Nirmala UI"/>
        </w:rPr>
        <w:t>ꯂꯩꯔꯥꯡꯗꯒꯤ</w:t>
      </w:r>
      <w:r>
        <w:rPr>
          <w:rFonts w:ascii="Times New Roman" w:hAnsi="Times New Roman" w:eastAsia="Times New Roman" w:cs="Times New Roman"/>
        </w:rPr>
        <w:t xml:space="preserve"> </w:t>
      </w:r>
      <w:r>
        <w:rPr>
          <w:rFonts w:ascii="Nirmala UI" w:hAnsi="Nirmala UI" w:eastAsia="Nirmala UI" w:cs="Nirmala UI"/>
        </w:rPr>
        <w:t>ꯅꯤꯡꯊꯧꯕꯨ</w:t>
      </w:r>
      <w:r>
        <w:rPr>
          <w:rFonts w:ascii="Times New Roman" w:hAnsi="Times New Roman" w:eastAsia="Times New Roman" w:cs="Times New Roman"/>
        </w:rPr>
        <w:t xml:space="preserve"> </w:t>
      </w:r>
      <w:r>
        <w:rPr>
          <w:rFonts w:ascii="Nirmala UI" w:hAnsi="Nirmala UI" w:eastAsia="Nirmala UI" w:cs="Nirmala UI"/>
        </w:rPr>
        <w:t>ꯂꯧꯊꯣꯛꯄ</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586 BC</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ꯑꯋꯥꯡꯕ</w:t>
      </w:r>
      <w:r>
        <w:rPr>
          <w:rFonts w:ascii="Times New Roman" w:hAnsi="Times New Roman" w:eastAsia="Times New Roman" w:cs="Times New Roman"/>
        </w:rPr>
        <w:t xml:space="preserve"> </w:t>
      </w:r>
      <w:r>
        <w:rPr>
          <w:rFonts w:ascii="Nirmala UI" w:hAnsi="Nirmala UI" w:eastAsia="Nirmala UI" w:cs="Nirmala UI"/>
        </w:rPr>
        <w:t>ꯂꯩꯔꯥꯡꯒꯤ</w:t>
      </w:r>
      <w:r>
        <w:rPr>
          <w:rFonts w:ascii="Times New Roman" w:hAnsi="Times New Roman" w:eastAsia="Times New Roman" w:cs="Times New Roman"/>
        </w:rPr>
        <w:t xml:space="preserve"> </w:t>
      </w:r>
      <w:r>
        <w:rPr>
          <w:rFonts w:ascii="Nirmala UI" w:hAnsi="Nirmala UI" w:eastAsia="Nirmala UI" w:cs="Nirmala UI"/>
        </w:rPr>
        <w:t>ꯅꯤꯡꯊꯧ</w:t>
      </w:r>
      <w:r>
        <w:rPr>
          <w:rFonts w:ascii="Times New Roman" w:hAnsi="Times New Roman" w:eastAsia="Times New Roman" w:cs="Times New Roman"/>
        </w:rPr>
        <w:t xml:space="preserve"> </w:t>
      </w:r>
      <w:r>
        <w:rPr>
          <w:rFonts w:ascii="Nirmala UI" w:hAnsi="Nirmala UI" w:eastAsia="Nirmala UI" w:cs="Nirmala UI"/>
        </w:rPr>
        <w:t>ꯖꯦꯗꯦꯀꯥꯏꯌꯥꯒꯤ</w:t>
      </w:r>
      <w:r>
        <w:rPr>
          <w:rFonts w:ascii="Times New Roman" w:hAnsi="Times New Roman" w:eastAsia="Times New Roman" w:cs="Times New Roman"/>
        </w:rPr>
        <w:t xml:space="preserve"> </w:t>
      </w:r>
      <w:r>
        <w:rPr>
          <w:rFonts w:ascii="Nirmala UI" w:hAnsi="Nirmala UI" w:eastAsia="Nirmala UI" w:cs="Nirmala UI"/>
        </w:rPr>
        <w:t>ꯀꯥꯞꯇꯤꯚꯤꯇꯤ</w:t>
      </w:r>
      <w:r>
        <w:rPr>
          <w:rFonts w:ascii="Times New Roman" w:hAnsi="Times New Roman" w:eastAsia="Times New Roman" w:cs="Times New Roman"/>
        </w:rPr>
        <w:t xml:space="preserve"> </w:t>
      </w:r>
      <w:r>
        <w:rPr>
          <w:rFonts w:ascii="Nirmala UI" w:hAnsi="Nirmala UI" w:eastAsia="Nirmala UI" w:cs="Nirmala UI"/>
        </w:rPr>
        <w:t>ꯍꯥꯏꯕꯁꯤ</w:t>
      </w:r>
      <w:r>
        <w:rPr>
          <w:rFonts w:ascii="Times New Roman" w:hAnsi="Times New Roman" w:eastAsia="Times New Roman" w:cs="Times New Roman"/>
        </w:rPr>
        <w:t xml:space="preserve"> </w:t>
      </w:r>
      <w:r>
        <w:rPr>
          <w:rFonts w:ascii="Nirmala UI" w:hAnsi="Nirmala UI" w:eastAsia="Nirmala UI" w:cs="Nirmala UI"/>
        </w:rPr>
        <w:t>ꯃꯥꯀꯩ</w:t>
      </w:r>
      <w:r>
        <w:rPr>
          <w:rFonts w:ascii="Times New Roman" w:hAnsi="Times New Roman" w:eastAsia="Times New Roman" w:cs="Times New Roman"/>
        </w:rPr>
        <w:t xml:space="preserve"> </w:t>
      </w:r>
      <w:r>
        <w:rPr>
          <w:rFonts w:ascii="Nirmala UI" w:hAnsi="Nirmala UI" w:eastAsia="Nirmala UI" w:cs="Nirmala UI"/>
        </w:rPr>
        <w:t>ꯏꯁ꯭ꯔꯥꯌꯦꯜꯒꯤ</w:t>
      </w:r>
      <w:r>
        <w:rPr>
          <w:rFonts w:ascii="Times New Roman" w:hAnsi="Times New Roman" w:eastAsia="Times New Roman" w:cs="Times New Roman"/>
        </w:rPr>
        <w:t xml:space="preserve"> “</w:t>
      </w:r>
      <w:r>
        <w:rPr>
          <w:rFonts w:ascii="Nirmala UI" w:hAnsi="Nirmala UI" w:eastAsia="Nirmala UI" w:cs="Nirmala UI"/>
        </w:rPr>
        <w:t>ꯄ꯭ꯔꯥꯏꯗ</w:t>
      </w:r>
      <w:r>
        <w:rPr>
          <w:rFonts w:ascii="Times New Roman" w:hAnsi="Times New Roman" w:eastAsia="Times New Roman" w:cs="Times New Roman"/>
        </w:rPr>
        <w:t xml:space="preserve">” </w:t>
      </w:r>
      <w:r>
        <w:rPr>
          <w:rFonts w:ascii="Nirmala UI" w:hAnsi="Nirmala UI" w:eastAsia="Nirmala UI" w:cs="Nirmala UI"/>
        </w:rPr>
        <w:t>ꯊꯨꯡꯅꯕꯁꯤ</w:t>
      </w:r>
      <w:r>
        <w:rPr>
          <w:rFonts w:ascii="Times New Roman" w:hAnsi="Times New Roman" w:eastAsia="Times New Roman" w:cs="Times New Roman"/>
        </w:rPr>
        <w:t xml:space="preserve"> </w:t>
      </w:r>
      <w:r>
        <w:rPr>
          <w:rFonts w:ascii="Nirmala UI" w:hAnsi="Nirmala UI" w:eastAsia="Nirmala UI" w:cs="Nirmala UI"/>
        </w:rPr>
        <w:t>ꯃꯤꯈꯥꯏ</w:t>
      </w:r>
      <w:r>
        <w:rPr>
          <w:rFonts w:ascii="Times New Roman" w:hAnsi="Times New Roman" w:eastAsia="Times New Roman" w:cs="Times New Roman"/>
        </w:rPr>
        <w:t xml:space="preserve"> </w:t>
      </w:r>
      <w:r>
        <w:rPr>
          <w:rFonts w:ascii="Nirmala UI" w:hAnsi="Nirmala UI" w:eastAsia="Nirmala UI" w:cs="Nirmala UI"/>
        </w:rPr>
        <w:t>ꯇꯥꯕꯤ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ꯄ꯭ꯔꯥꯏꯗꯒꯤ</w:t>
      </w:r>
      <w:r>
        <w:rPr>
          <w:rFonts w:ascii="Times New Roman" w:hAnsi="Times New Roman" w:eastAsia="Times New Roman" w:cs="Times New Roman"/>
        </w:rPr>
        <w:t xml:space="preserve"> </w:t>
      </w:r>
      <w:r>
        <w:rPr>
          <w:rFonts w:ascii="Nirmala UI" w:hAnsi="Nirmala UI" w:eastAsia="Nirmala UI" w:cs="Nirmala UI"/>
        </w:rPr>
        <w:t>ꯃꯃꯥꯡꯗ</w:t>
      </w:r>
      <w:r>
        <w:rPr>
          <w:rFonts w:ascii="Times New Roman" w:hAnsi="Times New Roman" w:eastAsia="Times New Roman" w:cs="Times New Roman"/>
        </w:rPr>
        <w:t xml:space="preserve"> </w:t>
      </w:r>
      <w:r>
        <w:rPr>
          <w:rFonts w:ascii="Nirmala UI" w:hAnsi="Nirmala UI" w:eastAsia="Nirmala UI" w:cs="Nirmala UI"/>
        </w:rPr>
        <w:t>ꯃꯊꯧ</w:t>
      </w:r>
      <w:r>
        <w:rPr>
          <w:rFonts w:ascii="Times New Roman" w:hAnsi="Times New Roman" w:eastAsia="Times New Roman" w:cs="Times New Roman"/>
        </w:rPr>
        <w:t xml:space="preserve"> </w:t>
      </w:r>
      <w:r>
        <w:rPr>
          <w:rFonts w:ascii="Nirmala UI" w:hAnsi="Nirmala UI" w:eastAsia="Nirmala UI" w:cs="Nirmala UI"/>
        </w:rPr>
        <w:t>ꯊꯣꯛꯄ</w:t>
      </w:r>
      <w:r>
        <w:rPr>
          <w:rFonts w:ascii="Times New Roman" w:hAnsi="Times New Roman" w:eastAsia="Times New Roman" w:cs="Times New Roman"/>
        </w:rPr>
        <w:t xml:space="preserve"> </w:t>
      </w:r>
      <w:r>
        <w:rPr>
          <w:rFonts w:ascii="Nirmala UI" w:hAnsi="Nirmala UI" w:eastAsia="Nirmala UI" w:cs="Nirmala UI"/>
        </w:rPr>
        <w:t>ꯂꯩ।</w:t>
      </w:r>
      <w:r>
        <w:rPr>
          <w:rFonts w:ascii="Times New Roman" w:hAnsi="Times New Roman" w:eastAsia="Times New Roman" w:cs="Times New Roman"/>
        </w:rPr>
        <w:t xml:space="preserve"> </w:t>
      </w:r>
      <w:r>
        <w:rPr>
          <w:rFonts w:ascii="Nirmala UI" w:hAnsi="Nirmala UI" w:eastAsia="Nirmala UI" w:cs="Nirmala UI"/>
        </w:rPr>
        <w:t>ꯕꯥꯏꯕꯜꯒꯤ</w:t>
      </w:r>
      <w:r>
        <w:rPr>
          <w:rFonts w:ascii="Times New Roman" w:hAnsi="Times New Roman" w:eastAsia="Times New Roman" w:cs="Times New Roman"/>
        </w:rPr>
        <w:t xml:space="preserve"> </w:t>
      </w:r>
      <w:r>
        <w:rPr>
          <w:rFonts w:ascii="Nirmala UI" w:hAnsi="Nirmala UI" w:eastAsia="Nirmala UI" w:cs="Nirmala UI"/>
        </w:rPr>
        <w:t>ꯄ꯭ꯔꯣꯐꯦꯁꯤꯗ</w:t>
      </w:r>
      <w:r>
        <w:rPr>
          <w:rFonts w:ascii="Times New Roman" w:hAnsi="Times New Roman" w:eastAsia="Times New Roman" w:cs="Times New Roman"/>
        </w:rPr>
        <w:t xml:space="preserve"> “</w:t>
      </w:r>
      <w:r>
        <w:rPr>
          <w:rFonts w:ascii="Nirmala UI" w:hAnsi="Nirmala UI" w:eastAsia="Nirmala UI" w:cs="Nirmala UI"/>
        </w:rPr>
        <w:t>ꯄꯥꯋꯔ</w:t>
      </w:r>
      <w:r>
        <w:rPr>
          <w:rFonts w:ascii="Times New Roman" w:hAnsi="Times New Roman" w:eastAsia="Times New Roman" w:cs="Times New Roman"/>
        </w:rPr>
        <w:t xml:space="preserve">” </w:t>
      </w:r>
      <w:r>
        <w:rPr>
          <w:rFonts w:ascii="Nirmala UI" w:hAnsi="Nirmala UI" w:eastAsia="Nirmala UI" w:cs="Nirmala UI"/>
        </w:rPr>
        <w:t>ꯍꯥꯏꯕꯁꯤ</w:t>
      </w:r>
      <w:r>
        <w:rPr>
          <w:rFonts w:ascii="Times New Roman" w:hAnsi="Times New Roman" w:eastAsia="Times New Roman" w:cs="Times New Roman"/>
        </w:rPr>
        <w:t xml:space="preserve"> </w:t>
      </w:r>
      <w:r>
        <w:rPr>
          <w:rFonts w:ascii="Nirmala UI" w:hAnsi="Nirmala UI" w:eastAsia="Nirmala UI" w:cs="Nirmala UI"/>
        </w:rPr>
        <w:t>ꯅꯤꯡꯊꯧ</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ꯅꯠꯇ꯭ꯔꯒ</w:t>
      </w:r>
      <w:r>
        <w:rPr>
          <w:rFonts w:ascii="Times New Roman" w:hAnsi="Times New Roman" w:eastAsia="Times New Roman" w:cs="Times New Roman"/>
        </w:rPr>
        <w:t xml:space="preserve"> </w:t>
      </w:r>
      <w:r>
        <w:rPr>
          <w:rFonts w:ascii="Nirmala UI" w:hAnsi="Nirmala UI" w:eastAsia="Nirmala UI" w:cs="Nirmala UI"/>
        </w:rPr>
        <w:t>ꯂꯩꯔꯥꯡ</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w:t>
      </w:r>
      <w:r>
        <w:rPr>
          <w:rFonts w:ascii="Times New Roman" w:hAnsi="Times New Roman" w:eastAsia="Times New Roman" w:cs="Times New Roman"/>
        </w:rPr>
        <w:t xml:space="preserve">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ꯅꯤꯡꯊꯧ</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ꯐꯪꯕꯗꯥ</w:t>
      </w:r>
      <w:r>
        <w:rPr>
          <w:rFonts w:ascii="Times New Roman" w:hAnsi="Times New Roman" w:eastAsia="Times New Roman" w:cs="Times New Roman"/>
        </w:rPr>
        <w:t xml:space="preserve"> </w:t>
      </w:r>
      <w:r>
        <w:rPr>
          <w:rFonts w:ascii="Nirmala UI" w:hAnsi="Nirmala UI" w:eastAsia="Nirmala UI" w:cs="Nirmala UI"/>
        </w:rPr>
        <w:t>ꯏꯁ꯭ꯔꯥꯌꯦꯜꯒꯤ</w:t>
      </w:r>
      <w:r>
        <w:rPr>
          <w:rFonts w:ascii="Times New Roman" w:hAnsi="Times New Roman" w:eastAsia="Times New Roman" w:cs="Times New Roman"/>
        </w:rPr>
        <w:t xml:space="preserve"> </w:t>
      </w:r>
      <w:r>
        <w:rPr>
          <w:rFonts w:ascii="Nirmala UI" w:hAnsi="Nirmala UI" w:eastAsia="Nirmala UI" w:cs="Nirmala UI"/>
        </w:rPr>
        <w:t>ꯄ꯭ꯔꯥꯏꯗꯁꯤ</w:t>
      </w:r>
      <w:r>
        <w:rPr>
          <w:rFonts w:ascii="Times New Roman" w:hAnsi="Times New Roman" w:eastAsia="Times New Roman" w:cs="Times New Roman"/>
        </w:rPr>
        <w:t xml:space="preserve"> </w:t>
      </w:r>
      <w:r>
        <w:rPr>
          <w:rFonts w:ascii="Nirmala UI" w:hAnsi="Nirmala UI" w:eastAsia="Nirmala UI" w:cs="Nirmala UI"/>
        </w:rPr>
        <w:t>ꯊꯤꯑꯣꯀ꯭ꯔꯦꯁꯤ</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ꯗꯤꯕꯥꯏꯟ</w:t>
      </w:r>
      <w:r>
        <w:rPr>
          <w:rFonts w:ascii="Times New Roman" w:hAnsi="Times New Roman" w:eastAsia="Times New Roman" w:cs="Times New Roman"/>
        </w:rPr>
        <w:t xml:space="preserve"> </w:t>
      </w:r>
      <w:r>
        <w:rPr>
          <w:rFonts w:ascii="Nirmala UI" w:hAnsi="Nirmala UI" w:eastAsia="Nirmala UI" w:cs="Nirmala UI"/>
        </w:rPr>
        <w:t>ꯅꯤꯡꯊꯧꯕꯨ</w:t>
      </w:r>
      <w:r>
        <w:rPr>
          <w:rFonts w:ascii="Times New Roman" w:hAnsi="Times New Roman" w:eastAsia="Times New Roman" w:cs="Times New Roman"/>
        </w:rPr>
        <w:t xml:space="preserve"> </w:t>
      </w:r>
      <w:r>
        <w:rPr>
          <w:rFonts w:ascii="Nirmala UI" w:hAnsi="Nirmala UI" w:eastAsia="Nirmala UI" w:cs="Nirmala UI"/>
        </w:rPr>
        <w:t>ꯌꯥꯎꯗꯅ</w:t>
      </w:r>
      <w:r>
        <w:rPr>
          <w:rFonts w:ascii="Times New Roman" w:hAnsi="Times New Roman" w:eastAsia="Times New Roman" w:cs="Times New Roman"/>
        </w:rPr>
        <w:t xml:space="preserve"> </w:t>
      </w:r>
      <w:r>
        <w:rPr>
          <w:rFonts w:ascii="Nirmala UI" w:hAnsi="Nirmala UI" w:eastAsia="Nirmala UI" w:cs="Nirmala UI"/>
        </w:rPr>
        <w:t>ꯈꯪꯍꯟꯕꯁꯤ</w:t>
      </w:r>
      <w:r>
        <w:rPr>
          <w:rFonts w:ascii="Times New Roman" w:hAnsi="Times New Roman" w:eastAsia="Times New Roman" w:cs="Times New Roman"/>
        </w:rPr>
        <w:t xml:space="preserve"> </w:t>
      </w:r>
      <w:r>
        <w:rPr>
          <w:rFonts w:ascii="Nirmala UI" w:hAnsi="Nirmala UI" w:eastAsia="Nirmala UI" w:cs="Nirmala UI"/>
        </w:rPr>
        <w:t>ꯃꯥꯔꯛ</w:t>
      </w:r>
      <w:r>
        <w:rPr>
          <w:rFonts w:ascii="Times New Roman" w:hAnsi="Times New Roman" w:eastAsia="Times New Roman" w:cs="Times New Roman"/>
        </w:rPr>
        <w:t xml:space="preserve"> </w:t>
      </w:r>
      <w:r>
        <w:rPr>
          <w:rFonts w:ascii="Nirmala UI" w:hAnsi="Nirmala UI" w:eastAsia="Nirmala UI" w:cs="Nirmala UI"/>
        </w:rPr>
        <w:t>ꯇꯧꯏ।</w:t>
      </w:r>
    </w:p>
    <w:p>
      <w:pPr>
        <w:pStyle w:val="ArticleScripture"/>
        <w:jc w:val="left"/>
      </w:pPr>
      <w:r>
        <w:rPr>
          <w:rFonts w:ascii="Times New Roman" w:hAnsi="Times New Roman" w:eastAsia="Times New Roman" w:cs="Times New Roman"/>
        </w:rPr>
        <w:t>Û gava ku Şemûêl pîr bû, ew kurên xwe li ser Îsraêl wekî dadwer danî. Navê kurê wî yê yekem Yoêl bû, û navê yê duyem Abiyah bû; ew li Bêrşeba dadwer bûn. Lê kurên wî di rêyên wî de negeriyan; belkî ji bo qezencê neheq alî girtin, bertîl standin, û dadweriyê çewt kirin. Paşê hemû pîrên Îsraêl civiyan û hatin ba Şemûêl li Ramah, û jê re gotin: Va ye, tu pîr bûyî, û kurên te di rêyên te de naçin; niha ji me re padîşahyek çêke ku me dadwerî bike, mîna hemû neteweyan. Lê ev gotin li ber Şemûêl ne xweş hat, dema ku wan got: Ji me re padîşahyek bide ku me dadwerî bike. Û Şemûêl dua kir ji Xudan re. Û Xudan ji Şemûêl re got: Di her tiştê ku gel ji te re dibêjin de, guhê xwe bide dengê wan; çimkî ne tu ne ku wan red kirin, lê min red kirin, da ku ez li ser wan padîşahî nekim. Li gorî hemû kirinên ku wan kirine ji roja ku min ew ji Misirê derxistine heta vê rojê, ku bi wan ez hiştim û xizmeta xwedayên din kirin, wusa jî bi te re dikin. Niha, wisa, guhê xwe bide dengê wan; lêbelê bi cidî li wan şahidiyê bike, û awayê padîşahê ku dê li ser wan padîşahî bike nîşanî wan bide. 1 Şemûêl 8:1–9.</w:t>
      </w:r>
    </w:p>
    <w:p>
      <w:pPr>
        <w:pStyle w:val="ArticleBody"/>
        <w:jc w:val="left"/>
      </w:pPr>
      <w:r>
        <w:rPr>
          <w:rFonts w:ascii="Times New Roman" w:hAnsi="Times New Roman" w:eastAsia="Times New Roman" w:cs="Times New Roman"/>
        </w:rPr>
        <w:t>Kongenja kuyo iuvitip al, toki Israel orngoga not only God ari la king uland, but also ari Spirit of Prophecy, Samuel-ia representative doku, for it states, “arangna me forsaken, bo other gods served; yaico to thee añe do also.”</w:t>
      </w:r>
    </w:p>
    <w:p>
      <w:pPr>
        <w:pStyle w:val="ArticleScripture"/>
        <w:jc w:val="left"/>
      </w:pPr>
      <w:r>
        <w:rPr>
          <w:rFonts w:ascii="Times New Roman" w:hAnsi="Times New Roman" w:eastAsia="Times New Roman" w:cs="Times New Roman"/>
        </w:rPr>
        <w:t>“Setana ari... kuramba achimanikidza izvo zvokunyepedzera—kuti atsausire vanhu kure nechokwadi. Kunyengera kwekupedzisira chaiko kwaSetana kuchava kuita kuti uchapupu hwoMweya waMwari hushaye simba. ‘Panoshayikwa chiratidzo, vanhu vanoparara’ (Zvirevo 29:18). Setana achashanda noungwaru hwokunyengera, nenzira dzakasiyana-siyana uye kubudikidza nenzvimbo dzakasiyana-siyana, kuti azungamise kuvimba kwavanhu vaMwari vakasara muuchapupu hwechokwadi.”</w:t>
      </w:r>
    </w:p>
    <w:p>
      <w:pPr>
        <w:pStyle w:val="ArticleScripture"/>
        <w:jc w:val="left"/>
      </w:pPr>
      <w:r>
        <w:rPr>
          <w:rFonts w:ascii="Times New Roman" w:hAnsi="Times New Roman" w:eastAsia="Times New Roman" w:cs="Times New Roman"/>
        </w:rPr>
        <w:t>“Testimony-</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शैतानी</w:t>
      </w:r>
      <w:r>
        <w:rPr>
          <w:rFonts w:ascii="Times New Roman" w:hAnsi="Times New Roman" w:eastAsia="Times New Roman" w:cs="Times New Roman"/>
        </w:rPr>
        <w:t xml:space="preserve"> </w:t>
      </w:r>
      <w:r>
        <w:rPr>
          <w:rFonts w:ascii="Nirmala UI" w:hAnsi="Nirmala UI" w:eastAsia="Nirmala UI" w:cs="Nirmala UI"/>
        </w:rPr>
        <w:t>प्रकारक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घृणा</w:t>
      </w:r>
      <w:r>
        <w:rPr>
          <w:rFonts w:ascii="Times New Roman" w:hAnsi="Times New Roman" w:eastAsia="Times New Roman" w:cs="Times New Roman"/>
        </w:rPr>
        <w:t xml:space="preserve"> </w:t>
      </w:r>
      <w:r>
        <w:rPr>
          <w:rFonts w:ascii="Nirmala UI" w:hAnsi="Nirmala UI" w:eastAsia="Nirmala UI" w:cs="Nirmala UI"/>
        </w:rPr>
        <w:t>प्रज्वलित</w:t>
      </w:r>
      <w:r>
        <w:rPr>
          <w:rFonts w:ascii="Times New Roman" w:hAnsi="Times New Roman" w:eastAsia="Times New Roman" w:cs="Times New Roman"/>
        </w:rPr>
        <w:t xml:space="preserve"> </w:t>
      </w:r>
      <w:r>
        <w:rPr>
          <w:rFonts w:ascii="Nirmala UI" w:hAnsi="Nirmala UI" w:eastAsia="Nirmala UI" w:cs="Nirmala UI"/>
        </w:rPr>
        <w:t>होइया</w:t>
      </w:r>
      <w:r>
        <w:rPr>
          <w:rFonts w:ascii="Times New Roman" w:hAnsi="Times New Roman" w:eastAsia="Times New Roman" w:cs="Times New Roman"/>
        </w:rPr>
        <w:t xml:space="preserve"> </w:t>
      </w:r>
      <w:r>
        <w:rPr>
          <w:rFonts w:ascii="Nirmala UI" w:hAnsi="Nirmala UI" w:eastAsia="Nirmala UI" w:cs="Nirmala UI"/>
        </w:rPr>
        <w:t>उठिब।</w:t>
      </w:r>
      <w:r>
        <w:rPr>
          <w:rFonts w:ascii="Times New Roman" w:hAnsi="Times New Roman" w:eastAsia="Times New Roman" w:cs="Times New Roman"/>
        </w:rPr>
        <w:t xml:space="preserve"> </w:t>
      </w:r>
      <w:r>
        <w:rPr>
          <w:rFonts w:ascii="Nirmala UI" w:hAnsi="Nirmala UI" w:eastAsia="Nirmala UI" w:cs="Nirmala UI"/>
        </w:rPr>
        <w:t>शैतानर</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ईहै</w:t>
      </w:r>
      <w:r>
        <w:rPr>
          <w:rFonts w:ascii="Times New Roman" w:hAnsi="Times New Roman" w:eastAsia="Times New Roman" w:cs="Times New Roman"/>
        </w:rPr>
        <w:t xml:space="preserve"> </w:t>
      </w:r>
      <w:r>
        <w:rPr>
          <w:rFonts w:ascii="Nirmala UI" w:hAnsi="Nirmala UI" w:eastAsia="Nirmala UI" w:cs="Nirmala UI"/>
        </w:rPr>
        <w:t>होइब</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चर्च</w:t>
      </w:r>
      <w:r>
        <w:rPr>
          <w:rFonts w:ascii="Times New Roman" w:hAnsi="Times New Roman" w:eastAsia="Times New Roman" w:cs="Times New Roman"/>
        </w:rPr>
        <w:t>-</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भीतर</w:t>
      </w:r>
      <w:r>
        <w:rPr>
          <w:rFonts w:ascii="Times New Roman" w:hAnsi="Times New Roman" w:eastAsia="Times New Roman" w:cs="Times New Roman"/>
        </w:rPr>
        <w:t xml:space="preserve"> </w:t>
      </w:r>
      <w:r>
        <w:rPr>
          <w:rFonts w:ascii="Nirmala UI" w:hAnsi="Nirmala UI" w:eastAsia="Nirmala UI" w:cs="Nirmala UI"/>
        </w:rPr>
        <w:t>ताकर</w:t>
      </w:r>
      <w:r>
        <w:rPr>
          <w:rFonts w:ascii="Times New Roman" w:hAnsi="Times New Roman" w:eastAsia="Times New Roman" w:cs="Times New Roman"/>
        </w:rPr>
        <w:t xml:space="preserve"> </w:t>
      </w:r>
      <w:r>
        <w:rPr>
          <w:rFonts w:ascii="Nirmala UI" w:hAnsi="Nirmala UI" w:eastAsia="Nirmala UI" w:cs="Nirmala UI"/>
        </w:rPr>
        <w:t>ऊपर</w:t>
      </w:r>
      <w:r>
        <w:rPr>
          <w:rFonts w:ascii="Times New Roman" w:hAnsi="Times New Roman" w:eastAsia="Times New Roman" w:cs="Times New Roman"/>
        </w:rPr>
        <w:t xml:space="preserve"> </w:t>
      </w:r>
      <w:r>
        <w:rPr>
          <w:rFonts w:ascii="Nirmala UI" w:hAnsi="Nirmala UI" w:eastAsia="Nirmala UI" w:cs="Nirmala UI"/>
        </w:rPr>
        <w:t>बिस्वास</w:t>
      </w:r>
      <w:r>
        <w:rPr>
          <w:rFonts w:ascii="Times New Roman" w:hAnsi="Times New Roman" w:eastAsia="Times New Roman" w:cs="Times New Roman"/>
        </w:rPr>
        <w:t xml:space="preserve"> </w:t>
      </w:r>
      <w:r>
        <w:rPr>
          <w:rFonts w:ascii="Nirmala UI" w:hAnsi="Nirmala UI" w:eastAsia="Nirmala UI" w:cs="Nirmala UI"/>
        </w:rPr>
        <w:t>डगमग</w:t>
      </w:r>
      <w:r>
        <w:rPr>
          <w:rFonts w:ascii="Times New Roman" w:hAnsi="Times New Roman" w:eastAsia="Times New Roman" w:cs="Times New Roman"/>
        </w:rPr>
        <w:t xml:space="preserve"> </w:t>
      </w:r>
      <w:r>
        <w:rPr>
          <w:rFonts w:ascii="Nirmala UI" w:hAnsi="Nirmala UI" w:eastAsia="Nirmala UI" w:cs="Nirmala UI"/>
        </w:rPr>
        <w:t>कराइ</w:t>
      </w:r>
      <w:r>
        <w:rPr>
          <w:rFonts w:ascii="Times New Roman" w:hAnsi="Times New Roman" w:eastAsia="Times New Roman" w:cs="Times New Roman"/>
        </w:rPr>
        <w:t xml:space="preserve"> </w:t>
      </w:r>
      <w:r>
        <w:rPr>
          <w:rFonts w:ascii="Nirmala UI" w:hAnsi="Nirmala UI" w:eastAsia="Nirmala UI" w:cs="Nirmala UI"/>
        </w:rPr>
        <w:t>देब</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एई</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परमेश्वरर</w:t>
      </w:r>
      <w:r>
        <w:rPr>
          <w:rFonts w:ascii="Times New Roman" w:hAnsi="Times New Roman" w:eastAsia="Times New Roman" w:cs="Times New Roman"/>
        </w:rPr>
        <w:t xml:space="preserve"> </w:t>
      </w:r>
      <w:r>
        <w:rPr>
          <w:rFonts w:ascii="Nirmala UI" w:hAnsi="Nirmala UI" w:eastAsia="Nirmala UI" w:cs="Nirmala UI"/>
        </w:rPr>
        <w:t>आत्मार</w:t>
      </w:r>
      <w:r>
        <w:rPr>
          <w:rFonts w:ascii="Times New Roman" w:hAnsi="Times New Roman" w:eastAsia="Times New Roman" w:cs="Times New Roman"/>
        </w:rPr>
        <w:t xml:space="preserve"> </w:t>
      </w:r>
      <w:r>
        <w:rPr>
          <w:rFonts w:ascii="Nirmala UI" w:hAnsi="Nirmala UI" w:eastAsia="Nirmala UI" w:cs="Nirmala UI"/>
        </w:rPr>
        <w:t>चेतावनी</w:t>
      </w:r>
      <w:r>
        <w:rPr>
          <w:rFonts w:ascii="Times New Roman" w:hAnsi="Times New Roman" w:eastAsia="Times New Roman" w:cs="Times New Roman"/>
        </w:rPr>
        <w:t xml:space="preserve">, </w:t>
      </w:r>
      <w:r>
        <w:rPr>
          <w:rFonts w:ascii="Nirmala UI" w:hAnsi="Nirmala UI" w:eastAsia="Nirmala UI" w:cs="Nirmala UI"/>
        </w:rPr>
        <w:t>तिरस्कार</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परामर्श</w:t>
      </w:r>
      <w:r>
        <w:rPr>
          <w:rFonts w:ascii="Times New Roman" w:hAnsi="Times New Roman" w:eastAsia="Times New Roman" w:cs="Times New Roman"/>
        </w:rPr>
        <w:t xml:space="preserve"> </w:t>
      </w:r>
      <w:r>
        <w:rPr>
          <w:rFonts w:ascii="Nirmala UI" w:hAnsi="Nirmala UI" w:eastAsia="Nirmala UI" w:cs="Nirmala UI"/>
        </w:rPr>
        <w:t>मानल</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तऽ</w:t>
      </w:r>
      <w:r>
        <w:rPr>
          <w:rFonts w:ascii="Times New Roman" w:hAnsi="Times New Roman" w:eastAsia="Times New Roman" w:cs="Times New Roman"/>
        </w:rPr>
        <w:t xml:space="preserve"> </w:t>
      </w:r>
      <w:r>
        <w:rPr>
          <w:rFonts w:ascii="Nirmala UI" w:hAnsi="Nirmala UI" w:eastAsia="Nirmala UI" w:cs="Nirmala UI"/>
        </w:rPr>
        <w:t>शैतान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w:t>
      </w:r>
      <w:r>
        <w:rPr>
          <w:rFonts w:ascii="Nirmala UI" w:hAnsi="Nirmala UI" w:eastAsia="Nirmala UI" w:cs="Nirmala UI"/>
        </w:rPr>
        <w:t>प्रपंच</w:t>
      </w:r>
      <w:r>
        <w:rPr>
          <w:rFonts w:ascii="Times New Roman" w:hAnsi="Times New Roman" w:eastAsia="Times New Roman" w:cs="Times New Roman"/>
        </w:rPr>
        <w:t xml:space="preserve"> </w:t>
      </w:r>
      <w:r>
        <w:rPr>
          <w:rFonts w:ascii="Nirmala UI" w:hAnsi="Nirmala UI" w:eastAsia="Nirmala UI" w:cs="Nirmala UI"/>
        </w:rPr>
        <w:t>भीतर</w:t>
      </w:r>
      <w:r>
        <w:rPr>
          <w:rFonts w:ascii="Times New Roman" w:hAnsi="Times New Roman" w:eastAsia="Times New Roman" w:cs="Times New Roman"/>
        </w:rPr>
        <w:t xml:space="preserve"> </w:t>
      </w:r>
      <w:r>
        <w:rPr>
          <w:rFonts w:ascii="Nirmala UI" w:hAnsi="Nirmala UI" w:eastAsia="Nirmala UI" w:cs="Nirmala UI"/>
        </w:rPr>
        <w:t>आनिबार</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भ्रम</w:t>
      </w:r>
      <w:r>
        <w:rPr>
          <w:rFonts w:ascii="Times New Roman" w:hAnsi="Times New Roman" w:eastAsia="Times New Roman" w:cs="Times New Roman"/>
        </w:rPr>
        <w:t xml:space="preserve"> </w:t>
      </w:r>
      <w:r>
        <w:rPr>
          <w:rFonts w:ascii="Nirmala UI" w:hAnsi="Nirmala UI" w:eastAsia="Nirmala UI" w:cs="Nirmala UI"/>
        </w:rPr>
        <w:t>भीतर</w:t>
      </w:r>
      <w:r>
        <w:rPr>
          <w:rFonts w:ascii="Times New Roman" w:hAnsi="Times New Roman" w:eastAsia="Times New Roman" w:cs="Times New Roman"/>
        </w:rPr>
        <w:t xml:space="preserve"> </w:t>
      </w:r>
      <w:r>
        <w:rPr>
          <w:rFonts w:ascii="Nirmala UI" w:hAnsi="Nirmala UI" w:eastAsia="Nirmala UI" w:cs="Nirmala UI"/>
        </w:rPr>
        <w:t>बाँधि</w:t>
      </w:r>
      <w:r>
        <w:rPr>
          <w:rFonts w:ascii="Times New Roman" w:hAnsi="Times New Roman" w:eastAsia="Times New Roman" w:cs="Times New Roman"/>
        </w:rPr>
        <w:t xml:space="preserve"> </w:t>
      </w:r>
      <w:r>
        <w:rPr>
          <w:rFonts w:ascii="Nirmala UI" w:hAnsi="Nirmala UI" w:eastAsia="Nirmala UI" w:cs="Nirmala UI"/>
        </w:rPr>
        <w:t>राखिबार</w:t>
      </w:r>
      <w:r>
        <w:rPr>
          <w:rFonts w:ascii="Times New Roman" w:hAnsi="Times New Roman" w:eastAsia="Times New Roman" w:cs="Times New Roman"/>
        </w:rPr>
        <w:t xml:space="preserve"> </w:t>
      </w:r>
      <w:r>
        <w:rPr>
          <w:rFonts w:ascii="Nirmala UI" w:hAnsi="Nirmala UI" w:eastAsia="Nirmala UI" w:cs="Nirmala UI"/>
        </w:rPr>
        <w:t>निमित्त</w:t>
      </w:r>
      <w:r>
        <w:rPr>
          <w:rFonts w:ascii="Times New Roman" w:hAnsi="Times New Roman" w:eastAsia="Times New Roman" w:cs="Times New Roman"/>
        </w:rPr>
        <w:t xml:space="preserve"> </w:t>
      </w:r>
      <w:r>
        <w:rPr>
          <w:rFonts w:ascii="Nirmala UI" w:hAnsi="Nirmala UI" w:eastAsia="Nirmala UI" w:cs="Nirmala UI"/>
        </w:rPr>
        <w:t>एते</w:t>
      </w:r>
      <w:r>
        <w:rPr>
          <w:rFonts w:ascii="Times New Roman" w:hAnsi="Times New Roman" w:eastAsia="Times New Roman" w:cs="Times New Roman"/>
        </w:rPr>
        <w:t xml:space="preserve"> </w:t>
      </w:r>
      <w:r>
        <w:rPr>
          <w:rFonts w:ascii="Nirmala UI" w:hAnsi="Nirmala UI" w:eastAsia="Nirmala UI" w:cs="Nirmala UI"/>
        </w:rPr>
        <w:t>स्पष्ट</w:t>
      </w:r>
      <w:r>
        <w:rPr>
          <w:rFonts w:ascii="Times New Roman" w:hAnsi="Times New Roman" w:eastAsia="Times New Roman" w:cs="Times New Roman"/>
        </w:rPr>
        <w:t xml:space="preserve"> </w:t>
      </w:r>
      <w:r>
        <w:rPr>
          <w:rFonts w:ascii="Nirmala UI" w:hAnsi="Nirmala UI" w:eastAsia="Nirmala UI" w:cs="Nirmala UI"/>
        </w:rPr>
        <w:t>मार्ग</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पाब।</w:t>
      </w:r>
      <w:r>
        <w:rPr>
          <w:rFonts w:ascii="Times New Roman" w:hAnsi="Times New Roman" w:eastAsia="Times New Roman" w:cs="Times New Roman"/>
        </w:rPr>
        <w:t>” Selected Messages, book 1, 48.</w:t>
      </w:r>
    </w:p>
    <w:p>
      <w:pPr>
        <w:pStyle w:val="ArticleBody"/>
        <w:jc w:val="left"/>
      </w:pPr>
      <w:r>
        <w:rPr>
          <w:rFonts w:ascii="Times New Roman" w:hAnsi="Times New Roman" w:eastAsia="Times New Roman" w:cs="Times New Roman"/>
        </w:rPr>
        <w:t>Ékúlyá lya úkwi pa théocratie ya Isalaele ya kala kwáli búshíngi bwa kulekela, kashi ka kulekela kîyi bútu Nzambi nkayi to, kadi pêpi ne Mupashi wa Buprofeta pè. Kulekelwa aku mu 1097 av. J.-C. kudi kusungila mu kifwankanyi búshíngi bwa kulekela bwa ndeke bwa Adventisme ya Dituku di Mwinda wa Mwandamutekete ya Laodicée mu 1863. “Misu ya samwanu” ya Lévitique makumi abidi ne mutanda i Dîyi dia Nzambi, ne Mupashi wa Buprofeta udi kwamba pa “misu ya samwanu” ne yôyì “kayena ne bua kushintululwa to.”</w:t>
      </w:r>
    </w:p>
    <w:p>
      <w:pPr>
        <w:pStyle w:val="ArticleScripture"/>
        <w:jc w:val="left"/>
      </w:pPr>
      <w:r>
        <w:rPr>
          <w:rFonts w:ascii="Times New Roman" w:hAnsi="Times New Roman" w:eastAsia="Times New Roman" w:cs="Times New Roman"/>
        </w:rPr>
        <w:t>“Nisanzire yuko igicapo co mu 1843 cari kiyobowe n’ukuboko kw’Umwami, kandi ko kitari gikwiye guhindurwa; ko imibare yari nk’uko Yashaka ko iba; ko ukuboko kwiwe kwari kuri yo kandi kwahishije ikosa riri muri zimwe mu mibare, kugira ngo ntihagire uwushobora kuribona, gushika igihe ukuboko kwiwe kuzakurwaho.” Early Writings, 74.</w:t>
      </w:r>
    </w:p>
    <w:p>
      <w:pPr>
        <w:pStyle w:val="ArticleBody"/>
        <w:jc w:val="left"/>
      </w:pPr>
      <w:r>
        <w:rPr>
          <w:rFonts w:ascii="Times New Roman" w:hAnsi="Times New Roman" w:eastAsia="Times New Roman" w:cs="Times New Roman"/>
        </w:rPr>
        <w:t>Omwoyo gw’Obunnabbi mu butangaavu gwasiima “ebiro musanvu,” era okusiima kwe kwali kulabula obutakyusa mibaro giri ku kipande, nga “ebiro musanvu” kye kikolomu eky’omu makkati n’ekifo eky’oku muggulu ku mukono ogwa ddyo. Nga waliwo ekipande eky’obulimba kya Uriah Smith mu 1863, ne wabaawo okugaana okweyongera okw’amazima agaasookera ddala, nga bwe kyafaananyizibwamu Isiraeri ow’edda mu kugaana kwabwe Katonda, era Omwoyo gw’Obunnabbi ne gulumiriza obujeemu bwa 1863. Ennaku z’omwaka gw’obujeemu bwa 1863 zigendera wamu n’olunyiriri olw’obunnabbi oluteekeddwawo mu kitabo kya Ezeekyeri. Mu lunyiriri olwo olw’ebyafaayo, enkomerero yali kuzikirizibwa kwa Yerusaalemi, okwafaananyizanga etteeka lya Ssande. Okuva mu 1863 okutuuka ku tteeka lya Ssande erigenda okujja amangu kyafaananyizibwanga ebyafaayo bya kabaka Sawulo mu 1097 BC okutuuka ku Zeddekiya mu 586 BC.</w:t>
      </w:r>
    </w:p>
    <w:p>
      <w:pPr>
        <w:pStyle w:val="ArticleBody"/>
        <w:jc w:val="left"/>
      </w:pPr>
      <w:r>
        <w:rPr>
          <w:rFonts w:ascii="Times New Roman" w:hAnsi="Times New Roman" w:eastAsia="Times New Roman" w:cs="Times New Roman"/>
        </w:rPr>
        <w:t>Zedekiya alitwalwa mateka hadi Babeli miaka kumi na minne kabla ya Yubile ya 573 KK. Mzunguko wa kumi na saba wa Yubile ulianza mwaka 622 KK, na katika mwaka wa thelathini Ezekieli anawekwa wazi kama kuhani mwaka 591 KK; kisha miaka mitano baadaye Yerusalemu uliharibiwa mwaka 586 KK. Uliharibiwa katika siku iyo hiyo ya mwaka kama ulivyoharibiwa mara ya pili mwaka 70 BK na Tito. Aya ya kwanza ya Ezekieli moja ni miaka mitano kabla ya kuharibiwa kwa Yerusalemu na miaka kumi na tisa kabla ya maono ya hekalu ya sura ya arobaini.</w:t>
      </w:r>
    </w:p>
    <w:p>
      <w:pPr>
        <w:pStyle w:val="ArticleScripture"/>
        <w:jc w:val="left"/>
      </w:pPr>
      <w:r>
        <w:rPr>
          <w:rFonts w:ascii="Times New Roman" w:hAnsi="Times New Roman" w:eastAsia="Times New Roman" w:cs="Times New Roman"/>
        </w:rPr>
        <w:t>Mu mwaka wa makumyabiri na gatanu w’obunyage bwaitu, ku ntandikwa y’omwaka, ku lunaku olw’ekkumi olw’omwezi, mu mwaka ogw’ekkumi n’ena oluvannyuma lw’ekibuga okukubibwa, ku lunaku olwo lwennyini omukono gwa Mukama gwali ku nze, ne guntwala eyo. Ezekieli 40:1.</w:t>
      </w:r>
    </w:p>
    <w:p>
      <w:pPr>
        <w:pStyle w:val="ArticleBody"/>
        <w:jc w:val="left"/>
      </w:pPr>
      <w:r>
        <w:rPr>
          <w:rFonts w:ascii="Times New Roman" w:hAnsi="Times New Roman" w:eastAsia="Times New Roman" w:cs="Times New Roman"/>
        </w:rPr>
        <w:t>Ji ber bêgumanî li hember peymana Şemîya axê, Xwedê destnîşan kir ku ji bo nebihêzî li hember sala heftemîn, ku Şemîya axê ye, “heft caran” dê nifir be. “Dem” salek e, û “sal” sê sed û şêst roj e; heft car sê sed û şêst dike du hezar û pênc sed û bîst sal. Millerîtiyan dibe ku têbîna “du hezar û pênc sed û bîst” bi kar neanîbûn, lê herdu nexşeyên wan ên pîroz bi jimareyî du hezar û pênc sed û bîst salan destnîşan kirin.</w:t>
      </w:r>
    </w:p>
    <w:p>
      <w:pPr>
        <w:pStyle w:val="ArticleBody"/>
        <w:jc w:val="left"/>
      </w:pPr>
      <w:r>
        <w:rPr>
          <w:rFonts w:ascii="Times New Roman" w:hAnsi="Times New Roman" w:eastAsia="Times New Roman" w:cs="Times New Roman"/>
        </w:rPr>
        <w:t>Kule kutangazwa kwa laana ya nyakati saba juu ya ufalme wa kaskazini wa Israeli na juu ya ufalme wa kusini wa Yuda ndiko kulikokuwa uelewa wa kwanza wa William Miller, au waweza kusema uelewa wa “msingi,” au hata waweza kusema uelewa wa “alpha.” Mwaka 1863 kanisa la Waadventista Wasabato wa Laodikia lilikataa uelewa wa msingi wa uvumbuzi wa Miller; “uvumbuzi” uliowakilisha msingi wote wa vuguvugu la Wamilleri. Uvuvio ulionya moja kwa moja kwamba jambo hili lingeweza kutokea, nalo limetukia, tena lilitukia zamani sana.</w:t>
      </w:r>
    </w:p>
    <w:p>
      <w:pPr>
        <w:pStyle w:val="ArticleBody"/>
        <w:jc w:val="left"/>
      </w:pPr>
      <w:r>
        <w:rPr>
          <w:rFonts w:ascii="Times New Roman" w:hAnsi="Times New Roman" w:eastAsia="Times New Roman" w:cs="Times New Roman"/>
        </w:rPr>
        <w:t>Babuloni utumwani mbange kaa rweyakwe hekaluni rwakubakʻomwe rwashoze mu mʼaluha ga itegeko rya mbere, kandi mbere ya itegeko rya kabiri. Hekalu rwubatswe rwose mu mʼaluha ga itegeko rya kabiri. Mu itegeko rya gatatu, ubwigenge bwʼihanga bwasubijwe Isirayeli ya kera nyakuri. William Miller yagereranyaga marayika wa mbere wageze mu 1798 kandi ahabwa ubushobozi ku wa 11 Kanama 1840. Marayika wa kabiri yageze nyuma yʼaho imfatiro zishyiriweho, nkʼuko byagereranyijwe nʼimbonerahamwe ya 1843, yasohowe muri Gicurasi 1842. Mu gucika intege kwa mbere kwo mu 1844, gucika intege kwa alufa kwo mu 1844, marayika wa kabiri kandi nʼigihe cyo gutinda cyo mu mugani wʼabageni bʼinkumi barageze, kandi ubwo ubutumwa bwa marayika wa kabiri bwahabwaga ubushobozi mu nama yʼihema yabereye Exeter, hekalu ryarangiye. Hanyuma mu gucika intege gukomeye, cyangwa okwʼomega, kwo mu 1844, Intumwa yʼIsezerano yahise iza mu rusengero rwayo, mu gusohozwa kwʼimyaka ibihumbi bibiri na magana atatu yatangiye ku itegeko rya gatatu ikarangira ku kuza kwa marayika wa gatatu.</w:t>
      </w:r>
    </w:p>
    <w:p>
      <w:pPr>
        <w:pStyle w:val="ArticleBody"/>
        <w:jc w:val="left"/>
      </w:pPr>
      <w:r>
        <w:rPr>
          <w:rFonts w:ascii="Times New Roman" w:hAnsi="Times New Roman" w:eastAsia="Times New Roman" w:cs="Times New Roman"/>
        </w:rPr>
        <w:t>Yosia humaanisha “msingi wa Mungu.” Iwe ni mfalme Yosia au Yosia Litch; wote wawili ni alama za misingi, kama inavyowakilishwa katika historia ya amri ya kwanza na kama inavyowakilishwa na sikukuu za majira ya kuchipua zilizoelezwa katika mistari ishirini na miwili ya kwanza ya Mambo ya Walawi ishirini na tatu. Misingi, sikukuu za majira ya kuchipua, na amri ya kwanza vyote ni alama za mwaka 1840 na kutiwa nguvu kwa malaika wa kwanza. Oktoba 22, 573 KK kama ilivyoelezwa katika Ezekieli sura ya arobaini na mstari wa kwanza ni alama ya Oktoba 22, 1844 na kufunguliwa kwa hukumu ya wafu, na pia ni alama ya Septemba 11, 2001 katika kufunguliwa kwa hukumu ya walio hai. Yeyote ambaye amekuwa akifuatilia makala hizi anapaswa kujua matumizi ninayotumia.</w:t>
      </w:r>
    </w:p>
    <w:p>
      <w:pPr>
        <w:pStyle w:val="ArticleBody"/>
        <w:jc w:val="left"/>
      </w:pPr>
      <w:r>
        <w:rPr>
          <w:rFonts w:ascii="Times New Roman" w:hAnsi="Times New Roman" w:eastAsia="Times New Roman" w:cs="Times New Roman"/>
        </w:rPr>
        <w:t>Hezekiel di nava dîroka pêxemberî de, ya ku di nivîsên wî de hatiye temsîlkirin, sembolek e. Hezekiel li wir e dema ku bîst û pênc mêr di dawiya beşa heştan de ji rojê re te‘ẓîm dikin. Wî her weha di beşên paşîn de jî li wir bû, dema ku “morkirin ku dû re qirkirin tê” li ser Orşelîmê tê anîn, ya ku Ellen White wê wekî dêrê Adventîst a Roja Heftemîn nas dike. Di yazdeh beşên yekem de, Hezekiel tê nav pîrozgeha ezmanî da ku fermanên xwe bistîne, wekî ku ji Milleriyan re di sala 1844-an de hatibû bangkirin ku wisa bikin, û wekî ku niha jî ev tevger tê bangkirin ku wisa bike.</w:t>
      </w:r>
    </w:p>
    <w:p>
      <w:pPr>
        <w:pStyle w:val="ArticleScripture"/>
        <w:jc w:val="left"/>
      </w:pPr>
      <w:r>
        <w:rPr>
          <w:rFonts w:ascii="Times New Roman" w:hAnsi="Times New Roman" w:eastAsia="Times New Roman" w:cs="Times New Roman"/>
        </w:rPr>
        <w:t>Ku yivyo Ezekieli atakuwa kwenu kuwa ishara; sawasawa na yote aliyotenda ndivyo mtakavyotenda; na jambo hili litakapokuja, ndipo mtajua ya kuwa mimi ndimi Bwana MUNGU. Ezekieli 24:24.</w:t>
      </w:r>
    </w:p>
    <w:p>
      <w:pPr>
        <w:pStyle w:val="ArticleHeading"/>
        <w:jc w:val="left"/>
      </w:pPr>
      <w:r>
        <w:rPr>
          <w:rFonts w:ascii="Arial" w:hAnsi="Arial" w:eastAsia="Arial" w:cs="Arial"/>
        </w:rPr>
        <w:t>Diın Yaraa Kora Gbaa A Kuo</w:t>
      </w:r>
    </w:p>
    <w:p>
      <w:pPr>
        <w:pStyle w:val="ArticleBody"/>
        <w:jc w:val="left"/>
      </w:pPr>
      <w:r>
        <w:rPr>
          <w:rFonts w:ascii="Times New Roman" w:hAnsi="Times New Roman" w:eastAsia="Times New Roman" w:cs="Times New Roman"/>
        </w:rPr>
        <w:t>Mazuva okupedzisira paanosvika panguva iyo zvinhu zvakafanotaurwa naEzekieri zviri kudzokororwa pakati pevanhu vaMwari, ipapo tinenge tasvika pachiratidzo chaEzekieri. Kana muchiziva kuti Ezekieri anomiririra vane zviuru zana namakumi mana nezvina, uye muchizviziva pachiyero chokutenda nokunzwisisa chine tarisiro yakatsveneswa yokuti zvose zvakafananidzirwa naEzekieri muzvinyorwa zvake zvinomiririra urongwa hutsvene hwezviitiko mumazuva okupedzisira zvine chokuita nevane zviuru zana namakumi mana nezvina—kana muchiziva izvozvo, ipapo “muchaziva” kuti “Jehovha” ndiye “Mwari.”</w:t>
      </w:r>
    </w:p>
    <w:p>
      <w:pPr>
        <w:pStyle w:val="ArticleBody"/>
        <w:jc w:val="left"/>
      </w:pPr>
      <w:r>
        <w:rPr>
          <w:rFonts w:ascii="Times New Roman" w:hAnsi="Times New Roman" w:eastAsia="Times New Roman" w:cs="Times New Roman"/>
        </w:rPr>
        <w:t>Tukangendelea na mawazo haya katika makala inayofuata.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Tarihi i Fshehur i Vargut Dyzet - Numri Njëzet e Një</dc:title>
  <dc:subject>Հոգի երկրորդը — Մաս ութ — Եզեկիել թիվ երկրորդ</dc:subject>
  <dc:creator>Jeff Pippenger</dc:creator>
  <cp:keywords/>
  <dc:description>Generated by ArticleDigger from hidden_history\21_hidden_history.json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