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Danieli - Number One</w:t>
      </w:r>
    </w:p>
    <w:p>
      <w:pPr>
        <w:pStyle w:val="ArticleSubtitle"/>
        <w:jc w:val="left"/>
      </w:pPr>
      <w:r>
        <w:rPr>
          <w:rFonts w:ascii="Arial" w:hAnsi="Arial" w:eastAsia="Arial" w:cs="Arial"/>
        </w:rPr>
        <w:t>Ulai dan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“Para pelayan dan umat menyatakan bahwa nubuatan-nubuatan Daniel dan Wahyu adalah rahasia-rahasia yang tidak dapat dipahami. Namun Kristus mengarahkan murid-murid-Nya kepada perkataan nabi Daniel mengenai peristiwa-peristiwa yang akan terjadi pada zaman mereka, dan berkata, ‘Siapa yang membacanya, hendaklah ia memahaminya.’ Matius 24:15. Dan pernyataan bahwa Wahyu adalah suatu rahasia, yang tidak dapat dimengerti, dibantah oleh judul kitab itu sendiri: ‘Wahyu Yesus Kristus, yang dikaruniakan Allah kepada-Nya, supaya ditunjukkan-Nya kepada hamba-hamba-Nya apa yang harus segera terjadi.... Berbahagialah ia yang membaca dan mereka yang mendengar perkataan-perkataan nubuat ini, dan menuruti apa yang tertulis di dalamnya; sebab waktunya sudah dekat.’ Wahyu 1:1–3.”</w:t>
      </w:r>
    </w:p>
    <w:p>
      <w:pPr>
        <w:pStyle w:val="ArticleScripture"/>
        <w:jc w:val="left"/>
      </w:pPr>
      <w:r>
        <w:rPr>
          <w:rFonts w:ascii="Times New Roman" w:hAnsi="Times New Roman" w:eastAsia="Times New Roman" w:cs="Times New Roman"/>
        </w:rPr>
        <w:t>“Nabi berkata: ‘Berbahagialah ia yang membaca’—ada orang yang tidak mau membaca; berkat itu bukan untuk mereka. ‘Dan mereka yang mendengar’—ada juga beberapa orang yang menolak mendengar apa pun mengenai nubuat-nubuat; berkat itu bukan untuk golongan ini. ‘Dan menuruti apa yang tertulis di dalamnya’—banyak orang menolak mengindahkan amaran dan petunjuk yang terkandung dalam Wahyu itu. Tiada seorang pun daripada mereka ini dapat menuntut berkat yang dijanjikan itu. Semua orang yang memperolok-olokkan pokok-pokok nubuat, dan mengejek lambang-lambang yang di sini diberikan dengan penuh khidmat, semua yang enggan membaharui hidup mereka, dan bersiap sedia bagi kedatangan Anak manusia, akan tidak diberkati.”</w:t>
      </w:r>
    </w:p>
    <w:p>
      <w:pPr>
        <w:pStyle w:val="ArticleScripture"/>
        <w:jc w:val="left"/>
      </w:pPr>
      <w:r>
        <w:rPr>
          <w:rFonts w:ascii="Times New Roman" w:hAnsi="Times New Roman" w:eastAsia="Times New Roman" w:cs="Times New Roman"/>
        </w:rPr>
        <w:t>“Berdasarkan kesaksian Ilham, bagaimana mungkin manusia berani mengajarkan bahwa Wahyu adalah suatu misteri, yang berada di luar jangkauan pengertian manusia? Itu adalah misteri yang telah dinyatakan, sebuah kitab yang telah dibuka. Penelaahan atas Wahyu mengarahkan pikiran kepada nubuatan-nubuatan Daniel, dan keduanya menyajikan pengajaran yang sangat penting, yang diberikan Allah kepada manusia, mengenai peristiwa-peristiwa yang akan terjadi pada penutupan sejarah dunia ini.” The Great Controversy, 340.</w:t>
      </w:r>
    </w:p>
    <w:p>
      <w:pPr>
        <w:pStyle w:val="ArticleBody"/>
        <w:jc w:val="left"/>
      </w:pPr>
      <w:r>
        <w:rPr>
          <w:rFonts w:ascii="Times New Roman" w:hAnsi="Times New Roman" w:eastAsia="Times New Roman" w:cs="Times New Roman"/>
        </w:rPr>
        <w:t>“Pangadalan tu Bagabaga i mangarahon pingkiran tu angka panurirangan ni Daniel.” Adong halak na holan marnida panurirangan di bagasan buku ni Daniel. Alai Daniel mangalehon dua garis hasintongan, jala hasintongan na manggombarhon angka panuriranganna i ma onom bindu parpudi ni bukuna. Onom bindu na parjolo i mangalehon panurirangan na digombarhon, na, marsogot dope, godang na so dung diantusi. Andorang so tauraihon onom bindu na parjolo ni Daniel, tapajelashon ma boasa saestun do holan adong dua panurirangan na digombarhon di onom bindu parpudi ni Daniel. Sister White manondangi dua panurirangan i marhite paboahon dua batang aek na balga di Sinear. Molo tajalo simbol na pinasahatna i, jumpangta ma kunsi na laho marnida dua, jala holan dua panurirangan, di onom bindu parpudi ni Daniel.</w:t>
      </w:r>
    </w:p>
    <w:p>
      <w:pPr>
        <w:pStyle w:val="ArticleScripture"/>
        <w:jc w:val="left"/>
      </w:pPr>
      <w:r>
        <w:rPr>
          <w:rFonts w:ascii="Times New Roman" w:hAnsi="Times New Roman" w:eastAsia="Times New Roman" w:cs="Times New Roman"/>
        </w:rPr>
        <w:t>“Syêbri a Daniel hnieh Bondye a, yo te ba li l espesyalman pou dènye jou sa yo. Vizyon li te wè bò rivyè Oulayi ak Idèkèl yo, gwo rivyè Chinea yo, kounye a yo an pwosesis akonplisman, e tout evènman yo te predi yo pral byento rive.” Testimonies to Ministers, 112.</w:t>
      </w:r>
    </w:p>
    <w:p>
      <w:pPr>
        <w:pStyle w:val="ArticleBody"/>
        <w:jc w:val="left"/>
      </w:pPr>
      <w:r>
        <w:rPr>
          <w:rFonts w:ascii="Times New Roman" w:hAnsi="Times New Roman" w:eastAsia="Times New Roman" w:cs="Times New Roman"/>
        </w:rPr>
        <w:t>Pono ya kgaolo ya boferabobedi e neilwe fa nokeng ya Ulai.</w:t>
      </w:r>
    </w:p>
    <w:p>
      <w:pPr>
        <w:pStyle w:val="ArticleScripture"/>
        <w:jc w:val="left"/>
      </w:pPr>
      <w:r>
        <w:rPr>
          <w:rFonts w:ascii="Times New Roman" w:hAnsi="Times New Roman" w:eastAsia="Times New Roman" w:cs="Times New Roman"/>
        </w:rPr>
        <w:t>Pada tahun ketiga pemerintahan raja Belsyazar, tampaklah kepadaku, yaitu kepadaku Daniel, suatu penglihatan sesudah yang tampak kepadaku pada mulanya. Maka aku melihat dalam suatu penglihatan; dan terjadilah, ketika aku melihat, bahwa aku berada di Susan, di dalam istana, yang ada di wilayah Elam; dan aku melihat dalam suatu penglihatan, dan aku berada di tepi sungai Ulai. Daniel 8:1, 2.</w:t>
      </w:r>
    </w:p>
    <w:p>
      <w:pPr>
        <w:pStyle w:val="ArticleBody"/>
        <w:jc w:val="left"/>
      </w:pPr>
      <w:r>
        <w:rPr>
          <w:rFonts w:ascii="Times New Roman" w:hAnsi="Times New Roman" w:eastAsia="Times New Roman" w:cs="Times New Roman"/>
        </w:rPr>
        <w:t>Ketika kita mengambil perenggan daripada *Testimonies to Ministers*, di mana Sister White merujuk kepada “Ulai and Hiddekel” dan menyebutnya sebagai “the great rivers of Shinar,” kita sedang mengasingkan perenggan itu daripada salah satu ulasan yang paling penting tentang pengajian kitab Daniel dan Wahyu dalam tulisan-tulisan Sister White. Dalam petikan itu beliau menyatakan, “There is need of a much closer study of the word of God; especially should Daniel and the Revelation have attention as never before in the history of our work.”</w:t>
      </w:r>
    </w:p>
    <w:p>
      <w:pPr>
        <w:pStyle w:val="ArticleBody"/>
        <w:jc w:val="left"/>
      </w:pPr>
      <w:r>
        <w:rPr>
          <w:rFonts w:ascii="Times New Roman" w:hAnsi="Times New Roman" w:eastAsia="Times New Roman" w:cs="Times New Roman"/>
        </w:rPr>
        <w:t>Nanghna khut chhung chang pahnih chu Daniel bung 8 atanga kan sawi takte hi uluk taka kan zir chuan, anmahni chhunga hriatpuitu pahnih an nei a, chu chu thil pakhat, a tam takin miin an ngaihthah thin, chu a ni. Daniel chuan, “Belshazzar lal ram kum thumnaah hian hmuhna pakhat ka hmu a ni,” a ti. Tichuan a belh leh a, “tir lamah ka hmuh tawh hnuaah.” He chang hi kawng hnihin hriatthiam theih a ni a, chu kawng eng pawh hian thutlukna thuhmun vek a siam.</w:t>
      </w:r>
    </w:p>
    <w:p>
      <w:pPr>
        <w:pStyle w:val="ArticleBody"/>
        <w:jc w:val="left"/>
      </w:pPr>
      <w:r>
        <w:rPr>
          <w:rFonts w:ascii="Times New Roman" w:hAnsi="Times New Roman" w:eastAsia="Times New Roman" w:cs="Times New Roman"/>
        </w:rPr>
        <w:t>Malaikat Jibril ialah dia yang membawa terang kenabian kepada Daniel, sebagaimana yang dilakukannya kepada semua nabi, kerana dia telah menggantikan Syaitan sebagai pembawa terang syurgawi. Ini bererti bahawa setiap kaedah kenabian yang terdapat dalam Kitab Suci telah dipimpin oleh Jibril. Sama ada Daniel memahaminya ataupun tidak, dalam ayat pertama pasal lapan, dia bukan sahaja mengenal pasti suatu pemerhatian kenabian yang penting, tetapi dia juga memberikan dua saksi bagi pemerhatian kenabian yang penting itu dalam ayat tersebut. Apa yang dicatat oleh Daniel dalam ayat pertama ialah bahawa dia telah menerima suatu penglihatan sebelum penglihatan yang diterimanya di tepi sungai Ulai. Penglihatan di tepi sungai Ulai itu datang pada tahun ketiga Belsyazar. Penglihatan yang mendahului penglihatan di tepi sungai Ulai itu datang pada tahun pertama Belsyazar.</w:t>
      </w:r>
    </w:p>
    <w:p>
      <w:pPr>
        <w:pStyle w:val="ArticleScripture"/>
        <w:jc w:val="left"/>
      </w:pPr>
      <w:r>
        <w:rPr>
          <w:rFonts w:ascii="Times New Roman" w:hAnsi="Times New Roman" w:eastAsia="Times New Roman" w:cs="Times New Roman"/>
        </w:rPr>
        <w:t>Pada tahun pertama pemerintahan Belsyazar, raja Babel, Daniel mendapat suatu mimpi dan penglihatan-penglihatan di dalam kepalanya, di tempat tidurnya; kemudian ia menuliskan mimpi itu dan menyampaikan inti segala perkara itu. Daniel 7:1.</w:t>
      </w:r>
    </w:p>
    <w:p>
      <w:pPr>
        <w:pStyle w:val="ArticleBody"/>
        <w:jc w:val="left"/>
      </w:pPr>
      <w:r>
        <w:rPr>
          <w:rFonts w:ascii="Times New Roman" w:hAnsi="Times New Roman" w:eastAsia="Times New Roman" w:cs="Times New Roman"/>
        </w:rPr>
        <w:t>Dalam ayat pertama pasal delapan, Daniel menunjukkan bahawa dia juga menerima suatu penglihatan pada tahun pertama Belsyazar, kerana dia berkata, “sesudah yang mula-mula itu menampakkan diri kepadaku.” Adakah penglihatan di Ulai muncul selepas penglihatan pada tahun pertama Belsyazar, atau adakah penglihatan itu muncul selepas yang pertama daripada dua penglihatan selari itu? Kedua-dua jawapan adalah tepat. Penglihatan sungai Ulai ialah penglihatan yang sama dengan penglihatan dalam pasal tujuh. Gabriel sedang menerapkan prinsip nubuat “ulang dan perbesar,” dan pada masa yang sama kaedah bahawa atas kesaksian dua orang, sesuatu perkara ditegakkan. Kedua-dua penglihatan itu membicarakan kerajaan-kerajaan dalam nubuat Alkitab.</w:t>
      </w:r>
    </w:p>
    <w:p>
      <w:pPr>
        <w:pStyle w:val="ArticleBody"/>
        <w:jc w:val="left"/>
      </w:pPr>
      <w:r>
        <w:rPr>
          <w:rFonts w:ascii="Times New Roman" w:hAnsi="Times New Roman" w:eastAsia="Times New Roman" w:cs="Times New Roman"/>
        </w:rPr>
        <w:t>Penglihatan dalam pasal tujuh menggambarkan kerajaan-kerajaan itu sebagai binatang buas, dengan demikian menekankan dan menampilkannya dalam kerangka kuasa sipil mereka. Penglihatan dalam pasal delapan menggambarkan kerajaan-kerajaan yang sama itu dengan lambang-lambang dari pelayanan kaabah Tuhan, meskipun setiap lambang pelayanan kaabah itu sengaja diselewengkan untuk melambangkan suatu ibadah palsu. Daniel pasal delapan menggambarkan kerajaan-kerajaan yang sama seperti dalam penglihatan pasal tujuh, tetapi menempatkan kerajaan-kerajaan itu dalam kerangka keagamaan mereka.</w:t>
      </w:r>
    </w:p>
    <w:p>
      <w:pPr>
        <w:pStyle w:val="ArticleBody"/>
        <w:jc w:val="left"/>
      </w:pPr>
      <w:r>
        <w:rPr>
          <w:rFonts w:ascii="Myanmar Text" w:hAnsi="Myanmar Text" w:eastAsia="Myanmar Text" w:cs="Myanmar Text"/>
        </w:rPr>
        <w:t>မြစ်ဦးလိုင်၌</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တွင်တွေ့ရသော</w:t>
      </w:r>
      <w:r>
        <w:rPr>
          <w:rFonts w:ascii="Times New Roman" w:hAnsi="Times New Roman" w:eastAsia="Times New Roman" w:cs="Times New Roman"/>
        </w:rPr>
        <w:t xml:space="preserve"> </w:t>
      </w:r>
      <w:r>
        <w:rPr>
          <w:rFonts w:ascii="Myanmar Text" w:hAnsi="Myanmar Text" w:eastAsia="Myanmar Text" w:cs="Myanmar Text"/>
        </w:rPr>
        <w:t>ရူပါရုံသည်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ထပ်မံဖော်ပြကာ</w:t>
      </w:r>
      <w:r>
        <w:rPr>
          <w:rFonts w:ascii="Times New Roman" w:hAnsi="Times New Roman" w:eastAsia="Times New Roman" w:cs="Times New Roman"/>
        </w:rPr>
        <w:t xml:space="preserve"> </w:t>
      </w:r>
      <w:r>
        <w:rPr>
          <w:rFonts w:ascii="Myanmar Text" w:hAnsi="Myanmar Text" w:eastAsia="Myanmar Text" w:cs="Myanmar Text"/>
        </w:rPr>
        <w:t>ပိုမိုချဲ့ထွင်ထားသည်။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သမ္မာကျမ်းစာအနာဂတ္တိ၌</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နိုင်ငံများ၏</w:t>
      </w:r>
      <w:r>
        <w:rPr>
          <w:rFonts w:ascii="Times New Roman" w:hAnsi="Times New Roman" w:eastAsia="Times New Roman" w:cs="Times New Roman"/>
        </w:rPr>
        <w:t xml:space="preserve"> </w:t>
      </w:r>
      <w:r>
        <w:rPr>
          <w:rFonts w:ascii="Myanmar Text" w:hAnsi="Myanmar Text" w:eastAsia="Myanmar Text" w:cs="Myanmar Text"/>
        </w:rPr>
        <w:t>အရပ်ဘက်ဆိုင်ရာ</w:t>
      </w:r>
      <w:r>
        <w:rPr>
          <w:rFonts w:ascii="Times New Roman" w:hAnsi="Times New Roman" w:eastAsia="Times New Roman" w:cs="Times New Roman"/>
        </w:rPr>
        <w:t xml:space="preserve"> </w:t>
      </w:r>
      <w:r>
        <w:rPr>
          <w:rFonts w:ascii="Myanmar Text" w:hAnsi="Myanmar Text" w:eastAsia="Myanmar Text" w:cs="Myanmar Text"/>
        </w:rPr>
        <w:t>လက္ခဏာကို</w:t>
      </w:r>
      <w:r>
        <w:rPr>
          <w:rFonts w:ascii="Times New Roman" w:hAnsi="Times New Roman" w:eastAsia="Times New Roman" w:cs="Times New Roman"/>
        </w:rPr>
        <w:t xml:space="preserve"> </w:t>
      </w:r>
      <w:r>
        <w:rPr>
          <w:rFonts w:ascii="Myanmar Text" w:hAnsi="Myanmar Text" w:eastAsia="Myanmar Text" w:cs="Myanmar Text"/>
        </w:rPr>
        <w:t>သတ်မှတ်ဖော်ပြပြီး၊</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သမ္မာကျမ်းစာအနာဂတ္တိ၌</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နိုင်ငံများ၏</w:t>
      </w:r>
      <w:r>
        <w:rPr>
          <w:rFonts w:ascii="Times New Roman" w:hAnsi="Times New Roman" w:eastAsia="Times New Roman" w:cs="Times New Roman"/>
        </w:rPr>
        <w:t xml:space="preserve"> </w:t>
      </w:r>
      <w:r>
        <w:rPr>
          <w:rFonts w:ascii="Myanmar Text" w:hAnsi="Myanmar Text" w:eastAsia="Myanmar Text" w:cs="Myanmar Text"/>
        </w:rPr>
        <w:t>ဘာသာရေးဆိုင်ရာ</w:t>
      </w:r>
      <w:r>
        <w:rPr>
          <w:rFonts w:ascii="Times New Roman" w:hAnsi="Times New Roman" w:eastAsia="Times New Roman" w:cs="Times New Roman"/>
        </w:rPr>
        <w:t xml:space="preserve"> </w:t>
      </w:r>
      <w:r>
        <w:rPr>
          <w:rFonts w:ascii="Myanmar Text" w:hAnsi="Myanmar Text" w:eastAsia="Myanmar Text" w:cs="Myanmar Text"/>
        </w:rPr>
        <w:t>လက္ခဏာကို</w:t>
      </w:r>
      <w:r>
        <w:rPr>
          <w:rFonts w:ascii="Times New Roman" w:hAnsi="Times New Roman" w:eastAsia="Times New Roman" w:cs="Times New Roman"/>
        </w:rPr>
        <w:t xml:space="preserve"> </w:t>
      </w:r>
      <w:r>
        <w:rPr>
          <w:rFonts w:ascii="Myanmar Text" w:hAnsi="Myanmar Text" w:eastAsia="Myanmar Text" w:cs="Myanmar Text"/>
        </w:rPr>
        <w:t>သတ်မှတ်ဖော်ပြသည်။</w:t>
      </w:r>
      <w:r>
        <w:rPr>
          <w:rFonts w:ascii="Times New Roman" w:hAnsi="Times New Roman" w:eastAsia="Times New Roman" w:cs="Times New Roman"/>
        </w:rPr>
        <w:t xml:space="preserve"> </w:t>
      </w:r>
      <w:r>
        <w:rPr>
          <w:rFonts w:ascii="Myanmar Text" w:hAnsi="Myanmar Text" w:eastAsia="Myanmar Text" w:cs="Myanmar Text"/>
        </w:rPr>
        <w:t>ဤအချက်ကို</w:t>
      </w:r>
      <w:r>
        <w:rPr>
          <w:rFonts w:ascii="Times New Roman" w:hAnsi="Times New Roman" w:eastAsia="Times New Roman" w:cs="Times New Roman"/>
        </w:rPr>
        <w:t xml:space="preserve"> </w:t>
      </w:r>
      <w:r>
        <w:rPr>
          <w:rFonts w:ascii="Myanmar Text" w:hAnsi="Myanmar Text" w:eastAsia="Myanmar Text" w:cs="Myanmar Text"/>
        </w:rPr>
        <w:t>အသိအမှတ်ပြုသောအခါ၊</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တို့သည်</w:t>
      </w:r>
      <w:r>
        <w:rPr>
          <w:rFonts w:ascii="Times New Roman" w:hAnsi="Times New Roman" w:eastAsia="Times New Roman" w:cs="Times New Roman"/>
        </w:rPr>
        <w:t xml:space="preserve"> </w:t>
      </w:r>
      <w:r>
        <w:rPr>
          <w:rFonts w:ascii="Myanmar Text" w:hAnsi="Myanmar Text" w:eastAsia="Myanmar Text" w:cs="Myanmar Text"/>
        </w:rPr>
        <w:t>ရူပါရုံတစ်ခုတည်းဖြစ်ကြောင်း</w:t>
      </w:r>
      <w:r>
        <w:rPr>
          <w:rFonts w:ascii="Times New Roman" w:hAnsi="Times New Roman" w:eastAsia="Times New Roman" w:cs="Times New Roman"/>
        </w:rPr>
        <w:t xml:space="preserve"> </w:t>
      </w:r>
      <w:r>
        <w:rPr>
          <w:rFonts w:ascii="Myanmar Text" w:hAnsi="Myanmar Text" w:eastAsia="Myanmar Text" w:cs="Myanmar Text"/>
        </w:rPr>
        <w:t>နားလည်နိုင်သည်။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တွင်မူ</w:t>
      </w:r>
      <w:r>
        <w:rPr>
          <w:rFonts w:ascii="Times New Roman" w:hAnsi="Times New Roman" w:eastAsia="Times New Roman" w:cs="Times New Roman"/>
        </w:rPr>
        <w:t xml:space="preserve"> </w:t>
      </w:r>
      <w:r>
        <w:rPr>
          <w:rFonts w:ascii="Myanmar Text" w:hAnsi="Myanmar Text" w:eastAsia="Myanmar Text" w:cs="Myanmar Text"/>
        </w:rPr>
        <w:t>ဂါဗြေလသည်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ရူပါရုံထဲက</w:t>
      </w:r>
      <w:r>
        <w:rPr>
          <w:rFonts w:ascii="Times New Roman" w:hAnsi="Times New Roman" w:eastAsia="Times New Roman" w:cs="Times New Roman"/>
        </w:rPr>
        <w:t xml:space="preserve"> </w:t>
      </w:r>
      <w:r>
        <w:rPr>
          <w:rFonts w:ascii="Myanmar Text" w:hAnsi="Myanmar Text" w:eastAsia="Myanmar Text" w:cs="Myanmar Text"/>
        </w:rPr>
        <w:t>အချိန်ဆိုင်ရာ</w:t>
      </w:r>
      <w:r>
        <w:rPr>
          <w:rFonts w:ascii="Times New Roman" w:hAnsi="Times New Roman" w:eastAsia="Times New Roman" w:cs="Times New Roman"/>
        </w:rPr>
        <w:t xml:space="preserve"> </w:t>
      </w:r>
      <w:r>
        <w:rPr>
          <w:rFonts w:ascii="Myanmar Text" w:hAnsi="Myanmar Text" w:eastAsia="Myanmar Text" w:cs="Myanmar Text"/>
        </w:rPr>
        <w:t>အစိတ်အပိုင်းကို</w:t>
      </w:r>
      <w:r>
        <w:rPr>
          <w:rFonts w:ascii="Times New Roman" w:hAnsi="Times New Roman" w:eastAsia="Times New Roman" w:cs="Times New Roman"/>
        </w:rPr>
        <w:t xml:space="preserve"> </w:t>
      </w:r>
      <w:r>
        <w:rPr>
          <w:rFonts w:ascii="Myanmar Text" w:hAnsi="Myanmar Text" w:eastAsia="Myanmar Text" w:cs="Myanmar Text"/>
        </w:rPr>
        <w:t>ရှင်းလင်းပေးရန်</w:t>
      </w:r>
      <w:r>
        <w:rPr>
          <w:rFonts w:ascii="Times New Roman" w:hAnsi="Times New Roman" w:eastAsia="Times New Roman" w:cs="Times New Roman"/>
        </w:rPr>
        <w:t xml:space="preserve"> </w:t>
      </w:r>
      <w:r>
        <w:rPr>
          <w:rFonts w:ascii="Myanmar Text" w:hAnsi="Myanmar Text" w:eastAsia="Myanmar Text" w:cs="Myanmar Text"/>
        </w:rPr>
        <w:t>ရောက်လာသည်။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ဦးလိုင်၏</w:t>
      </w:r>
      <w:r>
        <w:rPr>
          <w:rFonts w:ascii="Times New Roman" w:hAnsi="Times New Roman" w:eastAsia="Times New Roman" w:cs="Times New Roman"/>
        </w:rPr>
        <w:t xml:space="preserve"> </w:t>
      </w:r>
      <w:r>
        <w:rPr>
          <w:rFonts w:ascii="Myanmar Text" w:hAnsi="Myanmar Text" w:eastAsia="Myanmar Text" w:cs="Myanmar Text"/>
        </w:rPr>
        <w:t>ရူပါရုံသည်</w:t>
      </w:r>
      <w:r>
        <w:rPr>
          <w:rFonts w:ascii="Times New Roman" w:hAnsi="Times New Roman" w:eastAsia="Times New Roman" w:cs="Times New Roman"/>
        </w:rPr>
        <w:t xml:space="preserve"> </w:t>
      </w:r>
      <w:r>
        <w:rPr>
          <w:rFonts w:ascii="Myanmar Text" w:hAnsi="Myanmar Text" w:eastAsia="Myanmar Text" w:cs="Myanmar Text"/>
        </w:rPr>
        <w:t>ဒံယေလကျမ်း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ဟိဒ္ဒေကေလမြစ်ကို</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မိတ်ဆက်ဖော်ပြသည်။</w:t>
      </w:r>
    </w:p>
    <w:p>
      <w:pPr>
        <w:pStyle w:val="ArticleScripture"/>
        <w:jc w:val="left"/>
      </w:pPr>
      <w:r>
        <w:rPr>
          <w:rFonts w:ascii="Times New Roman" w:hAnsi="Times New Roman" w:eastAsia="Times New Roman" w:cs="Times New Roman"/>
        </w:rPr>
        <w:t>Pada tahun ketiga pemerintahan Koresh, raja Persia, suatu hal dinyatakan kepada Daniel, yang disebut dengan nama Beltsazar; dan hal itu benar, tetapi waktu yang ditetapkan itu masih lama; dan ia memahami hal itu, serta mendapat pengertian tentang penglihatan itu. Pada hari-hari itu aku, Daniel, berkabung selama tiga minggu penuh. Aku tidak makan roti yang lezat, daging ataupun anggur tidak masuk ke dalam mulutku, dan aku sama sekali tidak mengurapi diriku, sampai genap tiga minggu penuh. Dan pada hari yang kedua puluh empat bulan pertama, ketika aku berada di tepi sungai besar itu, yaitu Hiddekel. Daniel 10:1–4.</w:t>
      </w:r>
    </w:p>
    <w:p>
      <w:pPr>
        <w:pStyle w:val="ArticleBody"/>
        <w:jc w:val="left"/>
      </w:pPr>
      <w:r>
        <w:rPr>
          <w:rFonts w:ascii="Times New Roman" w:hAnsi="Times New Roman" w:eastAsia="Times New Roman" w:cs="Times New Roman"/>
        </w:rPr>
        <w:t>Khualhmuhna hmu thil hi Hiddekel tiva chanchinah ram lal hmarchhak lam lal chungchang hrilh lawkna chanchin a hrilh ṭan a ni. Chumi chu Alexander the Great ram ukna a ṭhen darh aṭanga ṭan a ni a; a hnu chuan chanchin kal zel chu a hrilhfiah a, chutih lai chuan Alexander the Great ram hmasawn tawh a ṭhen darhna aṭang chuan hmiah zui tûra do tu pahnih chauh an la awm ta, chu chu literal hmarchhak lam lal leh literal hmâr lam lal an ni. A tâwpah chuan papacy chanchinah a thleng a, ani chu hmâr lam lal thlarau lamah a lo ni ta a; chutichuan bung 11 tâwp lamah a tâwpna a lo thleng a, Michael a ding chhuak a, mihringte tan khawngaihna hun a khâr ta. A tlangpuiin, Ulai tiva hmuhna chu Pathian biak in leh a rualte chhûnga hmuhna a ni a; Hiddekel tiva hmuhna erawh chu hun chanchin thuhmunah hian Pathian leh a mite hmêlma pawimawh ber chhûnglam ni lo, pawn lam hmuhna a ni. Hei hian Thupuan bu-a kohhran pasarih leh seal pasarih-ah hmuhtîr thu inang vek hi a hmang a ni.</w:t>
      </w:r>
    </w:p>
    <w:p>
      <w:pPr>
        <w:pStyle w:val="ArticleScripture"/>
        <w:jc w:val="left"/>
      </w:pPr>
      <w:r>
        <w:rPr>
          <w:rFonts w:ascii="Times New Roman" w:hAnsi="Times New Roman" w:eastAsia="Times New Roman" w:cs="Times New Roman"/>
        </w:rPr>
        <w:t>“Babehingi ng kaunting pagsisikap ang maraming ministro upang ipaliwanag ang Apocalipsis. Tinuturing nila itong isang aklat na hindi kapaki-pakinabang pag-aralan. Itinuturing nila ito na isang aklat na natatatakan, sapagkat nilalaman nito ang tala ng mga sagisag at mga simbolo. Ngunit ang mismong pangalang ibinigay rito, ‘Apocalipsis,’ ay isang pagtanggi sa gayong palagay. Ang Apocalipsis ay isang aklat na natatatakan, ngunit isa rin itong aklat na nabuksan. Itinatala nito ang mga kahanga-hangang pangyayaring magaganap sa mga huling araw ng kasaysayan ng daigdig na ito. Ang mga turo ng aklat na ito ay tiyak, hindi mahiwaga at di-maunawaan. Dito ay muling tinatalakay ang kaparehong hanay ng hula na nasa Daniel. Ang ilang mga hula ay inulit ng Diyos, sa gayon ay ipinakikita na dapat silang bigyan ng kahalagahan. Hindi inuulit ng Panginoon ang mga bagay na walang malaking kabuluhan.” Manuscript Releases, volume 8, 413.</w:t>
      </w:r>
    </w:p>
    <w:p>
      <w:pPr>
        <w:pStyle w:val="ArticleBody"/>
        <w:jc w:val="left"/>
      </w:pPr>
      <w:r>
        <w:rPr>
          <w:rFonts w:ascii="Leelawadee UI" w:hAnsi="Leelawadee UI" w:eastAsia="Leelawadee UI" w:cs="Leelawadee UI"/>
        </w:rPr>
        <w:t>ປະຫວັດສາດພາຍໃນແລະພາຍນອກອັນດຽວກັນທີ່ຖືກສະແດງໄວ້ໃນພຣະທຳດານີເອນ</w:t>
      </w:r>
      <w:r>
        <w:rPr>
          <w:rFonts w:ascii="Times New Roman" w:hAnsi="Times New Roman" w:eastAsia="Times New Roman" w:cs="Times New Roman"/>
        </w:rPr>
        <w:t xml:space="preserve"> </w:t>
      </w:r>
      <w:r>
        <w:rPr>
          <w:rFonts w:ascii="Leelawadee UI" w:hAnsi="Leelawadee UI" w:eastAsia="Leelawadee UI" w:cs="Leelawadee UI"/>
        </w:rPr>
        <w:t>ໄດ້ຖືກນຳຂຶ້ນມາອີກໃນພຣະທຳພຣະນິມິດ</w:t>
      </w:r>
      <w:r>
        <w:rPr>
          <w:rFonts w:ascii="Times New Roman" w:hAnsi="Times New Roman" w:eastAsia="Times New Roman" w:cs="Times New Roman"/>
        </w:rPr>
        <w:t xml:space="preserve">. </w:t>
      </w:r>
      <w:r>
        <w:rPr>
          <w:rFonts w:ascii="Leelawadee UI" w:hAnsi="Leelawadee UI" w:eastAsia="Leelawadee UI" w:cs="Leelawadee UI"/>
        </w:rPr>
        <w:t>ນອກເໜືອຈາກແສງສະຫວ່າງທາງຄຳພະຍາກອນທີ່ເກີດຈາກນິມິດທັງສອງນີ້ແລ້ວ</w:t>
      </w:r>
      <w:r>
        <w:rPr>
          <w:rFonts w:ascii="Times New Roman" w:hAnsi="Times New Roman" w:eastAsia="Times New Roman" w:cs="Times New Roman"/>
        </w:rPr>
        <w:t xml:space="preserve"> </w:t>
      </w:r>
      <w:r>
        <w:rPr>
          <w:rFonts w:ascii="Leelawadee UI" w:hAnsi="Leelawadee UI" w:eastAsia="Leelawadee UI" w:cs="Leelawadee UI"/>
        </w:rPr>
        <w:t>ຍັງມີການຢືນຢັນວິທີການຕີຄວາມພຣະຄຳພີທີ່</w:t>
      </w:r>
      <w:r>
        <w:rPr>
          <w:rFonts w:ascii="Times New Roman" w:hAnsi="Times New Roman" w:eastAsia="Times New Roman" w:cs="Times New Roman"/>
        </w:rPr>
        <w:t xml:space="preserve"> William Miller </w:t>
      </w:r>
      <w:r>
        <w:rPr>
          <w:rFonts w:ascii="Leelawadee UI" w:hAnsi="Leelawadee UI" w:eastAsia="Leelawadee UI" w:cs="Leelawadee UI"/>
        </w:rPr>
        <w:t>ໄດ້ຮັບໄປປະຕິບັດ</w:t>
      </w:r>
      <w:r>
        <w:rPr>
          <w:rFonts w:ascii="Times New Roman" w:hAnsi="Times New Roman" w:eastAsia="Times New Roman" w:cs="Times New Roman"/>
        </w:rPr>
        <w:t xml:space="preserve"> </w:t>
      </w:r>
      <w:r>
        <w:rPr>
          <w:rFonts w:ascii="Leelawadee UI" w:hAnsi="Leelawadee UI" w:eastAsia="Leelawadee UI" w:cs="Leelawadee UI"/>
        </w:rPr>
        <w:t>ແລະຕໍ່ມາໂດຍ</w:t>
      </w:r>
      <w:r>
        <w:rPr>
          <w:rFonts w:ascii="Times New Roman" w:hAnsi="Times New Roman" w:eastAsia="Times New Roman" w:cs="Times New Roman"/>
        </w:rPr>
        <w:t xml:space="preserve"> Future for America. </w:t>
      </w:r>
      <w:r>
        <w:rPr>
          <w:rFonts w:ascii="Leelawadee UI" w:hAnsi="Leelawadee UI" w:eastAsia="Leelawadee UI" w:cs="Leelawadee UI"/>
        </w:rPr>
        <w:t>ເມື່ອພິຈາລະນາຢ່າງຖືກຕ້ອງແລ້ວ</w:t>
      </w:r>
      <w:r>
        <w:rPr>
          <w:rFonts w:ascii="Times New Roman" w:hAnsi="Times New Roman" w:eastAsia="Times New Roman" w:cs="Times New Roman"/>
        </w:rPr>
        <w:t xml:space="preserve"> </w:t>
      </w:r>
      <w:r>
        <w:rPr>
          <w:rFonts w:ascii="Leelawadee UI" w:hAnsi="Leelawadee UI" w:eastAsia="Leelawadee UI" w:cs="Leelawadee UI"/>
        </w:rPr>
        <w:t>ພຣະທຳດານີເອນ</w:t>
      </w:r>
      <w:r>
        <w:rPr>
          <w:rFonts w:ascii="Times New Roman" w:hAnsi="Times New Roman" w:eastAsia="Times New Roman" w:cs="Times New Roman"/>
        </w:rPr>
        <w:t xml:space="preserve"> </w:t>
      </w:r>
      <w:r>
        <w:rPr>
          <w:rFonts w:ascii="Leelawadee UI" w:hAnsi="Leelawadee UI" w:eastAsia="Leelawadee UI" w:cs="Leelawadee UI"/>
        </w:rPr>
        <w:t>ພ້ອມທັງພຣະທຳພຣະນິມິດ</w:t>
      </w:r>
      <w:r>
        <w:rPr>
          <w:rFonts w:ascii="Times New Roman" w:hAnsi="Times New Roman" w:eastAsia="Times New Roman" w:cs="Times New Roman"/>
        </w:rPr>
        <w:t xml:space="preserve"> </w:t>
      </w:r>
      <w:r>
        <w:rPr>
          <w:rFonts w:ascii="Leelawadee UI" w:hAnsi="Leelawadee UI" w:eastAsia="Leelawadee UI" w:cs="Leelawadee UI"/>
        </w:rPr>
        <w:t>ເປັນດັ່ງບໍ່ແຮ່ຄຳອັນລ້ຳຄ່າຢ່າງແທ້ຈິງ</w:t>
      </w:r>
      <w:r>
        <w:rPr>
          <w:rFonts w:ascii="Times New Roman" w:hAnsi="Times New Roman" w:eastAsia="Times New Roman" w:cs="Times New Roman"/>
        </w:rPr>
        <w:t xml:space="preserve"> </w:t>
      </w:r>
      <w:r>
        <w:rPr>
          <w:rFonts w:ascii="Leelawadee UI" w:hAnsi="Leelawadee UI" w:eastAsia="Leelawadee UI" w:cs="Leelawadee UI"/>
        </w:rPr>
        <w:t>ສຳລັບການຢືນຢັນຫຼັກການແຫ່ງການຕີຄວາມຄຳພະຍາກອນທີ່ພຣະຄຳພີໄດ້ຊີ້ບອກໄວ້ພາຍໃນຕົນເອງ</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Ulai sebagai tema dalaman dan Hiddekel sebagai tema luaran, juga melambangkan dua nubuatan yang akan dibukakan meterainya pada “waktu akhir.” Ulai dibukakan meterainya pada “waktu akhir” pada tahun 1798, dan Hiddekel dibukakan meterainya pada “waktu akhir” pada tahun 1989, apabila, sebagaimana dihuraikan dalam Daniel fasal sebelas, ayat empat puluh, negeri-negeri yang mewakili bekas Kesatuan Soviet disapu lenyap oleh kepausan dan Amerika Syarikat.</w:t>
      </w:r>
    </w:p>
    <w:p>
      <w:pPr>
        <w:pStyle w:val="ArticleBody"/>
        <w:jc w:val="left"/>
      </w:pPr>
      <w:r>
        <w:rPr>
          <w:rFonts w:ascii="Times New Roman" w:hAnsi="Times New Roman" w:eastAsia="Times New Roman" w:cs="Times New Roman"/>
        </w:rPr>
        <w:t>Apabila fakta-fakta ini diakui, maka dapat juga diakui bahawa kedua-dua penglihatan itu sebenarnya ialah satu penglihatan, sama seperti sejarah nubuatan tentang tujuh gereja dan tujuh meterai menggambarkan sejarah nubuatan yang sama. Maka kedua-dua penglihatan itu menjadi saluran yang telah digunakan oleh Tuhan dalam pergerakan lampau malaikat pertama, dan yang akan digunakan oleh Tuhan dalam pergerakan semasa dan masa depan malaikat ketiga, untuk menghasilkan suatu proses pengujian sebagaimana dinyatakan dalam Daniel fasal dua belas, ayat sembilan dan sepuluh.</w:t>
      </w:r>
    </w:p>
    <w:p>
      <w:pPr>
        <w:pStyle w:val="ArticleScripture"/>
        <w:jc w:val="left"/>
      </w:pPr>
      <w:r>
        <w:rPr>
          <w:rFonts w:ascii="Times New Roman" w:hAnsi="Times New Roman" w:eastAsia="Times New Roman" w:cs="Times New Roman"/>
        </w:rPr>
        <w:t>Lalu Ia berfirman, “Pergilah, Daniel, sebab perkataan-perkataan itu tertutup dan termeteraikan sampai pada waktu kesudahan. Banyak orang akan disucikan, dimurnikan, dan diuji; tetapi orang-orang fasik akan berlaku fasik; dan tidak seorang pun dari antara orang-orang fasik itu akan mengerti; tetapi orang-orang bijaksana akan mengerti.” Daniel 12:9, 10.</w:t>
      </w:r>
    </w:p>
    <w:p>
      <w:pPr>
        <w:pStyle w:val="ArticleBody"/>
        <w:jc w:val="left"/>
      </w:pPr>
      <w:r>
        <w:rPr>
          <w:rFonts w:ascii="Times New Roman" w:hAnsi="Times New Roman" w:eastAsia="Times New Roman" w:cs="Times New Roman"/>
        </w:rPr>
        <w:t>E le mohlala wa go khurumologa ga Hiddekel ka 1989, akanyetsang se tlhotlheletso e se boletšego.</w:t>
      </w:r>
    </w:p>
    <w:p>
      <w:pPr>
        <w:pStyle w:val="ArticleScripture"/>
        <w:jc w:val="left"/>
      </w:pPr>
      <w:r>
        <w:rPr>
          <w:rFonts w:ascii="Times New Roman" w:hAnsi="Times New Roman" w:eastAsia="Times New Roman" w:cs="Times New Roman"/>
        </w:rPr>
        <w:t>“Dalam Wahyu semua kitab dalam Alkitab bertemu dan berakhir. Di sinilah pelengkap kitab Daniel. Yang satu adalah nubuatan; yang lain adalah wahyu. Kitab yang dimeteraikan itu bukanlah Wahyu, melainkan bagian dari nubuatan Daniel yang berhubungan dengan hari-hari terakhir. Malaikat itu memerintahkan, ‘Tetapi engkau, hai Daniel, tutuplah segala firman itu dan meteraikanlah kitab itu sampai pada akhir zaman.’ Daniel 12:4.” Kisah Para Rasul, 585.</w:t>
      </w:r>
    </w:p>
    <w:p>
      <w:pPr>
        <w:pStyle w:val="ArticleBody"/>
        <w:jc w:val="left"/>
      </w:pPr>
      <w:r>
        <w:rPr>
          <w:rFonts w:ascii="Times New Roman" w:hAnsi="Times New Roman" w:eastAsia="Times New Roman" w:cs="Times New Roman"/>
        </w:rPr>
        <w:t>Ulai dan Hiddekel kedua-duanya berkaitan dengan akhir zaman, tetapi Adventisme hanya sanggup mengakui bahawa tahun 1798 ialah “masa kesudahan” Daniel, ketika kitabnya harus dibuka meterainya. Namun bahagian nubuat yang “berkaitan dengan akhir zaman” lebih tepat merujuk kepada enam ayat terakhir Daniel fasal sebelas, kerana ayat-ayat itu berakhir dengan Mikhael bangkit berdiri apabila masa percubaan manusia berakhir.</w:t>
      </w:r>
    </w:p>
    <w:p>
      <w:pPr>
        <w:pStyle w:val="ArticleBody"/>
        <w:jc w:val="left"/>
      </w:pPr>
      <w:r>
        <w:rPr>
          <w:rFonts w:ascii="Times New Roman" w:hAnsi="Times New Roman" w:eastAsia="Times New Roman" w:cs="Times New Roman"/>
        </w:rPr>
        <w:t>Penglihatan tentang penghakiman, sebagaimana dikenal pasti dalam Daniel fasal tujuh, lapan dan sembilan, telah dimeteraikan hingga “waktu kesudahan” pada tahun 1798. Terang (yang dihasilkan oleh penglihatan Ulai yang telah dibuka meterainya) ialah pengumuman tentang pembukaan penghakiman penyiasatan, bukannya penutupan penghakiman. Terang yang dibuka meterainya bersama penglihatan Hiddekel mengenal pasti penutupan penghakiman penyiasatan, dan itulah juga petikan dalam Daniel yang mengandungi “bahagian nubuat yang berhubungan dengan hari-hari terakhir.”</w:t>
      </w:r>
    </w:p>
    <w:p>
      <w:pPr>
        <w:pStyle w:val="ArticleBody"/>
        <w:jc w:val="left"/>
      </w:pPr>
      <w:r>
        <w:rPr>
          <w:rFonts w:ascii="Times New Roman" w:hAnsi="Times New Roman" w:eastAsia="Times New Roman" w:cs="Times New Roman"/>
        </w:rPr>
        <w:t>Pampungulwa ka 1798 ku dzivhadzisa u vulwa ha khaṱhulo ya u ṱoḓisisa. Pampungulwa ka 1989 ku dzivhadzisa u tsini ha u valwa ha khaṱhulo ya u ṱoḓisisa. Tshaeno tsha Alfa na Omega tshi vhonala nga u leluwa buguni ya Daniele, fhedzi fhedzi arali ni tshi tshi ḓivha uri ndi mini, nahone na vha ni tshi funa u tshi ṱoḓa.</w:t>
      </w:r>
    </w:p>
    <w:p>
      <w:pPr>
        <w:pStyle w:val="ArticleBody"/>
        <w:jc w:val="left"/>
      </w:pPr>
      <w:r>
        <w:rPr>
          <w:rFonts w:ascii="Times New Roman" w:hAnsi="Times New Roman" w:eastAsia="Times New Roman" w:cs="Times New Roman"/>
        </w:rPr>
        <w:t>Ha ntango ya tintangha ti pwaleka hi Daniyele ndzima ya 11, ndzimana ya 45, nsayino wa Alfa ni Omega wu tsariwile. Masungulo ya Daniyele ma kombisa hi ku kongoma laha yi helelaka kona. Yi sungula hi nyimpi ya xiviri exikarhi ka Babilona ya xiviri ni Israele ya xiviri, naswona Babilona ya xiviri ya hlula.</w:t>
      </w:r>
    </w:p>
    <w:p>
      <w:pPr>
        <w:pStyle w:val="ArticleScripture"/>
        <w:jc w:val="left"/>
      </w:pPr>
      <w:r>
        <w:rPr>
          <w:rFonts w:ascii="Times New Roman" w:hAnsi="Times New Roman" w:eastAsia="Times New Roman" w:cs="Times New Roman"/>
        </w:rPr>
        <w:t>Dalam tahun yang ketiga pemerintahan Yoyakim, raja Yehuda, datanglah Nebukadnezar, raja Babel, ke Yerusalem, lalu mengepungnya. Dan Tuhan menyerahkan Yoyakim, raja Yehuda, ke dalam tangannya, bersama-sama dengan sebagian dari perkakas rumah Allah; yang dibawanya ke tanah Sinear, ke rumah allahnya; dan perkakas-perkakas itu dibawanya ke perbendaharaan allahnya. Daniel 1:1, 2.</w:t>
      </w:r>
    </w:p>
    <w:p>
      <w:pPr>
        <w:pStyle w:val="ArticleBody"/>
        <w:jc w:val="left"/>
      </w:pPr>
      <w:r>
        <w:rPr>
          <w:rFonts w:ascii="Times New Roman" w:hAnsi="Times New Roman" w:eastAsia="Times New Roman" w:cs="Times New Roman"/>
        </w:rPr>
        <w:t>Dalam Daniel pasal sebelas, ayat empat puluh lima, suatu peperangan rohani antara Babel rohani, yang dilambangkan sebagai “raja dari utara”, dan Israel rohani, yang digambarkan oleh “gunung kudus yang mulia”, berakhir, dan Israel rohani memperoleh kemenangan atas Babel rohani.</w:t>
      </w:r>
    </w:p>
    <w:p>
      <w:pPr>
        <w:pStyle w:val="ArticleScripture"/>
        <w:jc w:val="left"/>
      </w:pPr>
      <w:r>
        <w:rPr>
          <w:rFonts w:ascii="Myanmar Text" w:hAnsi="Myanmar Text" w:eastAsia="Myanmar Text" w:cs="Myanmar Text"/>
        </w:rPr>
        <w:t>စင်စစ်</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မဟာဘုန်းတန်ခိုးရှိသော</w:t>
      </w:r>
      <w:r>
        <w:rPr>
          <w:rFonts w:ascii="Times New Roman" w:hAnsi="Times New Roman" w:eastAsia="Times New Roman" w:cs="Times New Roman"/>
        </w:rPr>
        <w:t xml:space="preserve"> </w:t>
      </w:r>
      <w:r>
        <w:rPr>
          <w:rFonts w:ascii="Myanmar Text" w:hAnsi="Myanmar Text" w:eastAsia="Myanmar Text" w:cs="Myanmar Text"/>
        </w:rPr>
        <w:t>သန့်ရှင်းမြင့်မြတ်သည့်</w:t>
      </w:r>
      <w:r>
        <w:rPr>
          <w:rFonts w:ascii="Times New Roman" w:hAnsi="Times New Roman" w:eastAsia="Times New Roman" w:cs="Times New Roman"/>
        </w:rPr>
        <w:t xml:space="preserve"> </w:t>
      </w:r>
      <w:r>
        <w:rPr>
          <w:rFonts w:ascii="Myanmar Text" w:hAnsi="Myanmar Text" w:eastAsia="Myanmar Text" w:cs="Myanmar Text"/>
        </w:rPr>
        <w:t>တောင်ပေါ်၌</w:t>
      </w:r>
      <w:r>
        <w:rPr>
          <w:rFonts w:ascii="Times New Roman" w:hAnsi="Times New Roman" w:eastAsia="Times New Roman" w:cs="Times New Roman"/>
        </w:rPr>
        <w:t xml:space="preserve"> </w:t>
      </w:r>
      <w:r>
        <w:rPr>
          <w:rFonts w:ascii="Myanmar Text" w:hAnsi="Myanmar Text" w:eastAsia="Myanmar Text" w:cs="Myanmar Text"/>
        </w:rPr>
        <w:t>ပင်လယ်နှစ်ရပ်အကြား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နန်းတော်တဲများကို</w:t>
      </w:r>
      <w:r>
        <w:rPr>
          <w:rFonts w:ascii="Times New Roman" w:hAnsi="Times New Roman" w:eastAsia="Times New Roman" w:cs="Times New Roman"/>
        </w:rPr>
        <w:t xml:space="preserve"> </w:t>
      </w:r>
      <w:r>
        <w:rPr>
          <w:rFonts w:ascii="Myanmar Text" w:hAnsi="Myanmar Text" w:eastAsia="Myanmar Text" w:cs="Myanmar Text"/>
        </w:rPr>
        <w:t>စိုက်ထူလိမ့်မည်။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အဆုံးသို့</w:t>
      </w:r>
      <w:r>
        <w:rPr>
          <w:rFonts w:ascii="Times New Roman" w:hAnsi="Times New Roman" w:eastAsia="Times New Roman" w:cs="Times New Roman"/>
        </w:rPr>
        <w:t xml:space="preserve"> </w:t>
      </w:r>
      <w:r>
        <w:rPr>
          <w:rFonts w:ascii="Myanmar Text" w:hAnsi="Myanmar Text" w:eastAsia="Myanmar Text" w:cs="Myanmar Text"/>
        </w:rPr>
        <w:t>ရောက်လိမ့်မည်ဖြစ်၍၊</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ကူညီမည့်သူ</w:t>
      </w:r>
      <w:r>
        <w:rPr>
          <w:rFonts w:ascii="Times New Roman" w:hAnsi="Times New Roman" w:eastAsia="Times New Roman" w:cs="Times New Roman"/>
        </w:rPr>
        <w:t xml:space="preserve"> </w:t>
      </w:r>
      <w:r>
        <w:rPr>
          <w:rFonts w:ascii="Myanmar Text" w:hAnsi="Myanmar Text" w:eastAsia="Myanmar Text" w:cs="Myanmar Text"/>
        </w:rPr>
        <w:t>တစ်ယောက်မျှ</w:t>
      </w:r>
      <w:r>
        <w:rPr>
          <w:rFonts w:ascii="Times New Roman" w:hAnsi="Times New Roman" w:eastAsia="Times New Roman" w:cs="Times New Roman"/>
        </w:rPr>
        <w:t xml:space="preserve"> </w:t>
      </w:r>
      <w:r>
        <w:rPr>
          <w:rFonts w:ascii="Myanmar Text" w:hAnsi="Myanmar Text" w:eastAsia="Myanmar Text" w:cs="Myanmar Text"/>
        </w:rPr>
        <w:t>ရှိလိမ့်မည်မဟုတ်။</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သင်၏လူမျိုးသားတို့အတွက်</w:t>
      </w:r>
      <w:r>
        <w:rPr>
          <w:rFonts w:ascii="Times New Roman" w:hAnsi="Times New Roman" w:eastAsia="Times New Roman" w:cs="Times New Roman"/>
        </w:rPr>
        <w:t xml:space="preserve"> </w:t>
      </w:r>
      <w:r>
        <w:rPr>
          <w:rFonts w:ascii="Myanmar Text" w:hAnsi="Myanmar Text" w:eastAsia="Myanmar Text" w:cs="Myanmar Text"/>
        </w:rPr>
        <w:t>ရပ်တည်ပေးသော</w:t>
      </w:r>
      <w:r>
        <w:rPr>
          <w:rFonts w:ascii="Times New Roman" w:hAnsi="Times New Roman" w:eastAsia="Times New Roman" w:cs="Times New Roman"/>
        </w:rPr>
        <w:t xml:space="preserve"> </w:t>
      </w:r>
      <w:r>
        <w:rPr>
          <w:rFonts w:ascii="Myanmar Text" w:hAnsi="Myanmar Text" w:eastAsia="Myanmar Text" w:cs="Myanmar Text"/>
        </w:rPr>
        <w:t>မဟာမင်းသား</w:t>
      </w:r>
      <w:r>
        <w:rPr>
          <w:rFonts w:ascii="Times New Roman" w:hAnsi="Times New Roman" w:eastAsia="Times New Roman" w:cs="Times New Roman"/>
        </w:rPr>
        <w:t xml:space="preserve"> </w:t>
      </w:r>
      <w:r>
        <w:rPr>
          <w:rFonts w:ascii="Myanmar Text" w:hAnsi="Myanmar Text" w:eastAsia="Myanmar Text" w:cs="Myanmar Text"/>
        </w:rPr>
        <w:t>မိခေလသည်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ရပ်လိမ့်မည်။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လူမျိုးတစ်မျိုး</w:t>
      </w:r>
      <w:r>
        <w:rPr>
          <w:rFonts w:ascii="Times New Roman" w:hAnsi="Times New Roman" w:eastAsia="Times New Roman" w:cs="Times New Roman"/>
        </w:rPr>
        <w:t xml:space="preserve"> </w:t>
      </w:r>
      <w:r>
        <w:rPr>
          <w:rFonts w:ascii="Myanmar Text" w:hAnsi="Myanmar Text" w:eastAsia="Myanmar Text" w:cs="Myanmar Text"/>
        </w:rPr>
        <w:t>ပေါ်ပေါက်လာသည့်အချိန်မှစ၍</w:t>
      </w:r>
      <w:r>
        <w:rPr>
          <w:rFonts w:ascii="Times New Roman" w:hAnsi="Times New Roman" w:eastAsia="Times New Roman" w:cs="Times New Roman"/>
        </w:rPr>
        <w:t xml:space="preserve"> </w:t>
      </w:r>
      <w:r>
        <w:rPr>
          <w:rFonts w:ascii="Myanmar Text" w:hAnsi="Myanmar Text" w:eastAsia="Myanmar Text" w:cs="Myanmar Text"/>
        </w:rPr>
        <w:t>ထိုကာလတိုင်အောင်</w:t>
      </w:r>
      <w:r>
        <w:rPr>
          <w:rFonts w:ascii="Times New Roman" w:hAnsi="Times New Roman" w:eastAsia="Times New Roman" w:cs="Times New Roman"/>
        </w:rPr>
        <w:t xml:space="preserve"> </w:t>
      </w:r>
      <w:r>
        <w:rPr>
          <w:rFonts w:ascii="Myanmar Text" w:hAnsi="Myanmar Text" w:eastAsia="Myanmar Text" w:cs="Myanmar Text"/>
        </w:rPr>
        <w:t>မဖြစ်ဖူးသေးသော</w:t>
      </w:r>
      <w:r>
        <w:rPr>
          <w:rFonts w:ascii="Times New Roman" w:hAnsi="Times New Roman" w:eastAsia="Times New Roman" w:cs="Times New Roman"/>
        </w:rPr>
        <w:t xml:space="preserve"> </w:t>
      </w:r>
      <w:r>
        <w:rPr>
          <w:rFonts w:ascii="Myanmar Text" w:hAnsi="Myanmar Text" w:eastAsia="Myanmar Text" w:cs="Myanmar Text"/>
        </w:rPr>
        <w:t>ဆင်းရဲဒုက္ခကာလ</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စာအုပ်၌</w:t>
      </w:r>
      <w:r>
        <w:rPr>
          <w:rFonts w:ascii="Times New Roman" w:hAnsi="Times New Roman" w:eastAsia="Times New Roman" w:cs="Times New Roman"/>
        </w:rPr>
        <w:t xml:space="preserve"> </w:t>
      </w:r>
      <w:r>
        <w:rPr>
          <w:rFonts w:ascii="Myanmar Text" w:hAnsi="Myanmar Text" w:eastAsia="Myanmar Text" w:cs="Myanmar Text"/>
        </w:rPr>
        <w:t>ရေးမှတ်ထားခြင်းခံရသောသူ</w:t>
      </w:r>
      <w:r>
        <w:rPr>
          <w:rFonts w:ascii="Times New Roman" w:hAnsi="Times New Roman" w:eastAsia="Times New Roman" w:cs="Times New Roman"/>
        </w:rPr>
        <w:t xml:space="preserve"> </w:t>
      </w:r>
      <w:r>
        <w:rPr>
          <w:rFonts w:ascii="Myanmar Text" w:hAnsi="Myanmar Text" w:eastAsia="Myanmar Text" w:cs="Myanmar Text"/>
        </w:rPr>
        <w:t>တစ်ဦးချင်းစီတည်းသော</w:t>
      </w:r>
      <w:r>
        <w:rPr>
          <w:rFonts w:ascii="Times New Roman" w:hAnsi="Times New Roman" w:eastAsia="Times New Roman" w:cs="Times New Roman"/>
        </w:rPr>
        <w:t xml:space="preserve"> </w:t>
      </w:r>
      <w:r>
        <w:rPr>
          <w:rFonts w:ascii="Myanmar Text" w:hAnsi="Myanmar Text" w:eastAsia="Myanmar Text" w:cs="Myanmar Text"/>
        </w:rPr>
        <w:t>သင်၏လူမျိုးတို့သည်</w:t>
      </w:r>
      <w:r>
        <w:rPr>
          <w:rFonts w:ascii="Times New Roman" w:hAnsi="Times New Roman" w:eastAsia="Times New Roman" w:cs="Times New Roman"/>
        </w:rPr>
        <w:t xml:space="preserve"> </w:t>
      </w:r>
      <w:r>
        <w:rPr>
          <w:rFonts w:ascii="Myanmar Text" w:hAnsi="Myanmar Text" w:eastAsia="Myanmar Text" w:cs="Myanmar Text"/>
        </w:rPr>
        <w:t>ကယ်တင်ခြင်းကို</w:t>
      </w:r>
      <w:r>
        <w:rPr>
          <w:rFonts w:ascii="Times New Roman" w:hAnsi="Times New Roman" w:eastAsia="Times New Roman" w:cs="Times New Roman"/>
        </w:rPr>
        <w:t xml:space="preserve"> </w:t>
      </w:r>
      <w:r>
        <w:rPr>
          <w:rFonts w:ascii="Myanmar Text" w:hAnsi="Myanmar Text" w:eastAsia="Myanmar Text" w:cs="Myanmar Text"/>
        </w:rPr>
        <w:t>ရကြလိမ့်မည်။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11:45; 12:1</w:t>
      </w:r>
      <w:r>
        <w:rPr>
          <w:rFonts w:ascii="Myanmar Text" w:hAnsi="Myanmar Text" w:eastAsia="Myanmar Text" w:cs="Myanmar Text"/>
        </w:rPr>
        <w:t>။</w:t>
      </w:r>
    </w:p>
    <w:p>
      <w:pPr>
        <w:pStyle w:val="ArticleBody"/>
        <w:jc w:val="left"/>
      </w:pPr>
      <w:r>
        <w:rPr>
          <w:rFonts w:ascii="Times New Roman" w:hAnsi="Times New Roman" w:eastAsia="Times New Roman" w:cs="Times New Roman"/>
        </w:rPr>
        <w:t>Libuka tsa Daniele le Tšenolo ke buka e le ’ngoe:</w:t>
      </w:r>
    </w:p>
    <w:p>
      <w:pPr>
        <w:pStyle w:val="ArticleScripture"/>
        <w:jc w:val="left"/>
      </w:pPr>
      <w:r>
        <w:rPr>
          <w:rFonts w:ascii="Times New Roman" w:hAnsi="Times New Roman" w:eastAsia="Times New Roman" w:cs="Times New Roman"/>
        </w:rPr>
        <w:t>“Buku Daniel dan Wahyu itu satu. Yang satu ialah nubuat, yang satu lagi ialah penyingkapan; yang satu ialah kitab yang termeterai, yang satu lagi ialah kitab yang terbuka. Yohanes mendengar rahsia-rahsia yang diucapkan oleh guruh-guruh itu, tetapi dia diperintahkan supaya tidak menuliskannya.” The Seventh-day Adventist Bible Commentary, jilid 7, 971.</w:t>
      </w:r>
    </w:p>
    <w:p>
      <w:pPr>
        <w:pStyle w:val="ArticleBody"/>
        <w:jc w:val="left"/>
      </w:pPr>
      <w:r>
        <w:rPr>
          <w:rFonts w:ascii="Times New Roman" w:hAnsi="Times New Roman" w:eastAsia="Times New Roman" w:cs="Times New Roman"/>
        </w:rPr>
        <w:t>Buku dua iti, itêi sabana satu buku, iyalah karya agung pengajaran nubuatan malaikat Gabriel. Aku nulis tu sambil sedar benar-benar bahawasanya apa ti disampaikan Gabriel ngagai Daniel enggau John datai ari Jesus, ti nerima nya ari Bapa. Tuju aku ukai deka ngangkatka Gabriel, tang deka ngangkatka pemandang ti amat dalam pasal bukti-bukti dalam kedua iti buku, pasal baka ni Alpha enggau Omega udah ngatur aturan nubuatan bagi penafsiran Alkitab, ti patut diwakilka dalam kedua iti buku, enti kitai sanggup meda.</w:t>
      </w:r>
    </w:p>
    <w:p>
      <w:pPr>
        <w:pStyle w:val="ArticleBody"/>
        <w:jc w:val="left"/>
      </w:pPr>
      <w:r>
        <w:rPr>
          <w:rFonts w:ascii="Times New Roman" w:hAnsi="Times New Roman" w:eastAsia="Times New Roman" w:cs="Times New Roman"/>
        </w:rPr>
        <w:t>Naka hopotsa hore, nakong ena, morero le boikemisetšo bja ka ga se go tšweletša tlhathollo ya diporofeto tše pedi tša dinoka tša Ulai le Hiddekel. Morero le boikemisetšo bja ka ke go šoma ka diporofeto tša dikgaolo tše tshela tša mathomo tša puku ya Daniele. Ke no bea lebaka la taba ya gore dipuku tša Daniele le Kutollo mohlomongwe ke dipuku tše di agilwego ka botebo kudu ka Lentšung la Modimo. Di tšweletša molaetša wa boporofeta, mola gape di tsebiša semelo sa Modimo, mola gape di tsebiša melao yona ye e nyakegago kudu go šomišwa ge motho a ka tseba diporofeto, gape a tseba le Yo a tšweleditšego diporofeto.</w:t>
      </w:r>
    </w:p>
    <w:p>
      <w:pPr>
        <w:pStyle w:val="ArticleBody"/>
        <w:jc w:val="left"/>
      </w:pPr>
      <w:r>
        <w:rPr>
          <w:rFonts w:ascii="Leelawadee UI" w:hAnsi="Leelawadee UI" w:eastAsia="Leelawadee UI" w:cs="Leelawadee UI"/>
        </w:rPr>
        <w:t>ប៉ុន្តែឧទាហរណ៍មួយទៀតនៃសភាពជ្រាលជ្រៅនៃសៀវភៅទាំងនេះ</w:t>
      </w:r>
      <w:r>
        <w:rPr>
          <w:rFonts w:ascii="Times New Roman" w:hAnsi="Times New Roman" w:eastAsia="Times New Roman" w:cs="Times New Roman"/>
        </w:rPr>
        <w:t xml:space="preserve"> </w:t>
      </w:r>
      <w:r>
        <w:rPr>
          <w:rFonts w:ascii="Leelawadee UI" w:hAnsi="Leelawadee UI" w:eastAsia="Leelawadee UI" w:cs="Leelawadee UI"/>
        </w:rPr>
        <w:t>គឺការដែលដានីយ៉ែលបង្ហាញអំពី</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នៃលេវីវិន័យ</w:t>
      </w:r>
      <w:r>
        <w:rPr>
          <w:rFonts w:ascii="Times New Roman" w:hAnsi="Times New Roman" w:eastAsia="Times New Roman" w:cs="Times New Roman"/>
        </w:rPr>
        <w:t xml:space="preserve"> </w:t>
      </w:r>
      <w:r>
        <w:rPr>
          <w:rFonts w:ascii="Leelawadee UI" w:hAnsi="Leelawadee UI" w:eastAsia="Leelawadee UI" w:cs="Leelawadee UI"/>
        </w:rPr>
        <w:t>ជំពូកម្ភៃប្រាំមួយ។</w:t>
      </w:r>
      <w:r>
        <w:rPr>
          <w:rFonts w:ascii="Times New Roman" w:hAnsi="Times New Roman" w:eastAsia="Times New Roman" w:cs="Times New Roman"/>
        </w:rPr>
        <w:t xml:space="preserve"> </w:t>
      </w:r>
      <w:r>
        <w:rPr>
          <w:rFonts w:ascii="Leelawadee UI" w:hAnsi="Leelawadee UI" w:eastAsia="Leelawadee UI" w:cs="Leelawadee UI"/>
        </w:rPr>
        <w:t>ព្រះបន្ទូលទំនាយអំពី</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បានហើយក៏នៅតែត្រូវជា</w:t>
      </w:r>
      <w:r>
        <w:rPr>
          <w:rFonts w:ascii="Times New Roman" w:hAnsi="Times New Roman" w:eastAsia="Times New Roman" w:cs="Times New Roman"/>
        </w:rPr>
        <w:t xml:space="preserve"> «</w:t>
      </w:r>
      <w:r>
        <w:rPr>
          <w:rFonts w:ascii="Leelawadee UI" w:hAnsi="Leelawadee UI" w:eastAsia="Leelawadee UI" w:cs="Leelawadee UI"/>
        </w:rPr>
        <w:t>ថ្មដែលធ្វើឲ្យជំពប់ដួល</w:t>
      </w:r>
      <w:r>
        <w:rPr>
          <w:rFonts w:ascii="Times New Roman" w:hAnsi="Times New Roman" w:eastAsia="Times New Roman" w:cs="Times New Roman"/>
        </w:rPr>
        <w:t xml:space="preserve">» </w:t>
      </w:r>
      <w:r>
        <w:rPr>
          <w:rFonts w:ascii="Leelawadee UI" w:hAnsi="Leelawadee UI" w:eastAsia="Leelawadee UI" w:cs="Leelawadee UI"/>
        </w:rPr>
        <w:t>សម្រាប់រាស្ត្ររបស់ព្រះ</w:t>
      </w:r>
      <w:r>
        <w:rPr>
          <w:rFonts w:ascii="Times New Roman" w:hAnsi="Times New Roman" w:eastAsia="Times New Roman" w:cs="Times New Roman"/>
        </w:rPr>
        <w:t xml:space="preserve"> </w:t>
      </w:r>
      <w:r>
        <w:rPr>
          <w:rFonts w:ascii="Leelawadee UI" w:hAnsi="Leelawadee UI" w:eastAsia="Leelawadee UI" w:cs="Leelawadee UI"/>
        </w:rPr>
        <w:t>ទាំងនៅក្នុងអ៊ីស្រាអែលបុរាណ</w:t>
      </w:r>
      <w:r>
        <w:rPr>
          <w:rFonts w:ascii="Times New Roman" w:hAnsi="Times New Roman" w:eastAsia="Times New Roman" w:cs="Times New Roman"/>
        </w:rPr>
        <w:t xml:space="preserve"> </w:t>
      </w:r>
      <w:r>
        <w:rPr>
          <w:rFonts w:ascii="Leelawadee UI" w:hAnsi="Leelawadee UI" w:eastAsia="Leelawadee UI" w:cs="Leelawadee UI"/>
        </w:rPr>
        <w:t>ក្នុងចលនាមីឡែរ៉ីតនៃទេវតាទីមួយ</w:t>
      </w:r>
      <w:r>
        <w:rPr>
          <w:rFonts w:ascii="Times New Roman" w:hAnsi="Times New Roman" w:eastAsia="Times New Roman" w:cs="Times New Roman"/>
        </w:rPr>
        <w:t xml:space="preserve"> </w:t>
      </w:r>
      <w:r>
        <w:rPr>
          <w:rFonts w:ascii="Leelawadee UI" w:hAnsi="Leelawadee UI" w:eastAsia="Leelawadee UI" w:cs="Leelawadee UI"/>
        </w:rPr>
        <w:t>ហើយក៏នៅក្នុងចលនាបច្ចុប្បន្ន</w:t>
      </w:r>
      <w:r>
        <w:rPr>
          <w:rFonts w:ascii="Times New Roman" w:hAnsi="Times New Roman" w:eastAsia="Times New Roman" w:cs="Times New Roman"/>
        </w:rPr>
        <w:t xml:space="preserve"> </w:t>
      </w:r>
      <w:r>
        <w:rPr>
          <w:rFonts w:ascii="Leelawadee UI" w:hAnsi="Leelawadee UI" w:eastAsia="Leelawadee UI" w:cs="Leelawadee UI"/>
        </w:rPr>
        <w:t>និងអនាគតនៃទេវតាទីបីផងដែរ។</w:t>
      </w:r>
      <w:r>
        <w:rPr>
          <w:rFonts w:ascii="Times New Roman" w:hAnsi="Times New Roman" w:eastAsia="Times New Roman" w:cs="Times New Roman"/>
        </w:rPr>
        <w:t xml:space="preserve"> </w:t>
      </w:r>
      <w:r>
        <w:rPr>
          <w:rFonts w:ascii="Leelawadee UI" w:hAnsi="Leelawadee UI" w:eastAsia="Leelawadee UI" w:cs="Leelawadee UI"/>
        </w:rPr>
        <w:t>តាមនិយមន័យដ៏សាមញ្ញ</w:t>
      </w:r>
      <w:r>
        <w:rPr>
          <w:rFonts w:ascii="Times New Roman" w:hAnsi="Times New Roman" w:eastAsia="Times New Roman" w:cs="Times New Roman"/>
        </w:rPr>
        <w:t xml:space="preserve"> «</w:t>
      </w:r>
      <w:r>
        <w:rPr>
          <w:rFonts w:ascii="Leelawadee UI" w:hAnsi="Leelawadee UI" w:eastAsia="Leelawadee UI" w:cs="Leelawadee UI"/>
        </w:rPr>
        <w:t>ថ្មដែលធ្វើឲ្យជំពប់ដួល</w:t>
      </w:r>
      <w:r>
        <w:rPr>
          <w:rFonts w:ascii="Times New Roman" w:hAnsi="Times New Roman" w:eastAsia="Times New Roman" w:cs="Times New Roman"/>
        </w:rPr>
        <w:t xml:space="preserve">» </w:t>
      </w:r>
      <w:r>
        <w:rPr>
          <w:rFonts w:ascii="Leelawadee UI" w:hAnsi="Leelawadee UI" w:eastAsia="Leelawadee UI" w:cs="Leelawadee UI"/>
        </w:rPr>
        <w:t>គឺជាអ្វីមួយដែលអ្នកមិនឃើញ</w:t>
      </w:r>
      <w:r>
        <w:rPr>
          <w:rFonts w:ascii="Times New Roman" w:hAnsi="Times New Roman" w:eastAsia="Times New Roman" w:cs="Times New Roman"/>
        </w:rPr>
        <w:t xml:space="preserve"> </w:t>
      </w:r>
      <w:r>
        <w:rPr>
          <w:rFonts w:ascii="Leelawadee UI" w:hAnsi="Leelawadee UI" w:eastAsia="Leelawadee UI" w:cs="Leelawadee UI"/>
        </w:rPr>
        <w:t>ទោះបីវាមាននៅទីនោះយ៉ាងច្បាស់ក៏ដោយ។</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នៅពេលដែលអ្នកទទួលស្គាល់</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នៅក្នុងសៀវភៅដានីយ៉ែល</w:t>
      </w:r>
      <w:r>
        <w:rPr>
          <w:rFonts w:ascii="Times New Roman" w:hAnsi="Times New Roman" w:eastAsia="Times New Roman" w:cs="Times New Roman"/>
        </w:rPr>
        <w:t xml:space="preserve"> </w:t>
      </w:r>
      <w:r>
        <w:rPr>
          <w:rFonts w:ascii="Leelawadee UI" w:hAnsi="Leelawadee UI" w:eastAsia="Leelawadee UI" w:cs="Leelawadee UI"/>
        </w:rPr>
        <w:t>នោះអ្នកឃើញថាវាមាននៅទីនោះយ៉ាងច្បាស់មែន</w:t>
      </w:r>
      <w:r>
        <w:rPr>
          <w:rFonts w:ascii="Times New Roman" w:hAnsi="Times New Roman" w:eastAsia="Times New Roman" w:cs="Times New Roman"/>
        </w:rPr>
        <w:t xml:space="preserve"> </w:t>
      </w:r>
      <w:r>
        <w:rPr>
          <w:rFonts w:ascii="Leelawadee UI" w:hAnsi="Leelawadee UI" w:eastAsia="Leelawadee UI" w:cs="Leelawadee UI"/>
        </w:rPr>
        <w:t>ប៉ុន្តែអ្នកក៏ឃើញផងដែរថា</w:t>
      </w:r>
      <w:r>
        <w:rPr>
          <w:rFonts w:ascii="Times New Roman" w:hAnsi="Times New Roman" w:eastAsia="Times New Roman" w:cs="Times New Roman"/>
        </w:rPr>
        <w:t xml:space="preserve"> </w:t>
      </w:r>
      <w:r>
        <w:rPr>
          <w:rFonts w:ascii="Leelawadee UI" w:hAnsi="Leelawadee UI" w:eastAsia="Leelawadee UI" w:cs="Leelawadee UI"/>
        </w:rPr>
        <w:t>វាត្រូវបានលាក់បាំងចំពោះអ្នកដែលជ្រើសរើសមិនឃើញ។</w:t>
      </w:r>
    </w:p>
    <w:p>
      <w:pPr>
        <w:pStyle w:val="ArticleBody"/>
        <w:jc w:val="left"/>
      </w:pPr>
      <w:r>
        <w:rPr>
          <w:rFonts w:ascii="Times New Roman" w:hAnsi="Times New Roman" w:eastAsia="Times New Roman" w:cs="Times New Roman"/>
        </w:rPr>
        <w:t>Kwisitla sengwe loko xi ri erivaleni hi ndlela ya ririmi i vutshila lebyi dzikeke swinene; i nchumu lowu a wu nga ta tshuki wu nghenisiwa eka padi yin’wana ni yin’wana ya xihundla leyi tsariweke hi munhu. I ntirho wa vukorhokeri, hikuva wu kona, wu vonaka erivaleni eka hinkwavo lava nga laviki ku khunguvanyeka, kambe a wu koteki ku voniwa hi lava hlawulaka ku khunguvanyeka. Hi ku vula swin’wana, i “ku tumbela erivaleni.” Leswi swi endliwa hi ku hlangana ka vumunhu ni Vukwembu.</w:t>
      </w:r>
    </w:p>
    <w:p>
      <w:pPr>
        <w:pStyle w:val="ArticleBody"/>
        <w:jc w:val="left"/>
      </w:pPr>
      <w:r>
        <w:rPr>
          <w:rFonts w:ascii="Times New Roman" w:hAnsi="Times New Roman" w:eastAsia="Times New Roman" w:cs="Times New Roman"/>
        </w:rPr>
        <w:t>Ndzi vula sweswo, hikuva ndzi navela ku hi tsundzuxa, eka nkarhi lowu, leswaku ku ni dyondzo ya Khatoliki endzeni ka Vaadventista, ku sukela kwalomu ka ku kandziyisiwa ka *Questions on Doctrine* hi 1957, naswona yi tlhele yi tlakusa nhloko ya yona yo homboloka endzeni ka nhlangano lowu wa ntiyiso wa nkarhi wa sweswi wa *Future for America*. Mhaka leyi hi leyi: leswaku Kreste, eka ku endliwa munhu, a nga tekanga nyama leyi A yi dya ndzhaka eka Mariya. Hakunene, lava va seketelaka dyondzo leyi a va yi vuli hi ndlela yoleyo, kambe hambiswiritano, sweswo hi swona leswi va swi dyondzisaka. Ndzi yi vitana dyondzo ya Khatoliki, hikuva mhaka ya leswaku nyama ya Kreste a yi tengile ku fana ni nyama ya Adamu emahlweni ka loko a dyoha, hi yona mianakanyo ya Sathana leyi kereke ya Khatoliki yi yi tirhisiweke eka dyondzo ya yona ya leswi swi vuriwaka “immaculate conception.” Kutani loko u nga tivi dyondzo leyi ya vuhedeni ya “immaculate conception,” yi dyondzisa leswaku nyama ya Kreste yi endliwe hi ndlela ya singita ku fana ni leswi muxaka wa le hansi wa Adamu a wu ri xiswona emahlweni ka loko yena na Evha va dyoha; kumbe, hilaha ku vulaka sweswo, leswaku Kreste a a ri ni muxaka wa Adamu wa emahlweni ka ku wa, lowu nga riki na xidyoho. Yi tlhela yi dyondzisa leswaku Mariya hi yexe u nyikiwe hi singita muxaka wa nyama lowu nga wa ku nga wanga wa Adamu emahlweni ka loko a dyoha, leswaku a ta kota ku va xibya lexi hetisekeke lexi Moya lowo Kwetsima a a ta nghenisa n'wana Yesu eka xona endzeni ka nyama yakwe leyi hetisekeke.</w:t>
      </w:r>
    </w:p>
    <w:p>
      <w:pPr>
        <w:pStyle w:val="ArticleBody"/>
        <w:jc w:val="left"/>
      </w:pPr>
      <w:r>
        <w:rPr>
          <w:rFonts w:ascii="Times New Roman" w:hAnsi="Times New Roman" w:eastAsia="Times New Roman" w:cs="Times New Roman"/>
        </w:rPr>
        <w:t>Tentu saja, mereka dalam Adventisme yang mempertahankan kesimpulan yang sama persis mengenai daging Yesus, tidak menunjuk kepada mukjizat apa pun yang berkaitan dengan Maria, tetapi mereka memang memutarbalikkan bagian-bagian tulisan Sister White dan Alkitab untuk mengajarkan konsep Katolik yang sama persis. Mengapakah saya baru saja menyimpang dan beralih dari pembahasan kitab Daniel? Saya akan menjawabnya.</w:t>
      </w:r>
    </w:p>
    <w:p>
      <w:pPr>
        <w:pStyle w:val="ArticleBody"/>
        <w:jc w:val="left"/>
      </w:pPr>
      <w:r>
        <w:rPr>
          <w:rFonts w:ascii="Times New Roman" w:hAnsi="Times New Roman" w:eastAsia="Times New Roman" w:cs="Times New Roman"/>
        </w:rPr>
        <w:t>Tsela e e gakgamatsang le popego ya Daniele le Tshenolo di ne tsa diragadiwa ka kopano ya botho le Bomodimo. Jesu ke Lefoko la Modimo, mme Baebele ke Lefoko la Modimo. Tlholego ya ga Jesu ya Bomodimo le ya botho e emetswe ka botlalo mo Baebeleng. Mafoko a a mo go yone ke a Bomodimo, mme a na le maatla a popo a go fetola dipelo le megopolo. Mafoko ao ke one maatla ao ao tlisitseng tsotlhe mo botshelong. Mme banna bao Modimo a neng a ba tlhopha go nna didirisiwa tsa Gagwe mo go kwaleng Baebele, botlhe e ne e le baleofi. Karolo ya botho mo seemong seno e emetswe ke batho ba ba weleng. Baebele ke kopanyo ya botho le ya Bomodimo, mme baporofeti e ne e le baleofi, fela jaaka ngwana mongwe le mongwe wa ga Atamo a ntse. Keresete ga a ka a leofa mo mogopolong, mo lefokong, kgotsa mo tirong. Mme o ne a tsaya nama ya ga Marea morago ga dingwaga di le dikete di le nne tsa go senyega. Fa tota a ne a tsaya tlholego e e kwa tlase ya nama ya ga Atamo pele ga Atamo a ne a leofile, go ne go tla batla gore mokwadi mongwe le mongwe wa Baebele le ene a bo a se na boleo.</w:t>
      </w:r>
    </w:p>
    <w:p>
      <w:pPr>
        <w:pStyle w:val="ArticleBody"/>
        <w:jc w:val="left"/>
      </w:pPr>
      <w:r>
        <w:rPr>
          <w:rFonts w:ascii="Times New Roman" w:hAnsi="Times New Roman" w:eastAsia="Times New Roman" w:cs="Times New Roman"/>
        </w:rPr>
        <w:t xml:space="preserve">“seven times” </w:t>
      </w:r>
      <w:r>
        <w:rPr>
          <w:rFonts w:ascii="Microsoft YaHei" w:hAnsi="Microsoft YaHei" w:eastAsia="Microsoft YaHei" w:cs="Microsoft YaHei"/>
        </w:rPr>
        <w:t>的</w:t>
      </w:r>
      <w:r>
        <w:rPr>
          <w:rFonts w:ascii="Times New Roman" w:hAnsi="Times New Roman" w:eastAsia="Times New Roman" w:cs="Times New Roman"/>
        </w:rPr>
        <w:t>“</w:t>
      </w:r>
      <w:r>
        <w:rPr>
          <w:rFonts w:ascii="Microsoft YaHei" w:hAnsi="Microsoft YaHei" w:eastAsia="Microsoft YaHei" w:cs="Microsoft YaHei"/>
        </w:rPr>
        <w:t>明隱於顯</w:t>
      </w:r>
      <w:r>
        <w:rPr>
          <w:rFonts w:ascii="Times New Roman" w:hAnsi="Times New Roman" w:eastAsia="Times New Roman" w:cs="Times New Roman"/>
        </w:rPr>
        <w:t>”</w:t>
      </w:r>
      <w:r>
        <w:rPr>
          <w:rFonts w:ascii="Microsoft YaHei" w:hAnsi="Microsoft YaHei" w:eastAsia="Microsoft YaHei" w:cs="Microsoft YaHei"/>
        </w:rPr>
        <w:t>在但以理書中之所以得以成就</w:t>
      </w:r>
      <w:r>
        <w:rPr>
          <w:rFonts w:ascii="Times New Roman" w:hAnsi="Times New Roman" w:eastAsia="Times New Roman" w:cs="Times New Roman"/>
        </w:rPr>
        <w:t>,</w:t>
      </w:r>
      <w:r>
        <w:rPr>
          <w:rFonts w:ascii="Microsoft YaHei" w:hAnsi="Microsoft YaHei" w:eastAsia="Microsoft YaHei" w:cs="Microsoft YaHei"/>
        </w:rPr>
        <w:t>不僅藉着但以理所記錄的話語</w:t>
      </w:r>
      <w:r>
        <w:rPr>
          <w:rFonts w:ascii="Times New Roman" w:hAnsi="Times New Roman" w:eastAsia="Times New Roman" w:cs="Times New Roman"/>
        </w:rPr>
        <w:t>,</w:t>
      </w:r>
      <w:r>
        <w:rPr>
          <w:rFonts w:ascii="Microsoft YaHei" w:hAnsi="Microsoft YaHei" w:eastAsia="Microsoft YaHei" w:cs="Microsoft YaHei"/>
        </w:rPr>
        <w:t>更進一步藉着那些翻譯</w:t>
      </w:r>
      <w:r>
        <w:rPr>
          <w:rFonts w:ascii="Times New Roman" w:hAnsi="Times New Roman" w:eastAsia="Times New Roman" w:cs="Times New Roman"/>
        </w:rPr>
        <w:t>«</w:t>
      </w:r>
      <w:r>
        <w:rPr>
          <w:rFonts w:ascii="Microsoft YaHei" w:hAnsi="Microsoft YaHei" w:eastAsia="Microsoft YaHei" w:cs="Microsoft YaHei"/>
        </w:rPr>
        <w:t>英王欽定本聖經</w:t>
      </w:r>
      <w:r>
        <w:rPr>
          <w:rFonts w:ascii="Times New Roman" w:hAnsi="Times New Roman" w:eastAsia="Times New Roman" w:cs="Times New Roman"/>
        </w:rPr>
        <w:t>»</w:t>
      </w:r>
      <w:r>
        <w:rPr>
          <w:rFonts w:ascii="Microsoft YaHei" w:hAnsi="Microsoft YaHei" w:eastAsia="Microsoft YaHei" w:cs="Microsoft YaHei"/>
        </w:rPr>
        <w:t>的墮落世人而成就</w:t>
      </w:r>
      <w:r>
        <w:rPr>
          <w:rFonts w:ascii="Times New Roman" w:hAnsi="Times New Roman" w:eastAsia="Times New Roman" w:cs="Times New Roman"/>
        </w:rPr>
        <w:t>.</w:t>
      </w:r>
      <w:r>
        <w:rPr>
          <w:rFonts w:ascii="Microsoft YaHei" w:hAnsi="Microsoft YaHei" w:eastAsia="Microsoft YaHei" w:cs="Microsoft YaHei"/>
        </w:rPr>
        <w:t>墮落的世人兩次觸及但以理書</w:t>
      </w:r>
      <w:r>
        <w:rPr>
          <w:rFonts w:ascii="Times New Roman" w:hAnsi="Times New Roman" w:eastAsia="Times New Roman" w:cs="Times New Roman"/>
        </w:rPr>
        <w:t>,</w:t>
      </w:r>
      <w:r>
        <w:rPr>
          <w:rFonts w:ascii="Microsoft YaHei" w:hAnsi="Microsoft YaHei" w:eastAsia="Microsoft YaHei" w:cs="Microsoft YaHei"/>
        </w:rPr>
        <w:t>而所成就之事</w:t>
      </w:r>
      <w:r>
        <w:rPr>
          <w:rFonts w:ascii="Times New Roman" w:hAnsi="Times New Roman" w:eastAsia="Times New Roman" w:cs="Times New Roman"/>
        </w:rPr>
        <w:t>,</w:t>
      </w:r>
      <w:r>
        <w:rPr>
          <w:rFonts w:ascii="Microsoft YaHei" w:hAnsi="Microsoft YaHei" w:eastAsia="Microsoft YaHei" w:cs="Microsoft YaHei"/>
        </w:rPr>
        <w:t>若無上帝神聖護理的監督</w:t>
      </w:r>
      <w:r>
        <w:rPr>
          <w:rFonts w:ascii="Times New Roman" w:hAnsi="Times New Roman" w:eastAsia="Times New Roman" w:cs="Times New Roman"/>
        </w:rPr>
        <w:t>,</w:t>
      </w:r>
      <w:r>
        <w:rPr>
          <w:rFonts w:ascii="Microsoft YaHei" w:hAnsi="Microsoft YaHei" w:eastAsia="Microsoft YaHei" w:cs="Microsoft YaHei"/>
        </w:rPr>
        <w:t>任何人都不可能做到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Katika makala yetu inayofuata tutaanza kuonyesha jinsi Uungu na ubinadamu walivyoficha “nyakati saba” za Mambo ya Walawi ishirini na sita waziwazi katika kitabu cha Danieli, kwa maana Mungu alijua tangu awali, na hata alikusudia, kwamba jambo hilo lingekuwa “jiwe la kujikwaa” la kupimwa kwa wote waliokuwa katika harakati ya malaika wa kwanza, na pia kwa wale waliokuwa katika harakati ya malaika wa tatu.</w:t>
      </w:r>
    </w:p>
    <w:p>
      <w:pPr>
        <w:pStyle w:val="ArticleScripture"/>
        <w:jc w:val="left"/>
      </w:pPr>
      <w:r>
        <w:rPr>
          <w:rFonts w:ascii="Times New Roman" w:hAnsi="Times New Roman" w:eastAsia="Times New Roman" w:cs="Times New Roman"/>
        </w:rPr>
        <w:t>“Cahaya yang diterima Daniel daripada Allah telah diberikan khasnya untuk hari-hari terakhir ini. Penglihatan yang dilihatnya di tebing Ulai dan Hiddekel, sungai-sungai besar di Sinear, kini sedang dalam proses penggenapan, dan segala peristiwa yang telah dinubuatkan itu tidak lama lagi akan terjadi.”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Danieli - Number One</dc:title>
  <dc:subject>Ulai dan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