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Nombor Empat</w:t>
      </w:r>
    </w:p>
    <w:p>
      <w:pPr>
        <w:pStyle w:val="ArticleSubtitle"/>
        <w:jc w:val="left"/>
      </w:pPr>
      <w:r>
        <w:rPr>
          <w:rFonts w:ascii="Arial" w:hAnsi="Arial" w:eastAsia="Arial" w:cs="Arial"/>
        </w:rPr>
        <w:t>Тутан плуммет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Ndzi vulavula hi “mikarhi ya nkombo” ya Levhitika 26 hilaha yi yimeleriwaka hakona ebukwini ya Daniyele. Hi endla sweswo hikuva xin’wana xa swihlawulekisi swa vuprofeta swa “mikarhi ya nkombo” hileswaku yi yimela “ribye ro khunguvanyisa” leri vayaki va ri ariseke. Ndzi hlamusela ribye ra ku khunguvanyisa leri yimeleriwaka eMatsalweni tanihi ntiyiso lowu nga voniwaka, kambe wu nga voniwi. Eka lava wu vonaka, i wa nkoka swinene; kambe eka lava va nga wu voniki, a hi swona ntsena leswi va khunguvanyisekaka ha swona, kambe hi rona ribye leri va silelaka ri va mapa.</w:t>
      </w:r>
    </w:p>
    <w:p>
      <w:pPr>
        <w:pStyle w:val="ArticleBody"/>
        <w:jc w:val="left"/>
      </w:pPr>
      <w:r>
        <w:rPr>
          <w:rFonts w:ascii="Times New Roman" w:hAnsi="Times New Roman" w:eastAsia="Times New Roman" w:cs="Times New Roman"/>
        </w:rPr>
        <w:t>Akene Kristo va ṋekedza tombo ḽe vhafhaṱi vha ḽi landula, o sumbedza uri tombo ḽa khuḓa ḽi ḓo vha “ṱhoho” ya khuḓa. Mulaedza wa tombo ḽo landulwaho Maṅwaloni misi yoṱhe u kwama na Mudzimu u fhira thungo vhathu vha mulanga wa kale, ngeno nga tshenetsho tshifhinga Mudzimu a tshi khou dzhena mulangani na vhathu vhane kale vho vha vhe si vhathu vha Mudzimu.</w:t>
      </w:r>
    </w:p>
    <w:p>
      <w:pPr>
        <w:pStyle w:val="ArticleScripture"/>
        <w:jc w:val="left"/>
      </w:pPr>
      <w:r>
        <w:rPr>
          <w:rFonts w:ascii="Times New Roman" w:hAnsi="Times New Roman" w:eastAsia="Times New Roman" w:cs="Times New Roman"/>
        </w:rPr>
        <w:t>Yesu akawaambia, Je, hamjapata kamwe kusoma katika Maandiko, Jiwe walilolikataa waashi, ndilo limekuwa jiwe kuu la pembeni; hili limetoka kwa Bwana, nalo ni la ajabu machoni petu? Kwa sababu hiyo nawaambieni, Ufalme wa Mungu utaondolewa kwenu, na kupewa taifa lizaalo matunda yake. Na kila atakayejikwaa juu ya jiwe hili atavunjika; lakini yeyote litakayemwangukia, litamsaga kabisa. Mathayo 21:42–44.</w:t>
      </w:r>
    </w:p>
    <w:p>
      <w:pPr>
        <w:pStyle w:val="ArticleBody"/>
        <w:jc w:val="left"/>
      </w:pPr>
      <w:r>
        <w:rPr>
          <w:rFonts w:ascii="Times New Roman" w:hAnsi="Times New Roman" w:eastAsia="Times New Roman" w:cs="Times New Roman"/>
        </w:rPr>
        <w:t>Nabii ya kwanza ya “wakati” ambayo William Miller aliongozwa kwayo na malaika watakatifu, ilikuwa “nyakati saba” ya Mambo ya Walawi ishirini na sita. Uadventista wa Laodikia ulianza mchakato wa kubomoa kweli za msingi ambazo Bwana aliziweka pamoja kupitia huduma ya Miller kwa kukataa ugunduzi wa kwanza kabisa wa Miller. Bila shaka, kielelezo chochote cha kinabii cha msingi mtakatifu ni kielelezo cha Kristo, ambaye ni “Jiwe”, hivyo kukataliwa kwa “nyakati saba” mwaka 1863 hakutambui tu mwanzo wa mchakato wa kukataa kweli za msingi, bali kunawakilisha kukataliwa kwa Kristo. Kama ilivyokuwa katika ushuhuda wa Kristo kuhusu jiwe lililokataliwa, Petro pia anatambua kwamba mojawapo ya unabii unaohusiana na jiwe la msingi ni kwamba hatimaye lingekuwa “kichwa cha pembeni”.</w:t>
      </w:r>
    </w:p>
    <w:p>
      <w:pPr>
        <w:pStyle w:val="ArticleScripture"/>
        <w:jc w:val="left"/>
      </w:pPr>
      <w:r>
        <w:rPr>
          <w:rFonts w:ascii="Nirmala UI" w:hAnsi="Nirmala UI" w:eastAsia="Nirmala UI" w:cs="Nirmala UI"/>
        </w:rPr>
        <w:t>होइकोनादिनि</w:t>
      </w:r>
      <w:r>
        <w:rPr>
          <w:rFonts w:ascii="Times New Roman" w:hAnsi="Times New Roman" w:eastAsia="Times New Roman" w:cs="Times New Roman"/>
        </w:rPr>
        <w:t xml:space="preserve"> </w:t>
      </w:r>
      <w:r>
        <w:rPr>
          <w:rFonts w:ascii="Nirmala UI" w:hAnsi="Nirmala UI" w:eastAsia="Nirmala UI" w:cs="Nirmala UI"/>
        </w:rPr>
        <w:t>शास्त्रनाय</w:t>
      </w:r>
      <w:r>
        <w:rPr>
          <w:rFonts w:ascii="Times New Roman" w:hAnsi="Times New Roman" w:eastAsia="Times New Roman" w:cs="Times New Roman"/>
        </w:rPr>
        <w:t xml:space="preserve"> </w:t>
      </w:r>
      <w:r>
        <w:rPr>
          <w:rFonts w:ascii="Nirmala UI" w:hAnsi="Nirmala UI" w:eastAsia="Nirmala UI" w:cs="Nirmala UI"/>
        </w:rPr>
        <w:t>दंफाया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सियन्नि</w:t>
      </w:r>
      <w:r>
        <w:rPr>
          <w:rFonts w:ascii="Times New Roman" w:hAnsi="Times New Roman" w:eastAsia="Times New Roman" w:cs="Times New Roman"/>
        </w:rPr>
        <w:t xml:space="preserve"> </w:t>
      </w:r>
      <w:r>
        <w:rPr>
          <w:rFonts w:ascii="Nirmala UI" w:hAnsi="Nirmala UI" w:eastAsia="Nirmala UI" w:cs="Nirmala UI"/>
        </w:rPr>
        <w:t>गाहाय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w:t>
      </w:r>
      <w:r>
        <w:rPr>
          <w:rFonts w:ascii="Nirmala UI" w:hAnsi="Nirmala UI" w:eastAsia="Nirmala UI" w:cs="Nirmala UI"/>
        </w:rPr>
        <w:t>खुंसेन</w:t>
      </w:r>
      <w:r>
        <w:rPr>
          <w:rFonts w:ascii="Times New Roman" w:hAnsi="Times New Roman" w:eastAsia="Times New Roman" w:cs="Times New Roman"/>
        </w:rPr>
        <w:t xml:space="preserve">, </w:t>
      </w:r>
      <w:r>
        <w:rPr>
          <w:rFonts w:ascii="Nirmala UI" w:hAnsi="Nirmala UI" w:eastAsia="Nirmala UI" w:cs="Nirmala UI"/>
        </w:rPr>
        <w:t>सायखानाय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मुलियाव</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बिसवास</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लज्जित</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बेखातिर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बिसवास</w:t>
      </w:r>
      <w:r>
        <w:rPr>
          <w:rFonts w:ascii="Times New Roman" w:hAnsi="Times New Roman" w:eastAsia="Times New Roman" w:cs="Times New Roman"/>
        </w:rPr>
        <w:t xml:space="preserve"> </w:t>
      </w:r>
      <w:r>
        <w:rPr>
          <w:rFonts w:ascii="Nirmala UI" w:hAnsi="Nirmala UI" w:eastAsia="Nirmala UI" w:cs="Nirmala UI"/>
        </w:rPr>
        <w:t>खालामनायनिफ्राय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मुलियाव</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अबाध्यनिफ्राय</w:t>
      </w:r>
      <w:r>
        <w:rPr>
          <w:rFonts w:ascii="Times New Roman" w:hAnsi="Times New Roman" w:eastAsia="Times New Roman" w:cs="Times New Roman"/>
        </w:rPr>
        <w:t>, “</w:t>
      </w:r>
      <w:r>
        <w:rPr>
          <w:rFonts w:ascii="Nirmala UI" w:hAnsi="Nirmala UI" w:eastAsia="Nirmala UI" w:cs="Nirmala UI"/>
        </w:rPr>
        <w:t>गिथिनायफोरहा</w:t>
      </w:r>
      <w:r>
        <w:rPr>
          <w:rFonts w:ascii="Times New Roman" w:hAnsi="Times New Roman" w:eastAsia="Times New Roman" w:cs="Times New Roman"/>
        </w:rPr>
        <w:t xml:space="preserve"> </w:t>
      </w:r>
      <w:r>
        <w:rPr>
          <w:rFonts w:ascii="Nirmala UI" w:hAnsi="Nirmala UI" w:eastAsia="Nirmala UI" w:cs="Nirmala UI"/>
        </w:rPr>
        <w:t>नागिरना</w:t>
      </w:r>
      <w:r>
        <w:rPr>
          <w:rFonts w:ascii="Times New Roman" w:hAnsi="Times New Roman" w:eastAsia="Times New Roman" w:cs="Times New Roman"/>
        </w:rPr>
        <w:t xml:space="preserve"> </w:t>
      </w:r>
      <w:r>
        <w:rPr>
          <w:rFonts w:ascii="Nirmala UI" w:hAnsi="Nirmala UI" w:eastAsia="Nirmala UI" w:cs="Nirmala UI"/>
        </w:rPr>
        <w:t>गोजानखौ</w:t>
      </w:r>
      <w:r>
        <w:rPr>
          <w:rFonts w:ascii="Times New Roman" w:hAnsi="Times New Roman" w:eastAsia="Times New Roman" w:cs="Times New Roman"/>
        </w:rPr>
        <w:t xml:space="preserve">, </w:t>
      </w:r>
      <w:r>
        <w:rPr>
          <w:rFonts w:ascii="Nirmala UI" w:hAnsi="Nirmala UI" w:eastAsia="Nirmala UI" w:cs="Nirmala UI"/>
        </w:rPr>
        <w:t>बेनोजोंनै</w:t>
      </w:r>
      <w:r>
        <w:rPr>
          <w:rFonts w:ascii="Times New Roman" w:hAnsi="Times New Roman" w:eastAsia="Times New Roman" w:cs="Times New Roman"/>
        </w:rPr>
        <w:t xml:space="preserve"> </w:t>
      </w:r>
      <w:r>
        <w:rPr>
          <w:rFonts w:ascii="Nirmala UI" w:hAnsi="Nirmala UI" w:eastAsia="Nirmala UI" w:cs="Nirmala UI"/>
        </w:rPr>
        <w:t>गाहायनि</w:t>
      </w:r>
      <w:r>
        <w:rPr>
          <w:rFonts w:ascii="Times New Roman" w:hAnsi="Times New Roman" w:eastAsia="Times New Roman" w:cs="Times New Roman"/>
        </w:rPr>
        <w:t xml:space="preserve"> </w:t>
      </w:r>
      <w:r>
        <w:rPr>
          <w:rFonts w:ascii="Nirmala UI" w:hAnsi="Nirmala UI" w:eastAsia="Nirmala UI" w:cs="Nirmala UI"/>
        </w:rPr>
        <w:t>मथाखौ</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w:t>
      </w:r>
      <w:r>
        <w:rPr>
          <w:rFonts w:ascii="Nirmala UI" w:hAnsi="Nirmala UI" w:eastAsia="Nirmala UI" w:cs="Nirmala UI"/>
        </w:rPr>
        <w:t>खोमजिनायनि</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दुखुदिनायनि</w:t>
      </w:r>
      <w:r>
        <w:rPr>
          <w:rFonts w:ascii="Times New Roman" w:hAnsi="Times New Roman" w:eastAsia="Times New Roman" w:cs="Times New Roman"/>
        </w:rPr>
        <w:t xml:space="preserve"> </w:t>
      </w:r>
      <w:r>
        <w:rPr>
          <w:rFonts w:ascii="Nirmala UI" w:hAnsi="Nirmala UI" w:eastAsia="Nirmala UI" w:cs="Nirmala UI"/>
        </w:rPr>
        <w:t>थाल</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बाथ्रायाव</w:t>
      </w:r>
      <w:r>
        <w:rPr>
          <w:rFonts w:ascii="Times New Roman" w:hAnsi="Times New Roman" w:eastAsia="Times New Roman" w:cs="Times New Roman"/>
        </w:rPr>
        <w:t xml:space="preserve"> </w:t>
      </w:r>
      <w:r>
        <w:rPr>
          <w:rFonts w:ascii="Nirmala UI" w:hAnsi="Nirmala UI" w:eastAsia="Nirmala UI" w:cs="Nirmala UI"/>
        </w:rPr>
        <w:t>खोमजियो</w:t>
      </w:r>
      <w:r>
        <w:rPr>
          <w:rFonts w:ascii="Times New Roman" w:hAnsi="Times New Roman" w:eastAsia="Times New Roman" w:cs="Times New Roman"/>
        </w:rPr>
        <w:t xml:space="preserve">, </w:t>
      </w:r>
      <w:r>
        <w:rPr>
          <w:rFonts w:ascii="Nirmala UI" w:hAnsi="Nirmala UI" w:eastAsia="Nirmala UI" w:cs="Nirmala UI"/>
        </w:rPr>
        <w:t>अबाध्य</w:t>
      </w:r>
      <w:r>
        <w:rPr>
          <w:rFonts w:ascii="Times New Roman" w:hAnsi="Times New Roman" w:eastAsia="Times New Roman" w:cs="Times New Roman"/>
        </w:rPr>
        <w:t xml:space="preserve"> </w:t>
      </w:r>
      <w:r>
        <w:rPr>
          <w:rFonts w:ascii="Nirmala UI" w:hAnsi="Nirmala UI" w:eastAsia="Nirmala UI" w:cs="Nirmala UI"/>
        </w:rPr>
        <w:t>जानायनि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बेनिफ्रायहाय</w:t>
      </w:r>
      <w:r>
        <w:rPr>
          <w:rFonts w:ascii="Times New Roman" w:hAnsi="Times New Roman" w:eastAsia="Times New Roman" w:cs="Times New Roman"/>
        </w:rPr>
        <w:t xml:space="preserve"> </w:t>
      </w:r>
      <w:r>
        <w:rPr>
          <w:rFonts w:ascii="Nirmala UI" w:hAnsi="Nirmala UI" w:eastAsia="Nirmala UI" w:cs="Nirmala UI"/>
        </w:rPr>
        <w:t>सिहोनायाव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राजगुरुफोरनि</w:t>
      </w:r>
      <w:r>
        <w:rPr>
          <w:rFonts w:ascii="Times New Roman" w:hAnsi="Times New Roman" w:eastAsia="Times New Roman" w:cs="Times New Roman"/>
        </w:rPr>
        <w:t xml:space="preserve"> </w:t>
      </w:r>
      <w:r>
        <w:rPr>
          <w:rFonts w:ascii="Nirmala UI" w:hAnsi="Nirmala UI" w:eastAsia="Nirmala UI" w:cs="Nirmala UI"/>
        </w:rPr>
        <w:t>गोहोम</w:t>
      </w:r>
      <w:r>
        <w:rPr>
          <w:rFonts w:ascii="Times New Roman" w:hAnsi="Times New Roman" w:eastAsia="Times New Roman" w:cs="Times New Roman"/>
        </w:rPr>
        <w:t xml:space="preserve">, </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निजनि</w:t>
      </w:r>
      <w:r>
        <w:rPr>
          <w:rFonts w:ascii="Times New Roman" w:hAnsi="Times New Roman" w:eastAsia="Times New Roman" w:cs="Times New Roman"/>
        </w:rPr>
        <w:t xml:space="preserve"> </w:t>
      </w:r>
      <w:r>
        <w:rPr>
          <w:rFonts w:ascii="Nirmala UI" w:hAnsi="Nirmala UI" w:eastAsia="Nirmala UI" w:cs="Nirmala UI"/>
        </w:rPr>
        <w:t>मानुह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प्रसंसा</w:t>
      </w:r>
      <w:r>
        <w:rPr>
          <w:rFonts w:ascii="Times New Roman" w:hAnsi="Times New Roman" w:eastAsia="Times New Roman" w:cs="Times New Roman"/>
        </w:rPr>
        <w:t>-</w:t>
      </w:r>
      <w:r>
        <w:rPr>
          <w:rFonts w:ascii="Nirmala UI" w:hAnsi="Nirmala UI" w:eastAsia="Nirmala UI" w:cs="Nirmala UI"/>
        </w:rPr>
        <w:t>फोरखौ</w:t>
      </w:r>
      <w:r>
        <w:rPr>
          <w:rFonts w:ascii="Times New Roman" w:hAnsi="Times New Roman" w:eastAsia="Times New Roman" w:cs="Times New Roman"/>
        </w:rPr>
        <w:t xml:space="preserve"> </w:t>
      </w:r>
      <w:r>
        <w:rPr>
          <w:rFonts w:ascii="Nirmala UI" w:hAnsi="Nirmala UI" w:eastAsia="Nirmala UI" w:cs="Nirmala UI"/>
        </w:rPr>
        <w:t>फोसावनो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अंधारनिफ्राय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आश्चर्यजनक</w:t>
      </w:r>
      <w:r>
        <w:rPr>
          <w:rFonts w:ascii="Times New Roman" w:hAnsi="Times New Roman" w:eastAsia="Times New Roman" w:cs="Times New Roman"/>
        </w:rPr>
        <w:t xml:space="preserve"> </w:t>
      </w:r>
      <w:r>
        <w:rPr>
          <w:rFonts w:ascii="Nirmala UI" w:hAnsi="Nirmala UI" w:eastAsia="Nirmala UI" w:cs="Nirmala UI"/>
        </w:rPr>
        <w:t>जौगायाव</w:t>
      </w:r>
      <w:r>
        <w:rPr>
          <w:rFonts w:ascii="Times New Roman" w:hAnsi="Times New Roman" w:eastAsia="Times New Roman" w:cs="Times New Roman"/>
        </w:rPr>
        <w:t xml:space="preserve"> </w:t>
      </w:r>
      <w:r>
        <w:rPr>
          <w:rFonts w:ascii="Nirmala UI" w:hAnsi="Nirmala UI" w:eastAsia="Nirmala UI" w:cs="Nirmala UI"/>
        </w:rPr>
        <w:t>हांख्रायो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आगोल</w:t>
      </w:r>
      <w:r>
        <w:rPr>
          <w:rFonts w:ascii="Times New Roman" w:hAnsi="Times New Roman" w:eastAsia="Times New Roman" w:cs="Times New Roman"/>
        </w:rPr>
        <w:t xml:space="preserve"> </w:t>
      </w:r>
      <w:r>
        <w:rPr>
          <w:rFonts w:ascii="Nirmala UI" w:hAnsi="Nirmala UI" w:eastAsia="Nirmala UI" w:cs="Nirmala UI"/>
        </w:rPr>
        <w:t>मानुह</w:t>
      </w:r>
      <w:r>
        <w:rPr>
          <w:rFonts w:ascii="Times New Roman" w:hAnsi="Times New Roman" w:eastAsia="Times New Roman" w:cs="Times New Roman"/>
        </w:rPr>
        <w:t xml:space="preserve"> </w:t>
      </w:r>
      <w:r>
        <w:rPr>
          <w:rFonts w:ascii="Nirmala UI" w:hAnsi="Nirmala UI" w:eastAsia="Nirmala UI" w:cs="Nirmala UI"/>
        </w:rPr>
        <w:t>नासै</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रैखाथि</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मानुह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नासै</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1 </w:t>
      </w:r>
      <w:r>
        <w:rPr>
          <w:rFonts w:ascii="Nirmala UI" w:hAnsi="Nirmala UI" w:eastAsia="Nirmala UI" w:cs="Nirmala UI"/>
        </w:rPr>
        <w:t>पितर</w:t>
      </w:r>
      <w:r>
        <w:rPr>
          <w:rFonts w:ascii="Times New Roman" w:hAnsi="Times New Roman" w:eastAsia="Times New Roman" w:cs="Times New Roman"/>
        </w:rPr>
        <w:t xml:space="preserve"> 2:6–8</w:t>
      </w:r>
      <w:r>
        <w:rPr>
          <w:rFonts w:ascii="Nirmala UI" w:hAnsi="Nirmala UI" w:eastAsia="Nirmala UI" w:cs="Nirmala UI"/>
        </w:rPr>
        <w:t>।</w:t>
      </w:r>
    </w:p>
    <w:p>
      <w:pPr>
        <w:pStyle w:val="ArticleBody"/>
        <w:jc w:val="left"/>
      </w:pPr>
      <w:r>
        <w:rPr>
          <w:rFonts w:ascii="Times New Roman" w:hAnsi="Times New Roman" w:eastAsia="Times New Roman" w:cs="Times New Roman"/>
        </w:rPr>
        <w:t>Batu asas pada permulaan Adventisme menjadi batu penjuru utama. Yesaya sependapat dengan Kristus dan Petrus, dan Yesaya menggunakan batu asas itu untuk melambangkan suatu umat perjanjian yang sedang dilalui demi suatu umat perjanjian yang baru. Dalam kesaksiannya ia menggambarkan suatu golongan yang telah mengikat perjanjian dengan maut, dan yang telah menerima dusta. Dusta yang mereka terima ialah dusta yang Paulus kenal pasti sebagai mendatangkan kesesatan yang kuat ke atas mereka yang mengikat perjanjian dengan maut, kerana mereka tidak menerima kasih akan kebenaran.</w:t>
      </w:r>
    </w:p>
    <w:p>
      <w:pPr>
        <w:pStyle w:val="ArticleScripture"/>
        <w:jc w:val="left"/>
      </w:pPr>
      <w:r>
        <w:rPr>
          <w:rFonts w:ascii="Times New Roman" w:hAnsi="Times New Roman" w:eastAsia="Times New Roman" w:cs="Times New Roman"/>
        </w:rPr>
        <w:t>Oleh itu, dengarlah firman TUHAN, hai orang-orang yang mencemuh, yang memerintah umat ini yang di Yerusalem. Oleh sebab kamu telah berkata, Kami telah mengadakan perjanjian dengan maut, dan dengan dunia orang mati kami telah membuat persetujuan; apabila cemeti yang melanda itu lalu, ia tidak akan sampai kepada kami; kerana kami telah menjadikan dusta sebagai perlindungan kami, dan di bawah kepalsuan kami telah menyembunyikan diri kami: Sebab itu beginilah firman Tuhan ALLAH, Sesungguhnya, Aku meletakkan di Sion sebagai suatu dasar sebuah batu, batu yang teruji, batu penjuru yang indah, suatu dasar yang teguh: barangsiapa percaya tidak akan tergesa-gesa. Aku juga akan menjadikan keadilan sebagai tali pengukur, dan kebenaran sebagai batu duga: dan hujan batu akan menyapu bersih perlindungan dusta itu, dan air akan melimpahi tempat persembunyian itu. Dan perjanjianmu dengan maut akan dibatalkan, dan persetujuanmu dengan dunia orang mati tidak akan tetap berdiri; apabila cemeti yang melanda itu lalu, maka kamu akan diinjak-injak olehnya. Yesaya 28:14–18.</w:t>
      </w:r>
    </w:p>
    <w:p>
      <w:pPr>
        <w:pStyle w:val="ArticleBody"/>
        <w:jc w:val="left"/>
      </w:pPr>
      <w:r>
        <w:rPr>
          <w:rFonts w:ascii="Times New Roman" w:hAnsi="Times New Roman" w:eastAsia="Times New Roman" w:cs="Times New Roman"/>
        </w:rPr>
        <w:t>“tujuh kali” itu telah disembunyikan di bawah kepalsuan, dan apabila Tuhan berlalu daripada umat perjanjian-Nya yang dahulu lalu mengikat perjanjian dengan seratus empat puluh empat ribu orang, batu yang dahulunya merupakan batu penjuru yang ditolak itu akan naik menjadi “kepala” penjuru. Bagi mereka yang memahami kebenaran ini, hal itu berharga, dan bagi mereka yang tidak memahaminya, batu yang menjadi kepala penjuru itu bukan sahaja meremukkan mereka, tetapi secara kiasan menjadi batu nisan mereka.</w:t>
      </w:r>
    </w:p>
    <w:p>
      <w:pPr>
        <w:pStyle w:val="ArticleBody"/>
        <w:jc w:val="left"/>
      </w:pPr>
      <w:r>
        <w:rPr>
          <w:rFonts w:ascii="Times New Roman" w:hAnsi="Times New Roman" w:eastAsia="Times New Roman" w:cs="Times New Roman"/>
        </w:rPr>
        <w:t>Dalam kitab Daniel, pada pasal delapan ayat sembilan belas, kita mendapati “akhir murka” itu, yang dengan demikian menunjukkan bahawa pasti juga ada suatu “akhir pertama” bagi murka itu. Jangka masa dari tahun 677 SM hingga 22 Oktober 1844 melambangkan tempoh waktu di mana tempat kudus (dan bala tentera) akan diinjak-injak. Tetapi kepausan harus berjaya sampai murka itu digenapi, menurut Daniel pasal sebelas ayat tiga puluh enam. Jika akhir murka dalam pasal lapan melambangkan pengakhiran suatu jangka masa, maka akhir murka dalam pasal sebelas juga melambangkan pengakhiran suatu jangka masa. Inilah yang diajarkan Alkitab dengan jelas, walaupun kebenaran ini telah diselubungi dengan dusta oleh mereka yang telah mengikat perjanjian dengan maut.</w:t>
      </w:r>
    </w:p>
    <w:p>
      <w:pPr>
        <w:pStyle w:val="ArticleBody"/>
        <w:jc w:val="left"/>
      </w:pPr>
      <w:r>
        <w:rPr>
          <w:rFonts w:ascii="Times New Roman" w:hAnsi="Times New Roman" w:eastAsia="Times New Roman" w:cs="Times New Roman"/>
        </w:rPr>
        <w:t>Tamnya duainai kemurkaani yah tamwak kabana dingna hiri ningshingkhi; maramdi anina amata “seven times” haiduna khanghanbigadabani, aduga masi taona 2,520 gi mikup ama oina chenkhatpa, phangbagi makhada leiba, aduga thougalda leiba gi singlup ama gi mapung phana pumnamak phang-i. Uttar gi leingakna 723 BC-da Assyria gi ningthou-na makhoibu phangduna louthokkhrabada, “seven times” gi chenkhatpa, phangbagi makhada leiba, aduga thougalda leiba asi ahanba oina thok-i. Dakshin gi leingakna 677 BC-da adum oirabani. Jeremiah-na hairibadu masi achumbani haibasi pukhri.</w:t>
      </w:r>
    </w:p>
    <w:p>
      <w:pPr>
        <w:pStyle w:val="ArticleScripture"/>
        <w:jc w:val="left"/>
      </w:pPr>
      <w:r>
        <w:rPr>
          <w:rFonts w:ascii="Times New Roman" w:hAnsi="Times New Roman" w:eastAsia="Times New Roman" w:cs="Times New Roman"/>
        </w:rPr>
        <w:t>Israel ialah domba yang tercerai-berai; singa-singa telah menghalaunya: mula-mula raja Asyur telah memakannya; dan yang terakhir ini, Nebukadnezar, raja Babel, telah meremukkan tulang-tulangnya. Yeremia 50:17.</w:t>
      </w:r>
    </w:p>
    <w:p>
      <w:pPr>
        <w:pStyle w:val="ArticleBody"/>
        <w:jc w:val="left"/>
      </w:pPr>
      <w:r>
        <w:rPr>
          <w:rFonts w:ascii="Times New Roman" w:hAnsi="Times New Roman" w:eastAsia="Times New Roman" w:cs="Times New Roman"/>
        </w:rPr>
        <w:t>Yeremia sedang mengenal pasti satu penghakiman yang bersifat progresif. Orang Asyur menyingkirkan kerajaan utara pada tahun 723 SM, kemudian mereka membawa Manasye ke Babel, kota ibu negeri mereka, pada tahun 677 SM. Kemudian Nebukadnezar membawa Yoyakim, dengan demikian menandai permulaan tujuh puluh tahun pembuangan pada tahun 606 SM. Kemudian Nebukadnezar membawa Zedekia dan memusnahkan Yerusalem pada tahun 586 SM.</w:t>
      </w:r>
    </w:p>
    <w:p>
      <w:pPr>
        <w:pStyle w:val="ArticleBody"/>
        <w:jc w:val="left"/>
      </w:pPr>
      <w:r>
        <w:rPr>
          <w:rFonts w:ascii="Times New Roman" w:hAnsi="Times New Roman" w:eastAsia="Times New Roman" w:cs="Times New Roman"/>
        </w:rPr>
        <w:t>Mbretëria jugore ishte paralajmëruar se do të pësonte të njëjtin fat si mbretëria veriore, nëse do të vazhdonte në rebelimin e saj. Gjykimi i mbretërisë veriore do të ekzekutohej mbi mbretërinë jugore, dhe simboli i atij gjykimi ishte një litar matës që duhej të shtrihej mbi Judën. Në dëshminë e Isaias, ai ishte thjesht “litari”, por në pasazhin vijues, “litari” është “litari i Samarisë”.</w:t>
      </w:r>
    </w:p>
    <w:p>
      <w:pPr>
        <w:pStyle w:val="ArticleScripture"/>
        <w:jc w:val="left"/>
      </w:pPr>
      <w:r>
        <w:rPr>
          <w:rFonts w:ascii="Times New Roman" w:hAnsi="Times New Roman" w:eastAsia="Times New Roman" w:cs="Times New Roman"/>
        </w:rPr>
        <w:t>Maka beginilah firman Tuhan, Allah Israel: Sesungguhnya, Aku mendatangkan malapetaka yang demikian atas Yerusalem dan Yehuda, sehingga setiap orang yang mendengarnya, kedua telinganya akan berdenging. Dan Aku akan membentangkan atas Yerusalem tali ukur Samaria dan bandul rumah Ahab; dan Aku akan menghapus Yerusalem seperti seseorang menghapus sebuah pinggan, menghapusnya lalu membalikkannya tertelungkup. Dan Aku akan meninggalkan sisa milik pusaka-Ku, dan menyerahkan mereka ke dalam tangan musuh-musuh mereka; dan mereka akan menjadi mangsa dan rampasan bagi semua musuh mereka; karena mereka telah melakukan apa yang jahat di mata-Ku, dan telah membangkitkan murka-Ku, sejak hari nenek moyang mereka keluar dari Mesir sampai hari ini. 2 Raja-raja 21:12–15.</w:t>
      </w:r>
    </w:p>
    <w:p>
      <w:pPr>
        <w:pStyle w:val="ArticleBody"/>
        <w:jc w:val="left"/>
      </w:pPr>
      <w:r>
        <w:rPr>
          <w:rFonts w:ascii="Times New Roman" w:hAnsi="Times New Roman" w:eastAsia="Times New Roman" w:cs="Times New Roman"/>
        </w:rPr>
        <w:t>Terdapat dua ungkapan kenabian dalam ayat-ayat yang baru sahaja dipetik yang mesti dipertimbangkan. Yang pertama ialah telinga berdesing, dan yang satu lagi ialah batu ladung. Dalam ayat-ayat ini, tali Samaria juga dikenal pasti sebagai batu ladung bagi keluarga Ahab. Tali dan batu ladung ialah alat-alat penghakiman, yang digunakan dalam proses pembinaan. Dalam ayat-ayat tersebut, ia menunjukkan bahawa penghakiman yang sama yang telah dilaksanakan terhadap kerajaan utara, yang dilambangkan sebagai Samaria dan keluarga Ahab, akan didatangkan ke atas Yehuda dan Yerusalem. Pada waktu amaran itu dinyatakan, kerajaan utara Israel telah pun diserang, ditakluk, dimusnahkan, dan dibawa ke dalam perhambaan. Pekabaran penghakiman Tuhan menyebabkan telinga mereka yang mendengar amaran itu berdesing. Kedua-dua batu ladung dan telinga berdesing masing-masing didapati tiga kali dalam Kitab Suci. Dalam setiap keadaan, kedua-duanya melambangkan murka Allah terhadap umat-Nya sendiri.</w:t>
      </w:r>
    </w:p>
    <w:p>
      <w:pPr>
        <w:pStyle w:val="ArticleScripture"/>
        <w:jc w:val="left"/>
      </w:pPr>
      <w:r>
        <w:rPr>
          <w:rFonts w:ascii="Times New Roman" w:hAnsi="Times New Roman" w:eastAsia="Times New Roman" w:cs="Times New Roman"/>
        </w:rPr>
        <w:t>Tuhan datang lalu berdiri dan memanggil seperti pada waktu-waktu yang lain, “Samuel, Samuel.” Lalu Samuel menjawab, “Berbicaralah, sebab hamba-Mu ini mendengar.” Dan Tuhan berfirman kepada Samuel, “Sesungguhnya, Aku akan melakukan suatu perkara di Israel yang akan membuat kedua telinga setiap orang yang mendengarnya berdenging. Pada hari itu Aku akan melaksanakan terhadap Eli segala sesuatu yang telah Kusebutkan mengenai keluarganya; ketika Aku memulai, Aku juga akan mengakhirinya.” 1 Samuel 3:10–12.</w:t>
      </w:r>
    </w:p>
    <w:p>
      <w:pPr>
        <w:pStyle w:val="ArticleBody"/>
        <w:jc w:val="left"/>
      </w:pPr>
      <w:r>
        <w:rPr>
          <w:rFonts w:ascii="Times New Roman" w:hAnsi="Times New Roman" w:eastAsia="Times New Roman" w:cs="Times New Roman"/>
        </w:rPr>
        <w:t>Keebajjeeka mana Elii raagni nama isa dhaga’u hundumaa gurra akka hollatu godhudha. Yeroo Saamu’eelitti hollannaan gurraa darbuu mana Elii ni fakkeessa. Raawwii raagicha Saamu’eeliif kennamee keessaa tokko keebajjeeka mana Elii fi hundeeffamuu Saamu’eel akka raajichaatti ture. Saamu’eel ummata akka Phexros jedhetti, warra duraan uummata Waaqayyoo hin turre, amma garuu ta’an ni bakka bu’a; yeroo Saamu’eel akka raajichaatti hundeeffametti mana Elii ni barbadaa’e. Ermiyaasis murtii geggeessitoota Yerusaalem irratti labsu, isa gurri namaa akka hollatu godhu.</w:t>
      </w:r>
    </w:p>
    <w:p>
      <w:pPr>
        <w:pStyle w:val="ArticleScripture"/>
        <w:jc w:val="left"/>
      </w:pP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ចូរនិយាយថា</w:t>
      </w:r>
      <w:r>
        <w:rPr>
          <w:rFonts w:ascii="Times New Roman" w:hAnsi="Times New Roman" w:eastAsia="Times New Roman" w:cs="Times New Roman"/>
        </w:rPr>
        <w:t xml:space="preserve"> </w:t>
      </w:r>
      <w:r>
        <w:rPr>
          <w:rFonts w:ascii="Leelawadee UI" w:hAnsi="Leelawadee UI" w:eastAsia="Leelawadee UI" w:cs="Leelawadee UI"/>
        </w:rPr>
        <w:t>ចូរស្តាប់ព្រះបន្ទូលនៃព្រះយេហូវ៉ា</w:t>
      </w:r>
      <w:r>
        <w:rPr>
          <w:rFonts w:ascii="Times New Roman" w:hAnsi="Times New Roman" w:eastAsia="Times New Roman" w:cs="Times New Roman"/>
        </w:rPr>
        <w:t xml:space="preserve"> </w:t>
      </w:r>
      <w:r>
        <w:rPr>
          <w:rFonts w:ascii="Leelawadee UI" w:hAnsi="Leelawadee UI" w:eastAsia="Leelawadee UI" w:cs="Leelawadee UI"/>
        </w:rPr>
        <w:t>ឱស្តេចទាំងឡាយនៃយូដា</w:t>
      </w:r>
      <w:r>
        <w:rPr>
          <w:rFonts w:ascii="Times New Roman" w:hAnsi="Times New Roman" w:eastAsia="Times New Roman" w:cs="Times New Roman"/>
        </w:rPr>
        <w:t xml:space="preserve"> </w:t>
      </w:r>
      <w:r>
        <w:rPr>
          <w:rFonts w:ascii="Leelawadee UI" w:hAnsi="Leelawadee UI" w:eastAsia="Leelawadee UI" w:cs="Leelawadee UI"/>
        </w:rPr>
        <w:t>និងអ្នកស្នាក់នៅក្រុងយេរូសាឡឹម</w:t>
      </w:r>
      <w:r>
        <w:rPr>
          <w:rFonts w:ascii="Times New Roman" w:hAnsi="Times New Roman" w:eastAsia="Times New Roman" w:cs="Times New Roman"/>
        </w:rPr>
        <w:t xml:space="preserve">; </w:t>
      </w:r>
      <w:r>
        <w:rPr>
          <w:rFonts w:ascii="Leelawadee UI" w:hAnsi="Leelawadee UI" w:eastAsia="Leelawadee UI" w:cs="Leelawadee UI"/>
        </w:rPr>
        <w:t>ព្រះយេហូវ៉ានៃពលបរិវារ</w:t>
      </w:r>
      <w:r>
        <w:rPr>
          <w:rFonts w:ascii="Times New Roman" w:hAnsi="Times New Roman" w:eastAsia="Times New Roman" w:cs="Times New Roman"/>
        </w:rPr>
        <w:t xml:space="preserve"> </w:t>
      </w:r>
      <w:r>
        <w:rPr>
          <w:rFonts w:ascii="Leelawadee UI" w:hAnsi="Leelawadee UI" w:eastAsia="Leelawadee UI" w:cs="Leelawadee UI"/>
        </w:rPr>
        <w:t>ជាព្រះនៃអ៊ីស្រាអែល</w:t>
      </w:r>
      <w:r>
        <w:rPr>
          <w:rFonts w:ascii="Times New Roman" w:hAnsi="Times New Roman" w:eastAsia="Times New Roman" w:cs="Times New Roman"/>
        </w:rPr>
        <w:t xml:space="preserve"> </w:t>
      </w:r>
      <w:r>
        <w:rPr>
          <w:rFonts w:ascii="Leelawadee UI" w:hAnsi="Leelawadee UI" w:eastAsia="Leelawadee UI" w:cs="Leelawadee UI"/>
        </w:rPr>
        <w:t>ទ្រង់មានព្រះបន្ទូលដូច្នេះថា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យើងនឹងនាំអំពើអាក្រក់មកលើទីកន្លែងនេះ</w:t>
      </w:r>
      <w:r>
        <w:rPr>
          <w:rFonts w:ascii="Times New Roman" w:hAnsi="Times New Roman" w:eastAsia="Times New Roman" w:cs="Times New Roman"/>
        </w:rPr>
        <w:t xml:space="preserve"> </w:t>
      </w:r>
      <w:r>
        <w:rPr>
          <w:rFonts w:ascii="Leelawadee UI" w:hAnsi="Leelawadee UI" w:eastAsia="Leelawadee UI" w:cs="Leelawadee UI"/>
        </w:rPr>
        <w:t>ដល់ថ្នាក់អ្នកណាក៏ដោយដែលឮ</w:t>
      </w:r>
      <w:r>
        <w:rPr>
          <w:rFonts w:ascii="Times New Roman" w:hAnsi="Times New Roman" w:eastAsia="Times New Roman" w:cs="Times New Roman"/>
        </w:rPr>
        <w:t xml:space="preserve"> </w:t>
      </w:r>
      <w:r>
        <w:rPr>
          <w:rFonts w:ascii="Leelawadee UI" w:hAnsi="Leelawadee UI" w:eastAsia="Leelawadee UI" w:cs="Leelawadee UI"/>
        </w:rPr>
        <w:t>នោះត្រចៀករបស់គេនឹងលាន់ឮរំពឹង។</w:t>
      </w:r>
      <w:r>
        <w:rPr>
          <w:rFonts w:ascii="Times New Roman" w:hAnsi="Times New Roman" w:eastAsia="Times New Roman" w:cs="Times New Roman"/>
        </w:rPr>
        <w:t xml:space="preserve"> </w:t>
      </w:r>
      <w:r>
        <w:rPr>
          <w:rFonts w:ascii="Leelawadee UI" w:hAnsi="Leelawadee UI" w:eastAsia="Leelawadee UI" w:cs="Leelawadee UI"/>
        </w:rPr>
        <w:t>យេរេមា</w:t>
      </w:r>
      <w:r>
        <w:rPr>
          <w:rFonts w:ascii="Times New Roman" w:hAnsi="Times New Roman" w:eastAsia="Times New Roman" w:cs="Times New Roman"/>
        </w:rPr>
        <w:t xml:space="preserve"> 19:3</w:t>
      </w:r>
    </w:p>
    <w:p>
      <w:pPr>
        <w:pStyle w:val="ArticleBody"/>
        <w:jc w:val="left"/>
      </w:pPr>
      <w:r>
        <w:rPr>
          <w:rFonts w:ascii="Times New Roman" w:hAnsi="Times New Roman" w:eastAsia="Times New Roman" w:cs="Times New Roman"/>
        </w:rPr>
        <w:t>Litšhupetšo tše tharo ka moka tša ditsebe tše di lla di amahanngwa le setšhaba sa kgwerano seo se dirilego kgwerano le lehu gomme ka morago sa hlaselwa, sa fentšhwa, sa fedišwa, sa gašana, gomme sa išwa bokgobeng. Ditsebe tše di lla ke leswao la kahlolo ya pefelo ya Modimo, gomme leswao la kahlolo yeo le emetšwe gape ka makga a mararo ka Mangwalong, ka lentšu “plummet.” Re šetše re le badile go Dikgoši tša Bobedi le go Jesaya, eupša go sa na le tšhupetšo e nngwe ya “plummet” ka Mangwalong, gomme ka go tšhupetšo yeo lentšu plummet le fetoletšwe go tšwa lentšung le lengwe la Seheberu, go fapana le ditšhupetšo tše pedi tša pele.</w:t>
      </w:r>
    </w:p>
    <w:p>
      <w:pPr>
        <w:pStyle w:val="ArticleScripture"/>
        <w:jc w:val="left"/>
      </w:pPr>
      <w:r>
        <w:rPr>
          <w:rFonts w:ascii="Times New Roman" w:hAnsi="Times New Roman" w:eastAsia="Times New Roman" w:cs="Times New Roman"/>
        </w:rPr>
        <w:t>Bahawa malaikat yang bercakap-cakap dengan aku datang lagi, lalu membangunkan aku seperti seorang yang dibangunkan daripada tidurnya, lalu berkata kepadaku, “Apakah yang engkau lihat?” Maka aku berkata, “Aku telah melihat, dan sesungguhnya, sebuah kaki pelita yang seluruhnya daripada emas, dengan sebuah mangkuk di atasnya, serta tujuh pelitanya padanya, dan tujuh saluran bagi ketujuh pelita yang ada di atasnya itu; dan dua pohon zaitun di sisinya, satu di sebelah kanan mangkuk itu dan satu lagi di sebelah kirinya.” Lalu aku menjawab dan berkata kepada malaikat yang bercakap-cakap dengan aku itu, “Apakah semua ini, tuanku?” Maka malaikat yang bercakap-cakap dengan aku itu menjawab dan berkata kepadaku, “Tidakkah engkau mengetahui apakah semua ini?” Dan aku berkata, “Tidak, tuanku.” Lalu ia menjawab dan berkata kepadaku, “Inilah firman Tuhan kepada Zerubabel, demikian: Bukan dengan keperkasaan, bukan pula dengan kekuatan, melainkan dengan Roh-Ku, firman Tuhan semesta alam. Siapakah engkau, hai gunung yang besar? Di hadapan Zerubabel engkau akan menjadi tanah rata; dan ia akan mengeluarkan batu penjuru itu dengan sorak-sorai, sambil berseru: Kasih karunia, kasih karunia atasnya!” Lagi firman Tuhan datang kepadaku, demikian: “Tangan Zerubabel telah meletakkan dasar rumah ini; tangannya juga akan menyelesaikannya; maka engkau akan mengetahui bahawa Tuhan semesta alam telah mengutus aku kepadamu. Kerana siapakah yang menghina hari perkara-perkara kecil? Sebab mereka akan bersukacita dan akan melihat tali unting di tangan Zerubabel bersama ketujuh itu; semuanya itu ialah mata Tuhan, yang menjelajah ke seluruh bumi.” Kemudian aku menjawab dan berkata kepadanya, “Apakah dua pohon zaitun ini di sebelah kanan kaki pelita itu dan di sebelah kirinya?” Dan aku menjawab lagi serta berkata kepadanya, “Apakah dua cabang pohon zaitun ini yang melalui dua saluran emas itu mengalirkan minyak emas daripada dirinya sendiri?” Maka ia menjawab aku dan berkata, “Tidakkah engkau mengetahui apakah semua ini?” Dan aku berkata, “Tidak, tuanku.” Lalu katanya, “Inilah kedua-dua orang yang diurapi, yang berdiri di sisi Tuhan seluruh bumi.” Zakharia 4:1–14.</w:t>
      </w:r>
    </w:p>
    <w:p>
      <w:pPr>
        <w:pStyle w:val="ArticleBody"/>
        <w:jc w:val="left"/>
      </w:pPr>
      <w:r>
        <w:rPr>
          <w:rFonts w:ascii="Times New Roman" w:hAnsi="Times New Roman" w:eastAsia="Times New Roman" w:cs="Times New Roman"/>
        </w:rPr>
        <w:t>Јазиот преведен како „висулец“ во Втора книга за царевите и Исаија дваесет и осум е „mishqâl“, и значи тежина. Во двата пасуса на линијата требаше да ѝ се додаде тежина (висулец). Тежината е она што се користи на вага и претставува суд. Линијата со тежина е линија на суд. Линијата на Самарија беше периодот од „седум времиња“, или две илјади петстотини и дваесет години. Истиот временски период требаше да биде ставен врз јужното царство, како што беше донесен врз северното царство. Завршетокот на која било од двете линии е означен во книгата на Даниел или како крај на последниот гнев или како крај на првиот гнев. Периодот е претставен во Даниел како времето кога Ерусалим и војската требаше да бидат погазувани од двете опустошувачки сили, паганството и папството. И двата периода ќе започнеа кога нивните соодветни престолнини ќе беа нападнати, освоени, разурнати, а нивните жители одведени во ропство.</w:t>
      </w:r>
    </w:p>
    <w:p>
      <w:pPr>
        <w:pStyle w:val="ArticleBody"/>
        <w:jc w:val="left"/>
      </w:pPr>
      <w:r>
        <w:rPr>
          <w:rFonts w:ascii="Times New Roman" w:hAnsi="Times New Roman" w:eastAsia="Times New Roman" w:cs="Times New Roman"/>
        </w:rPr>
        <w:t>Akan tetapi, dalam kitab Zakharia, kata “umb bob” terbentuk daripada gabungan dua perkataan Ibrani. Perkataan yang pertama ialah “‘eben”, dan ertinya “membangun”, dan juga bererti “sebuah batu”. Ertinya ialah “batu binaan”. Perkataan itu kemudian digabungkan dengan perkataan Ibrani “bedîyl”, yang bererti “membahagi atau memisahkan”. “Umb bob” dalam kitab Zakharia ialah batu yang menjadi dasar tempat orang membangun, dan yang menghasilkan suatu pemisahan serta perpecahan. Pemisahan itu berlaku antara dua golongan penyembah; satu golongan yang bersukacita apabila mereka melihat batu itu, menjadikannya batu penjuru mereka, lalu membangun di atasnya, dan golongan yang satu lagi yang tidak melihatnya, menolaknya, tersandung padanya, dan akhirnya diremukkan olehnya, yang kemudian menjadi batu nisan atau batu kubur mereka. Satu golongan mengadakan perjanjian dengan hidup, golongan yang satu lagi perjanjian dengan maut.</w:t>
      </w:r>
    </w:p>
    <w:p>
      <w:pPr>
        <w:pStyle w:val="ArticleBody"/>
        <w:jc w:val="left"/>
      </w:pPr>
      <w:r>
        <w:rPr>
          <w:rFonts w:ascii="Times New Roman" w:hAnsi="Times New Roman" w:eastAsia="Times New Roman" w:cs="Times New Roman"/>
        </w:rPr>
        <w:t>Ndzi matimu ya Sakariya, Israyele wa khale a a ha ku huma eBabilona leswaku a tlhela a aka no pfuxeta Yerusalema. Zerubabele u vekiwile tanihi mufumi, naswona a a fanele ku lawula ntirho. U veke ribye ra masungulo eku sunguleni ka ntirho, naswona u veke ribye ra nhlokomhaka, kumbe ribye ra makumu, emakumu ka ntirho. Zerubabele swi vula “vana va Babilona”. Vuprofeta hinkwabyo byi kombisa masiku yo hetelela, naswona vito ra Zerubabele i xikombiso xa matimu ya rungula ra ntsumi yo sungula loko ribye ra masungulo ri vekiwa, naswona vito rakwe i xikombiso na xona xa rungula ra ntsumi ya vunharhu, loko ribye ra nhlokomhaka, kumbe ribye ra makumu, ri vekiwa. Ku vonakaliswa ka ku chuluriwa ka Moya lowo Kwetsima eka ku fambafamba ko sungula kumbe eka ku fambafamba ka vumbirhi ku fanekiseriwa hi vito ra Zerubabele (vana va Babilona), hikuva ri yimela rungula leri vitanaka leswaku rixaka ro hetelela ra “vana va Babilona” ri huma. Ri yimela rungula ra Nkololoko wa exikarhi ka vusiku lowu humeleleke eka ku fambafamba ko sungula, naswona lowu nga kusuhi no humelela eka ku fambafamba ko hetelela ka Nkololoko lowukulu.</w:t>
      </w:r>
    </w:p>
    <w:p>
      <w:pPr>
        <w:pStyle w:val="ArticleBody"/>
        <w:jc w:val="left"/>
      </w:pPr>
      <w:r>
        <w:rPr>
          <w:rFonts w:ascii="Myanmar Text" w:hAnsi="Myanmar Text" w:eastAsia="Myanmar Text" w:cs="Myanmar Text"/>
        </w:rPr>
        <w:t>မြင့်မြတ်သောပိုက်နှစ်ချောင်းက</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လောင်းထည့်ရာ</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ကိုယ်စားပြုသော</w:t>
      </w:r>
      <w:r>
        <w:rPr>
          <w:rFonts w:ascii="Times New Roman" w:hAnsi="Times New Roman" w:eastAsia="Times New Roman" w:cs="Times New Roman"/>
        </w:rPr>
        <w:t xml:space="preserve"> </w:t>
      </w:r>
      <w:r>
        <w:rPr>
          <w:rFonts w:ascii="Myanmar Text" w:hAnsi="Myanmar Text" w:eastAsia="Myanmar Text" w:cs="Myanmar Text"/>
        </w:rPr>
        <w:t>သံလွင်ပင်နှစ်ပင်၊</w:t>
      </w:r>
      <w:r>
        <w:rPr>
          <w:rFonts w:ascii="Times New Roman" w:hAnsi="Times New Roman" w:eastAsia="Times New Roman" w:cs="Times New Roman"/>
        </w:rPr>
        <w:t xml:space="preserve"> </w:t>
      </w:r>
      <w:r>
        <w:rPr>
          <w:rFonts w:ascii="Myanmar Text" w:hAnsi="Myanmar Text" w:eastAsia="Myanmar Text" w:cs="Myanmar Text"/>
        </w:rPr>
        <w:t>သံလွင်ကိုင်းနှစ်ကိုင်းနှင့်</w:t>
      </w:r>
      <w:r>
        <w:rPr>
          <w:rFonts w:ascii="Times New Roman" w:hAnsi="Times New Roman" w:eastAsia="Times New Roman" w:cs="Times New Roman"/>
        </w:rPr>
        <w:t xml:space="preserve"> </w:t>
      </w:r>
      <w:r>
        <w:rPr>
          <w:rFonts w:ascii="Myanmar Text" w:hAnsi="Myanmar Text" w:eastAsia="Myanmar Text" w:cs="Myanmar Text"/>
        </w:rPr>
        <w:t>ဘိသိက်ခံနှစ်ပါး။</w:t>
      </w:r>
    </w:p>
    <w:p>
      <w:pPr>
        <w:pStyle w:val="ArticleScripture"/>
        <w:jc w:val="left"/>
      </w:pPr>
      <w:r>
        <w:rPr>
          <w:rFonts w:ascii="Times New Roman" w:hAnsi="Times New Roman" w:eastAsia="Times New Roman" w:cs="Times New Roman"/>
        </w:rPr>
        <w:t>“Bao ba tloditsweng ba ba emeng fa thoko ga Morena wa lefatshe lotlhe, ba na le boemo jo bo kileng jwa newa Satane jaaka kerubime e e khupetsang. Ka dibopiwa tse di boitshepo tse di dikologileng setulo sa bogosi sa gagwe, Morena o tsweletsa puisano e e sa kgaotseng le baagi ba lefatshe. Leokwane la gouta le emela Baebele e ka yone Modimo a bolokang dipone tsa badumedi di tletse, gore di se ka tsa pekenya tsa ba tsa tima. Fa e ka bo e ne e se ka ntlha ya gore lookwane lo lo boitshepo lo tshololwa go tswa legodimong mo melaetseng ya Moya wa Modimo, didirisiwa tsa bosula di ka bo di laola batho gotlhelele.”</w:t>
      </w:r>
    </w:p>
    <w:p>
      <w:pPr>
        <w:pStyle w:val="ArticleScripture"/>
        <w:jc w:val="left"/>
      </w:pPr>
      <w:r>
        <w:rPr>
          <w:rFonts w:ascii="Times New Roman" w:hAnsi="Times New Roman" w:eastAsia="Times New Roman" w:cs="Times New Roman"/>
        </w:rPr>
        <w:t>“Molimo o setlhogo fa re sa amogele dipuisano tse a re romelang tsone. Ka jalo re gana leokwane la gouta le a neng a tla le tshololela mo meoyeng ya rona gore le fetisediwe go ba ba leng mo lefifing. Fa pitso e tla, ‘Bonang, monyadi o a tla; tswang lo ye go mo kgatlhantsha,’ ba ba sa amogelang leokwane le le boitshepo, ba ba sa tlhokomelang Baebele ya ga Keresete mo dipelong tsa bone, ba tla fitlhela, jaaka makgarebe a a dieleele, gore ga ba a iketleeletsa go kgatlhantsha Morena wa bone. Ga ba na, mo go bone ka bobone, maatla a go bona leokwane, mme matshelo a bone a senyegile. Mme fa Mowa o o Boitshepo wa Modimo o kopiwa, fa re rapela, jaaka Moshe a ne a dira, ‘Mpontshe kgalalelo ya gago,’ lorato lwa Modimo lo tla tshololelwa mo dipelong tsa rona. Ka diphaephe tsa gouta, leokwane la gouta le tla fetisediwa kwa go rona. ‘Ga se ka thata, le fa e le ka maatla, mme ke ka Mowa wa me, go bua Jehofa wa Mabotho.’ Ka go amogela marang a a phatsimang a Letsatsi la Tshiamo, bana ba Modimo ba phatsima jaaka dipone mo lefatsheng.” Review and Herald, July 20, 1897.</w:t>
      </w:r>
    </w:p>
    <w:p>
      <w:pPr>
        <w:pStyle w:val="ArticleBody"/>
        <w:jc w:val="left"/>
      </w:pPr>
      <w:r>
        <w:rPr>
          <w:rFonts w:ascii="Times New Roman" w:hAnsi="Times New Roman" w:eastAsia="Times New Roman" w:cs="Times New Roman"/>
        </w:rPr>
        <w:t>Sakaria telah berulang kali bertanya siapakah dua pohon zaitun itu, dengan demikian menarik perhatian kepada berbagai lambang dari kedua saksi itu. Saudari White mengidentifikasi dua pohon zaitun itu sebagai dua saksi dalam Wahyu sebelas.</w:t>
      </w:r>
    </w:p>
    <w:p>
      <w:pPr>
        <w:pStyle w:val="ArticleScripture"/>
        <w:jc w:val="left"/>
      </w:pPr>
      <w:r>
        <w:rPr>
          <w:rFonts w:ascii="Times New Roman" w:hAnsi="Times New Roman" w:eastAsia="Times New Roman" w:cs="Times New Roman"/>
        </w:rPr>
        <w:t>“Kenaan dui saksi nabi ngandikake maneh: ‘Iki loro wit zaitun lan loro kaki dian kang ngadeg ana ing ngarsané Gusti Allahing bumi.’ ‘Pangandika Paduka,’ pangandikanipun juru mazmur, ‘iku pelita tumrap sikilku lan pepadhang tumrap dalanku.’ Wahyu 11:4; Jabur 119:105. Dui saksi mau nggambarake Kitab Suci Prajanjian Lawas lan Prajanjian Anyar.” The Great Controversy, 267.</w:t>
      </w:r>
    </w:p>
    <w:p>
      <w:pPr>
        <w:pStyle w:val="ArticleBody"/>
        <w:jc w:val="left"/>
      </w:pPr>
      <w:r>
        <w:rPr>
          <w:rFonts w:ascii="Times New Roman" w:hAnsi="Times New Roman" w:eastAsia="Times New Roman" w:cs="Times New Roman"/>
        </w:rPr>
        <w:t>Zechariah telah ingin memahami siapakah kedua saksi ini. Dalam Revolusi Perancis mereka ialah Perjanjian Lama dan Perjanjian Baru. Mereka digambarkan sebagai Musa dan Elia yang dibunuh di jalan oleh binatang yang naik dari jurang maut. Mereka melambangkan pelayanan Future for America yang telah dibunuh pada 18 Julai 2020.</w:t>
      </w:r>
    </w:p>
    <w:p>
      <w:pPr>
        <w:pStyle w:val="ArticleBody"/>
        <w:jc w:val="left"/>
      </w:pPr>
      <w:r>
        <w:rPr>
          <w:rFonts w:ascii="Nirmala UI" w:hAnsi="Nirmala UI" w:eastAsia="Nirmala UI" w:cs="Nirmala UI"/>
        </w:rPr>
        <w:t>शुरुआत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जकर्याह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जरुब्बाबेल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Firman Tuhan yang diberikan kepada Zerubabel ialah, “Bukan dengan keperkasaan, bukan pula dengan kekuatan, melainkan dengan Roh-Ku. Siapakah engkau, hai gunung yang besar? Di hadapan Zerubabel engkau akan menjadi tanah rata; dan ia akan mengeluarkan batu penjuru itu dengan sorak-sorai, sambil berseru, Kasih karunia, kasih karunia atasnya.”</w:t>
      </w:r>
    </w:p>
    <w:p>
      <w:pPr>
        <w:pStyle w:val="ArticleBody"/>
        <w:jc w:val="left"/>
      </w:pPr>
      <w:r>
        <w:rPr>
          <w:rFonts w:ascii="Times New Roman" w:hAnsi="Times New Roman" w:eastAsia="Times New Roman" w:cs="Times New Roman"/>
        </w:rPr>
        <w:t>Zerubabel, gabenor itu, melambangkan utusan yang mempersiapkan jalan dalam sejarah permulaan dan penutupan, yang di hadapannya gunung menjadi seperti tanah rata. Yesaya mengenal pasti pekerjaan utusan yang sama dan berkata bahawa dia akan “meluruskan di padang gurun suatu jalan raya bagi Allah kita,” dan bahawa dia akan menyebabkan “setiap lembah” “ditinggikan.” Dia juga akan menyebabkan “setiap gunung dan bukit” “direndahkan,” kerana “gunung besar” di hadapan gabenor Zerubabel “akan menjadi tanah rata.”</w:t>
      </w:r>
    </w:p>
    <w:p>
      <w:pPr>
        <w:pStyle w:val="ArticleBody"/>
        <w:jc w:val="left"/>
      </w:pPr>
      <w:r>
        <w:rPr>
          <w:rFonts w:ascii="Times New Roman" w:hAnsi="Times New Roman" w:eastAsia="Times New Roman" w:cs="Times New Roman"/>
        </w:rPr>
        <w:t>Mesej William Miller tentang “tujuh masa” telah diberikan kepadanya oleh Tuhan. Zerubabel melambangkan William Miller yang meletakkan batu asas “tujuh masa,” dan dia juga melambangkan tangan yang “akan mengeluarkan batu puncak” dengan “sorakan, seruan, Kasih Karunia, Kasih Karunia atasnya.” Penggandaan kata “Kasih Karunia” melambangkan mesej Seruan Tengah Malam. “Sorakan” melambangkan mesej yang sama seperti yang dilambangkan oleh seruan nyaring malaikat ketiga, dan “seruan” melambangkan Seruan Tengah Malam. Seluruh petikan itu adalah tentang mesej Seruan Tengah Malam. Ia adalah tentang anak-anak dara yang tertidur dalam kematian di jalan-jalan Wahyu sebelas, yang melalui lembah tulang-tulang kering yang mati. Ia adalah tentang kebangkitan tulang-tulang kering yang mati, dan ia adalah tentang peranan nubuatan “batu duga” yang dilihat oleh anak-anak dara yang bijaksana sehingga menyebabkan mereka bersukacita.</w:t>
      </w:r>
    </w:p>
    <w:p>
      <w:pPr>
        <w:pStyle w:val="ArticleBody"/>
        <w:jc w:val="left"/>
      </w:pPr>
      <w:r>
        <w:rPr>
          <w:rFonts w:ascii="Times New Roman" w:hAnsi="Times New Roman" w:eastAsia="Times New Roman" w:cs="Times New Roman"/>
        </w:rPr>
        <w:t>Moo Zakaria ati, “hape na.” Hape na, humaanisha kuweka kifungu kinachofuata juu ya kifungu kilichotangulia. Hii ni rejeo kwa kanuni ya kinabii ya mstari juu ya mstari. Mazungumzo yaliyotangulia yalitambua kuamshwa usiku wa manane kwa watu wa Mungu, wanaowakilishwa na Zakaria. Mazungumzo yaliyotangulia yalisisitiza mara kwa mara shauku ya watu wa Mungu katika siku za mwisho ya kuelewa wale mashahidi wawili wa Ufunuo kumi na moja ni nani. Mazungumzo yaliyotangulia yalitambua kwamba Zerubabeli anawakilisha kazi katika mwamko wa kwanza na pia kazi katika mwamko wa mwisho. Yalitambua kwamba “mikono” ya Zerubabeli (ikiwakilisha nguvu za kibinadamu), ilipaswa kuweka jiwe la msingi na jiwe la kilele, lakini kazi ya mikono yake ilitimizwa na inatimizwa tu kwa njia ya nguvu ya kimungu ya Mfariji.</w:t>
      </w:r>
    </w:p>
    <w:p>
      <w:pPr>
        <w:pStyle w:val="ArticleBody"/>
        <w:jc w:val="left"/>
      </w:pPr>
      <w:r>
        <w:rPr>
          <w:rFonts w:ascii="Times New Roman" w:hAnsi="Times New Roman" w:eastAsia="Times New Roman" w:cs="Times New Roman"/>
        </w:rPr>
        <w:t>Perbualan yang menyusul, yang harus diletakkan di atas perbualan sebelumnya, mengenal pasti bahawa apabila “tangan Zerubabel” sedang menyelesaikan pekerjaan itu, maka umat Tuhan pada akhir zaman akan “mengetahui bahawa Tuhan” telah “mengutus” Gabriel, pembawa terang itu, “kepada” umat Tuhan. Mereka akan mengenali proses komunikasi syurgawi yang merupakan kebenaran pertama yang dilambangkan dalam hubungannya dengan Wahyu Yesus Kristus. Menolak pekabaran dan pekerjaan Zerubabel bererti menolak pekabaran yang datang daripada Gabriel, yang diterimanya daripada Kristus, yang pada gilirannya menerima-Nya daripada Bapa.</w:t>
      </w:r>
    </w:p>
    <w:p>
      <w:pPr>
        <w:pStyle w:val="ArticleBody"/>
        <w:jc w:val="left"/>
      </w:pPr>
      <w:r>
        <w:rPr>
          <w:rFonts w:ascii="Times New Roman" w:hAnsi="Times New Roman" w:eastAsia="Times New Roman" w:cs="Times New Roman"/>
        </w:rPr>
        <w:t>Kemudian ditakrifkan dua golongan penyembah itu. Satu golongan “telah menghina hari perkara-perkara yang kecil?” Golongan yang satu lagi “akan bersukacita” apabila mereka “melihat batu duga di tangan Zerubabel bersama-sama tujuh itu” yang “adalah mata TUHAN, yang menjelajah ke sana sini di seluruh bumi.” Mereka yang menghina hari perkara-perkara yang kecil sedang menghina pekerjaan sejarah William Miller sebagaimana diwakili oleh “batu duga” itu. Mereka dipertentangkan dengan orang-orang yang bersukacita apabila mereka melihat “batu duga” itu di tangan Zerubabel. “Batu duga” dalam kitab Zakharia ialah batu binaan yang menghasilkan suatu pemisahan. Satu golongan menghina “batu duga” itu, kerana mereka enggan melihat bahawa “batu duga” di tangan Zerubabel itu adalah bersama-sama “tujuh itu.” Perkataan “tujuh” yang bersama dengan “batu duga” itu ialah perkataan Ibrani yang sama yang diterjemahkan sebagai “tujuh kali” dalam Imamat dua puluh enam.</w:t>
      </w:r>
    </w:p>
    <w:p>
      <w:pPr>
        <w:pStyle w:val="ArticleBody"/>
        <w:jc w:val="left"/>
      </w:pPr>
      <w:r>
        <w:rPr>
          <w:rFonts w:ascii="Times New Roman" w:hAnsi="Times New Roman" w:eastAsia="Times New Roman" w:cs="Times New Roman"/>
        </w:rPr>
        <w:t>Mbew Zechariah anotayea khawpui hnuah a tho leh tikah, amah chuan hriat loh chu hriat leh a ni a, hriatlohna chu witness pahnihte chu tu nge an nih tih a hre lo. Chuvangin amah chuan vawi hnihnaah, “Heng olive thing pahnihte hi eng nge an nih?” tihin a zawt leh a. Tin, a sawi chu a sawi leh a, “Heng olive branch pahnihte hi eng nge an nih, chutih laiin tube rangkachak pahnih hmangin rangkachak hriak chu anmahni atangin an chhuak?” tihin a zawt leh a. Tichuan Gabriel chuan zawhna chu a ti langsar lehzual a, Zechariah zawhna chu zawhna dang hmangin a chhang leh a, “Hengte hi eng an nih tih i hre lo maw?” tiin; chu chhannaah chuan Zechariah chuan, “Ka hre lo,” a ti a. Chu hnuaiah Gabriel chuan, “Hengte hi hriak thihte pahnih an ni, lei zawng zawng Lalpa hmaah dingte,” a ti.</w:t>
      </w:r>
    </w:p>
    <w:p>
      <w:pPr>
        <w:pStyle w:val="ArticleBody"/>
        <w:jc w:val="left"/>
      </w:pPr>
      <w:r>
        <w:rPr>
          <w:rFonts w:ascii="Times New Roman" w:hAnsi="Times New Roman" w:eastAsia="Times New Roman" w:cs="Times New Roman"/>
        </w:rPr>
        <w:t>Kgaolo e simolola ka Gabariele a tsosa Sekaria mo borokong jwa gagwe. Ka jalo Sekaria o emela makgarebe a a tsosiwang gare ga bosigo, mme fa makgarebe ao a tsosiwa, a emelwa jaaka a rwesitswe morwalo o mogolo thata wa go tlhaloganya se basupi ba babedi ba Tshenolo kgaolo ya bolesome le bongwe ba se emelang. Dibuka tsotlhe tsa Baebele di kopana tsotlhe mme di khutlela kwa bokhutlong mo bukeng ya Tshenolo. Baporofeti botlhe ba dumalana mongwe le mongwe le yo mongwe, gonne Modimo ga se mothati wa tlhakatlhakano. Baporofeti botlhe ba bua thata ka malatsi a bofelo go feta malatsi ao ba neng ba tshela mo go one.</w:t>
      </w:r>
    </w:p>
    <w:p>
      <w:pPr>
        <w:pStyle w:val="ArticleBody"/>
        <w:jc w:val="left"/>
      </w:pPr>
      <w:r>
        <w:rPr>
          <w:rFonts w:ascii="Times New Roman" w:hAnsi="Times New Roman" w:eastAsia="Times New Roman" w:cs="Times New Roman"/>
        </w:rPr>
        <w:t>Gabriel menggunakan prinsip Alfa dan Omega dengan menyatakan bahawa Zerubabel akan memulakan dan menyelesaikan pekerjaan membina bait suci itu. Pekerjaannya digambarkan sebagai meletakkan batu asas pada permulaan dan batu penjuru pada pengakhiran. Zerubabel melambangkan gerakan Millerit dan gerakan Future for America.</w:t>
      </w:r>
    </w:p>
    <w:p>
      <w:pPr>
        <w:pStyle w:val="ArticleBody"/>
        <w:jc w:val="left"/>
      </w:pPr>
      <w:r>
        <w:rPr>
          <w:rFonts w:ascii="Times New Roman" w:hAnsi="Times New Roman" w:eastAsia="Times New Roman" w:cs="Times New Roman"/>
        </w:rPr>
        <w:t>Apa yang dipersembahkan oleh Gabriel kepada Zakharia ialah bahawa pekerjaan Seruan Tengah Malam, sama ada dalam pergerakan malaikat pertama mahupun dalam pergerakan malaikat ketiga, dilaksanakan dengan kuasa Roh Kudus.</w:t>
      </w:r>
    </w:p>
    <w:p>
      <w:pPr>
        <w:pStyle w:val="ArticleBody"/>
        <w:jc w:val="left"/>
      </w:pPr>
      <w:r>
        <w:rPr>
          <w:rFonts w:ascii="Times New Roman" w:hAnsi="Times New Roman" w:eastAsia="Times New Roman" w:cs="Times New Roman"/>
        </w:rPr>
        <w:t>Semasa mereka terbaring mati di jalan, dunia bersukacita atas mayat mereka, tetapi apabila mereka bangkit, dunia pun menjadi takut dan mereka bersukacita. Mereka bersukacita kerana mereka melihat batu timah daripada “tujuh kali” itu di tangan Zerubabel. Batu timah itu ialah batu yang menjadi dasar binaan, yang memisahkan orang bijaksana daripada orang bodoh.</w:t>
      </w:r>
    </w:p>
    <w:p>
      <w:pPr>
        <w:pStyle w:val="ArticleBody"/>
        <w:jc w:val="left"/>
      </w:pPr>
      <w:r>
        <w:rPr>
          <w:rFonts w:ascii="Times New Roman" w:hAnsi="Times New Roman" w:eastAsia="Times New Roman" w:cs="Times New Roman"/>
        </w:rPr>
        <w:t>Sakaraya ti ko re, “mi firii nson,” na ɔka se, “saa nson no.” Wohu mfe mpem abien ahanum ne aduonu a wɔde petee wɔn no nyinaa. Asɛmfua a wɔakyerɛ ase sɛ “nson” no ara na wɔakyerɛ ase sɛ “mmere nson” wɔ Lewifo nhoma ti aduonu nsia mu, na egyina hɔ ma “nnome no” a nkoasom de baa Israel ahenni atifi ne anafo nyinaa so. Daniel nhoma no da “saa nson no” adi sɛ abufuw a edi kan ne de etwa to.</w:t>
      </w:r>
    </w:p>
    <w:p>
      <w:pPr>
        <w:pStyle w:val="ArticleBody"/>
        <w:jc w:val="left"/>
      </w:pPr>
      <w:r>
        <w:rPr>
          <w:rFonts w:ascii="Times New Roman" w:hAnsi="Times New Roman" w:eastAsia="Times New Roman" w:cs="Times New Roman"/>
        </w:rPr>
        <w:t>Batu asas yang diletakkan oleh William Miller ialah “tujuh kali,” dan batu penjuru yang diletakkan oleh pergerakan malaikat yang ketiga ialah “tujuh kali.” Mereka yang bersukacita apabila melihat “tujuh itu” dalam kebangkitan Seruan Tengah Malam pada akhir zaman, akan menyaksikan suatu pembahagian dan pengasingan antara yang berharga dan yang hina. Yang berharga akan bersukacita apabila mereka masuk ke dalam kesatuan yang sepenuhnya, dan yang hina akan mendapati, apabila sudah terlambat, bahawa mereka tidak memiliki minyak yang telah mengalir turun melalui dua pipa emas itu. Kebenaran yang menimbulkan sukacita bagi satu golongan akan menjadi batu sandungan bagi golongan yang lain, walaupun kebenaran itu tersedia untuk dilihat oleh semua yang rela melihat.</w:t>
      </w:r>
    </w:p>
    <w:p>
      <w:pPr>
        <w:pStyle w:val="ArticleBody"/>
        <w:jc w:val="left"/>
      </w:pPr>
      <w:r>
        <w:rPr>
          <w:rFonts w:ascii="Times New Roman" w:hAnsi="Times New Roman" w:eastAsia="Times New Roman" w:cs="Times New Roman"/>
        </w:rPr>
        <w:t>Sama seperti “tujuh masa” menjadi suatu ujian pada permulaan pada tahun 1856, ketika Adventisme Filadelfia beralih kepada Adventisme Laodikia, demikian juga “tujuh masa” sekali lagi menjadi suatu ujian pada pengakhiran, tepat di tempat Adventisme Laodikia dialihkan kepada Adventisme Filadelfia. Ujian pada permulaan itu telah gagal dihadapi pada tahun 1863, dengan penolakan terhadap doktrin alkitabiah tentang “tujuh masa.” Mereka yang gagal dalam ujian pada pengakhiran pada tahun 2023 akan berbuat demikian kerana menolak pengalaman yang dituntut oleh penawar yang dikenal pasti oleh “tujuh masa” dalam Imamat dua puluh enam.</w:t>
      </w:r>
    </w:p>
    <w:p>
      <w:pPr>
        <w:pStyle w:val="ArticleBody"/>
        <w:jc w:val="left"/>
      </w:pPr>
      <w:r>
        <w:rPr>
          <w:rFonts w:ascii="Times New Roman" w:hAnsi="Times New Roman" w:eastAsia="Times New Roman" w:cs="Times New Roman"/>
        </w:rPr>
        <w:t>Adongba nuam a ni a mawi banai dongo Daniel ki laibu hian “hun sari” chu a pum puiin a ngaihven tlat tih hriat hmasak chu, Daniel laibu bung hmasa parukte thuchah profet lam ngaihtuah hmain; a chhan chu bung li leh nga te chu “hun sari” chungchanga an ni a, chutiang chuan Revelation bung sawmthum leh thum-a lei sâkawlheng ber pahnih kii nei chu an bul leh an tawp an hriattir a ni.</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ꯉꯁꯤ</w:t>
      </w:r>
      <w:r>
        <w:rPr>
          <w:rFonts w:ascii="Times New Roman" w:hAnsi="Times New Roman" w:eastAsia="Times New Roman" w:cs="Times New Roman"/>
        </w:rPr>
        <w:t xml:space="preserve"> </w:t>
      </w:r>
      <w:r>
        <w:rPr>
          <w:rFonts w:ascii="Nirmala UI" w:hAnsi="Nirmala UI" w:eastAsia="Nirmala UI" w:cs="Nirmala UI"/>
        </w:rPr>
        <w:t>ꯍꯦꯟꯒꯠꯄꯥ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ꯍꯧꯒꯠꯂꯤ꯫</w:t>
      </w:r>
    </w:p>
    <w:p>
      <w:pPr>
        <w:pStyle w:val="ArticleScripture"/>
        <w:jc w:val="left"/>
      </w:pPr>
      <w:r>
        <w:rPr>
          <w:rFonts w:ascii="Times New Roman" w:hAnsi="Times New Roman" w:eastAsia="Times New Roman" w:cs="Times New Roman"/>
        </w:rPr>
        <w:t>“Ntub ke teeb uas Daniyee tau txais los ntawm Vajtswv yog muab tshwj xeeb rau cov hnub kawg no. Cov yog toog uas nws tau pom ntawm ntug dej Ulai thiab Hiddekel, uas yog cov dej loj ntawm Sinaw, nim no tab tom muaj tiav raws li tau qhia tseg, thiab txhua yam xwm txheej uas tau raug yav tom ntej yuav tsis ntev no los txog.”</w:t>
      </w:r>
    </w:p>
    <w:p>
      <w:pPr>
        <w:pStyle w:val="ArticleScripture"/>
        <w:jc w:val="left"/>
      </w:pPr>
      <w:r>
        <w:rPr>
          <w:rFonts w:ascii="Times New Roman" w:hAnsi="Times New Roman" w:eastAsia="Times New Roman" w:cs="Times New Roman"/>
        </w:rPr>
        <w:t>“Tasikunyurire mmene zinthu zinalili pa mtundu wa Ayuda pamene maulosi a Danieli anaperekedwa.</w:t>
      </w:r>
    </w:p>
    <w:p>
      <w:pPr>
        <w:pStyle w:val="ArticleScripture"/>
        <w:jc w:val="left"/>
      </w:pPr>
      <w:r>
        <w:rPr>
          <w:rFonts w:ascii="Times New Roman" w:hAnsi="Times New Roman" w:eastAsia="Times New Roman" w:cs="Times New Roman"/>
        </w:rPr>
        <w:t>“Kithe tawnna Bible chanchin zir zirna atan hun tam zawk kan pe ang. Thu chu kan lo hriat dan tur angin kan hria lo. Thupuan bu chuan a chhunga zirtirna hriat turin min hrilhna thu nen a inhawng a. ‘He thuhril lawmpuina thu hi a chhiartu leh a hre nghettu te chu an lawm an ni,’ tiin Pathianin a sawi a, ‘a chhunga ziak awmte pawh an vawn bawk: a chhan chu hun chu a hnaih tawh asin.’ Kan mipuite’n he bu hian keini hnena awmzia a neih chu kan hriatthiam hunah chuan, kan zinga thawhharna nasa tak a lang ang. A zirtirna thenkhatte chu kan hriatkim lo hle a, chu chu zir chiang tur leh zawng chhuak turin min hrilhna awm mah se.”</w:t>
      </w:r>
    </w:p>
    <w:p>
      <w:pPr>
        <w:pStyle w:val="ArticleScripture"/>
        <w:jc w:val="left"/>
      </w:pPr>
      <w:r>
        <w:rPr>
          <w:rFonts w:ascii="Times New Roman" w:hAnsi="Times New Roman" w:eastAsia="Times New Roman" w:cs="Times New Roman"/>
        </w:rPr>
        <w:t>“An pumnam a ni zirtîrtute khân Daniel leh Thupuanna chu lehkhabu khârte niin an puang a, mi tam takin an hnuk kalsan ta. A lang chiang loh avânga mi tam takin an hawn ngam lohna puanzâr chu, Pathian kut ngeiin a Thu ṭhenkhatte atangin a sawn tawh a ni. ‘Thupuanna’ tih hming ngei hian lehkhabu khâr a nih thu sawi chu a kalh tlat. ‘Thupuanna’ tih awmzia chu pawimawh tak tihlan a awm tihna a ni. He lehkhabu thu takte hi ni hnuhnungtea chêngte hnena thawn an ni. Thil thianghlim thilte hmun thianghlimah puanzâr sawn bo tawh zînga ding mêk kan ni. Pâwnah kan ding tûr a ni lo. Kan lût tûr a ni, ngaihtuahna tha lo, zahawmna nei lo nên leh ke pêna ṭûl takin ni lovin, zahawmna leh Pathian tihhlauhna nên zâwk. Thupuanbu hrilhlâwkna te chu a lo thleng famkim hun hnaih kan lo thlen mêk a ni.”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Nombor Empat</dc:title>
  <dc:subject>Тутан плуммет</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