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w:t>
      </w:r>
    </w:p>
    <w:p>
      <w:pPr>
        <w:pStyle w:val="ArticleSubtitle"/>
        <w:jc w:val="left"/>
      </w:pPr>
      <w:r>
        <w:rPr>
          <w:rFonts w:ascii="Nirmala UI" w:hAnsi="Nirmala UI" w:eastAsia="Nirmala UI" w:cs="Nirmala UI"/>
        </w:rPr>
        <w:t>ꯑꯥꯏ</w:t>
      </w:r>
      <w:r>
        <w:rPr>
          <w:rFonts w:ascii="Arial" w:hAnsi="Arial" w:eastAsia="Arial" w:cs="Arial"/>
        </w:rPr>
        <w:t xml:space="preserve"> </w:t>
      </w:r>
      <w:r>
        <w:rPr>
          <w:rFonts w:ascii="Nirmala UI" w:hAnsi="Nirmala UI" w:eastAsia="Nirmala UI" w:cs="Nirmala UI"/>
        </w:rPr>
        <w:t>ꯀꯥꯏꯁ꯭ꯇꯇꯥ</w:t>
      </w:r>
      <w:r>
        <w:rPr>
          <w:rFonts w:ascii="Arial" w:hAnsi="Arial" w:eastAsia="Arial" w:cs="Arial"/>
        </w:rPr>
        <w:t xml:space="preserve"> </w:t>
      </w:r>
      <w:r>
        <w:rPr>
          <w:rFonts w:ascii="Nirmala UI" w:hAnsi="Nirmala UI" w:eastAsia="Nirmala UI" w:cs="Nirmala UI"/>
        </w:rPr>
        <w:t>ꯂꯥꯏꯔꯤꯛꯄꯥ</w:t>
      </w:r>
      <w:r>
        <w:rPr>
          <w:rFonts w:ascii="Arial" w:hAnsi="Arial" w:eastAsia="Arial" w:cs="Arial"/>
        </w:rPr>
        <w:t xml:space="preserve"> </w:t>
      </w:r>
      <w:r>
        <w:rPr>
          <w:rFonts w:ascii="Nirmala UI" w:hAnsi="Nirmala UI" w:eastAsia="Nirmala UI" w:cs="Nirmala UI"/>
        </w:rPr>
        <w:t>ꯊꯥꯖꯕ</w:t>
      </w:r>
      <w:r>
        <w:rPr>
          <w:rFonts w:ascii="Arial" w:hAnsi="Arial" w:eastAsia="Arial" w:cs="Arial"/>
        </w:rPr>
        <w:t xml:space="preserve"> </w:t>
      </w:r>
      <w:r>
        <w:rPr>
          <w:rFonts w:ascii="Nirmala UI" w:hAnsi="Nirmala UI" w:eastAsia="Nirmala UI" w:cs="Nirmala UI"/>
        </w:rPr>
        <w:t>ꯑꯗꯨ</w:t>
      </w:r>
      <w:r>
        <w:rPr>
          <w:rFonts w:ascii="Arial" w:hAnsi="Arial" w:eastAsia="Arial" w:cs="Arial"/>
        </w:rPr>
        <w:t xml:space="preserve"> </w:t>
      </w:r>
      <w:r>
        <w:rPr>
          <w:rFonts w:ascii="Nirmala UI" w:hAnsi="Nirmala UI" w:eastAsia="Nirmala UI" w:cs="Nirmala UI"/>
        </w:rPr>
        <w:t>ꯌꯥꯎꯔꯤꯕ</w:t>
      </w:r>
      <w:r>
        <w:rPr>
          <w:rFonts w:ascii="Arial" w:hAnsi="Arial" w:eastAsia="Arial" w:cs="Arial"/>
        </w:rPr>
        <w:t xml:space="preserve"> </w:t>
      </w:r>
      <w:r>
        <w:rPr>
          <w:rFonts w:ascii="Nirmala UI" w:hAnsi="Nirmala UI" w:eastAsia="Nirmala UI" w:cs="Nirmala UI"/>
        </w:rPr>
        <w:t>ꯄ꯭ꯔꯣꯇꯦꯁꯇꯦꯟꯇꯤꯁꯝꯗ</w:t>
      </w:r>
      <w:r>
        <w:rPr>
          <w:rFonts w:ascii="Arial" w:hAnsi="Arial" w:eastAsia="Arial" w:cs="Arial"/>
        </w:rPr>
        <w:t xml:space="preserve"> </w:t>
      </w:r>
      <w:r>
        <w:rPr>
          <w:rFonts w:ascii="Nirmala UI" w:hAnsi="Nirmala UI" w:eastAsia="Nirmala UI" w:cs="Nirmala UI"/>
        </w:rPr>
        <w:t>ꯑꯄꯣꯁꯇꯦꯁꯤꯒꯤ</w:t>
      </w:r>
      <w:r>
        <w:rPr>
          <w:rFonts w:ascii="Arial" w:hAnsi="Arial" w:eastAsia="Arial" w:cs="Arial"/>
        </w:rPr>
        <w:t xml:space="preserve"> </w:t>
      </w:r>
      <w:r>
        <w:rPr>
          <w:rFonts w:ascii="Nirmala UI" w:hAnsi="Nirmala UI" w:eastAsia="Nirmala UI" w:cs="Nirmala UI"/>
        </w:rPr>
        <w:t>ꯄꯨꯌꯥ</w:t>
      </w:r>
      <w:r>
        <w:rPr>
          <w:rFonts w:ascii="Arial" w:hAnsi="Arial" w:eastAsia="Arial" w:cs="Arial"/>
        </w:rPr>
        <w:t xml:space="preserve"> </w:t>
      </w:r>
      <w:r>
        <w:rPr>
          <w:rFonts w:ascii="Nirmala UI" w:hAnsi="Nirmala UI" w:eastAsia="Nirmala UI" w:cs="Nirmala UI"/>
        </w:rPr>
        <w:t>ꯋꯥꯔꯣꯜ</w:t>
      </w:r>
      <w:r>
        <w:rPr>
          <w:rFonts w:ascii="Arial" w:hAnsi="Arial" w:eastAsia="Arial" w:cs="Arial"/>
        </w:rPr>
        <w:t xml:space="preserve"> </w:t>
      </w:r>
      <w:r>
        <w:rPr>
          <w:rFonts w:ascii="Nirmala UI" w:hAnsi="Nirmala UI" w:eastAsia="Nirmala UI" w:cs="Nirmala UI"/>
        </w:rPr>
        <w:t>ꯑꯅꯥꯂꯤꯁꯤꯁ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Mesej yang dibawa oleh Penatua Jones dan Waggoner dalam pemberontakan tahun 1888 ialah mesej pembenaran oleh iman dalam kebenaran yang sejati. Protestantisme murtad berhujah bahawa pembenaran yang disediakan oleh kematian Kristus di salib menutupi seseorang dalam dosanya, tetapi bahawa darah-Nya tidak benar-benar menghapuskan dosanya. Doktrin palsu ini meletakkan penyingkiran dosa pada Kedatangan Kedua, apabila orang berdosa kemudiannya diubah secara ajaib. Protestantisme murtad dan, secara rasmi sejak tahun 1957, Adventisme Laodikia mendakwa bahawa Kristus semata-mata ialah Pengganti kita, tetapi bukan Teladan kita. Setahun sebelum 1888, Sister White menuliskan yang berikut.</w:t>
      </w:r>
    </w:p>
    <w:p>
      <w:pPr>
        <w:pStyle w:val="ArticleScripture"/>
        <w:jc w:val="left"/>
      </w:pPr>
      <w:r>
        <w:rPr>
          <w:rFonts w:ascii="Times New Roman" w:hAnsi="Times New Roman" w:eastAsia="Times New Roman" w:cs="Times New Roman"/>
        </w:rPr>
        <w:t>“‘Akansua foforo na mede bɛma mo, na honhom foforo nso na mede bɛhyɛ mo mu.’ Migye me koma nyinaa mu di sɛ Onyankopɔn Honhom no refi wiase no so rekɔ, na wɔn a wonyaa hann kɛse ne hokwan ahorow pii nanso wɔamfa anni dwuma yiye no, wɔn na wobedi kan agyaw wɔn hɔ. Wɔama Onyankopɔn Honhom no awerɛhow ma afiri wɔn ho. Satan adwuma a ɔreyɛ mprempren de reyɛ adwuma wɔ nkurɔfo koma so, ne asafo ahorow ne aman so no, ɛsɛ sɛ ɛma nkɔmhyɛ suafo biara ho popo no. Awiei no abɛn. Momma yɛn asafo ahorow nsɔre. Momma wɔmfa Onyankopɔn tumi a ɛsakra onipa no nhu no wɔ nnipa mmiako mmiako koma mu, na afei yebehu Onyankopɔn Honhom no kankan kɛse no. Bɔne fafiri nkutoo nyɛ Yesu wu no aba koro pɛ. Ɔbɔɔ afɔre a enni ano no, ɛnyɛ sɛnea bɔne bɛfi hɔ nko ara, na mmom sɛnea wɔbɛsan de onipa suban asi hɔ bio, ama ayɛ fɛ bio, asan akyekye afi ne mmubui mu, na wɔayɛ no sɛ ɔfata Onyankopɔn animpa mu…. ”</w:t>
      </w:r>
    </w:p>
    <w:p>
      <w:pPr>
        <w:pStyle w:val="ArticleScripture"/>
        <w:jc w:val="left"/>
      </w:pPr>
      <w:r>
        <w:rPr>
          <w:rFonts w:ascii="Times New Roman" w:hAnsi="Times New Roman" w:eastAsia="Times New Roman" w:cs="Times New Roman"/>
        </w:rPr>
        <w:t>“Kristus ialah tangga yang dilihat oleh Yakub, yang pangkalnya bertumpu di bumi dan puncak tertingginya mencapai langit yang mahatinggi. Hal ini menunjukkan jalan keselamatan yang telah ditetapkan. Kita harus naik setingkat demi setingkat pada tangga ini. Jika pada akhirnya ada seorang pun di antara kita yang diselamatkan, hal itu terjadi kerana berpegang pada Yesus seperti pada anak-anak tangga. Kristus dijadikan bagi orang percaya hikmat dan kebenaran, pengudusan, dan penebusan….”</w:t>
      </w:r>
    </w:p>
    <w:p>
      <w:pPr>
        <w:pStyle w:val="ArticleScripture"/>
        <w:jc w:val="left"/>
      </w:pPr>
      <w:r>
        <w:rPr>
          <w:rFonts w:ascii="Times New Roman" w:hAnsi="Times New Roman" w:eastAsia="Times New Roman" w:cs="Times New Roman"/>
        </w:rPr>
        <w:t>“Akan ada beberapa kejatuhan yang dahsyat oleh mereka yang mengira bahawa mereka berdiri teguh kerana mereka memiliki kebenaran; tetapi mereka tidak memilikinya sebagaimana adanya di dalam Yesus. Kelalaian sesaat boleh menjerumuskan satu jiwa ke dalam kebinasaan yang tidak dapat dipulihkan. Satu dosa membawa kepada dosa yang kedua, dan yang kedua menyediakan jalan bagi yang ketiga, dan seterusnya. Kita, sebagai utusan-utusan Allah yang setia, mesti sentiasa memohon kepada-Nya supaya dipelihara oleh kuasa-Nya. Jika kita menyimpang walau seinci pun daripada kewajipan, kita berada dalam bahaya untuk terus mengikuti suatu jalan dosa yang berakhir dalam kebinasaan. Ada harapan bagi setiap seorang daripada kita, tetapi hanya dalam satu jalan—dengan mengikatkan diri kita kepada Kristus, dan mengerahkan segala tenaga untuk mencapai kesempurnaan tabiat-Nya.”</w:t>
      </w:r>
    </w:p>
    <w:p>
      <w:pPr>
        <w:pStyle w:val="ArticleScripture"/>
        <w:jc w:val="left"/>
      </w:pPr>
      <w:r>
        <w:rPr>
          <w:rFonts w:ascii="Times New Roman" w:hAnsi="Times New Roman" w:eastAsia="Times New Roman" w:cs="Times New Roman"/>
        </w:rPr>
        <w:t>“Agama yang tampaknya serba baik ini, yang meremehkan dosa dan yang terus-menerus berkutat pada kasih Allah kepada orang berdosa, mendorong orang berdosa untuk percaya bahwa Allah akan menyelamatkannya sementara ia tetap hidup dalam dosa dan ia mengetahui bahwa itu adalah dosa. Demikianlah cara banyak orang yang mengaku percaya kepada kebenaran masa kini bertindak. Kebenaran dipisahkan dari kehidupan mereka, dan itulah sebabnya kebenaran itu tidak lagi mempunyai kuasa untuk meyakinkan dan mempertobatkan jiwa. Harus ada pengerahan setiap urat saraf dan roh dan otot untuk meninggalkan dunia, adat kebiasaannya, praktik-praktiknya, dan mode-modenya….”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ပယ်ရှား၍</w:t>
      </w:r>
      <w:r>
        <w:rPr>
          <w:rFonts w:ascii="Times New Roman" w:hAnsi="Times New Roman" w:eastAsia="Times New Roman" w:cs="Times New Roman"/>
        </w:rPr>
        <w:t xml:space="preserve">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ကျင့်သုံးလျှင်၊</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ကောင်းချီးမင်္ဂလာအရင်းအမြစ်ကြွယ်ဝမှုတို့သည်</w:t>
      </w:r>
      <w:r>
        <w:rPr>
          <w:rFonts w:ascii="Times New Roman" w:hAnsi="Times New Roman" w:eastAsia="Times New Roman" w:cs="Times New Roman"/>
        </w:rPr>
        <w:t xml:space="preserve"> </w:t>
      </w:r>
      <w:r>
        <w:rPr>
          <w:rFonts w:ascii="Myanmar Text" w:hAnsi="Myanmar Text" w:eastAsia="Myanmar Text" w:cs="Myanmar Text"/>
        </w:rPr>
        <w:t>သင်၏အရာ</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Selected Messages, </w:t>
      </w:r>
      <w:r>
        <w:rPr>
          <w:rFonts w:ascii="Myanmar Text" w:hAnsi="Myanmar Text" w:eastAsia="Myanmar Text" w:cs="Myanmar Text"/>
        </w:rPr>
        <w:t>စာအုပ်</w:t>
      </w:r>
      <w:r>
        <w:rPr>
          <w:rFonts w:ascii="Times New Roman" w:hAnsi="Times New Roman" w:eastAsia="Times New Roman" w:cs="Times New Roman"/>
        </w:rPr>
        <w:t xml:space="preserve"> 3, 155.</w:t>
      </w:r>
    </w:p>
    <w:p>
      <w:pPr>
        <w:pStyle w:val="ArticleBody"/>
        <w:jc w:val="left"/>
      </w:pPr>
      <w:r>
        <w:rPr>
          <w:rFonts w:ascii="Microsoft YaHei" w:hAnsi="Microsoft YaHei" w:eastAsia="Microsoft YaHei" w:cs="Microsoft YaHei"/>
        </w:rPr>
        <w:t>宗教的反基督复临宗派在</w:t>
      </w:r>
      <w:r>
        <w:rPr>
          <w:rFonts w:ascii="Times New Roman" w:hAnsi="Times New Roman" w:eastAsia="Times New Roman" w:cs="Times New Roman"/>
        </w:rPr>
        <w:t>1957</w:t>
      </w:r>
      <w:r>
        <w:rPr>
          <w:rFonts w:ascii="Microsoft YaHei" w:hAnsi="Microsoft YaHei" w:eastAsia="Microsoft YaHei" w:cs="Microsoft YaHei"/>
        </w:rPr>
        <w:t>年、复临信仰第四代伊始之际</w:t>
      </w:r>
      <w:r>
        <w:rPr>
          <w:rFonts w:ascii="Times New Roman" w:hAnsi="Times New Roman" w:eastAsia="Times New Roman" w:cs="Times New Roman"/>
        </w:rPr>
        <w:t>,</w:t>
      </w:r>
      <w:r>
        <w:rPr>
          <w:rFonts w:ascii="Microsoft YaHei" w:hAnsi="Microsoft YaHei" w:eastAsia="Microsoft YaHei" w:cs="Microsoft YaHei"/>
        </w:rPr>
        <w:t>将这种虚假的</w:t>
      </w:r>
      <w:r>
        <w:rPr>
          <w:rFonts w:ascii="Times New Roman" w:hAnsi="Times New Roman" w:eastAsia="Times New Roman" w:cs="Times New Roman"/>
        </w:rPr>
        <w:t>“</w:t>
      </w:r>
      <w:r>
        <w:rPr>
          <w:rFonts w:ascii="Microsoft YaHei" w:hAnsi="Microsoft YaHei" w:eastAsia="Microsoft YaHei" w:cs="Microsoft YaHei"/>
        </w:rPr>
        <w:t>好好先生式宗教</w:t>
      </w:r>
      <w:r>
        <w:rPr>
          <w:rFonts w:ascii="Times New Roman" w:hAnsi="Times New Roman" w:eastAsia="Times New Roman" w:cs="Times New Roman"/>
        </w:rPr>
        <w:t>”</w:t>
      </w:r>
      <w:r>
        <w:rPr>
          <w:rFonts w:ascii="Microsoft YaHei" w:hAnsi="Microsoft YaHei" w:eastAsia="Microsoft YaHei" w:cs="Microsoft YaHei"/>
        </w:rPr>
        <w:t>确立为官方教义</w:t>
      </w:r>
      <w:r>
        <w:rPr>
          <w:rFonts w:ascii="Times New Roman" w:hAnsi="Times New Roman" w:eastAsia="Times New Roman" w:cs="Times New Roman"/>
        </w:rPr>
        <w:t>.</w:t>
      </w:r>
      <w:r>
        <w:rPr>
          <w:rFonts w:ascii="Microsoft YaHei" w:hAnsi="Microsoft YaHei" w:eastAsia="Microsoft YaHei" w:cs="Microsoft YaHei"/>
        </w:rPr>
        <w:t>它提出了一种称义的定义</w:t>
      </w:r>
      <w:r>
        <w:rPr>
          <w:rFonts w:ascii="Times New Roman" w:hAnsi="Times New Roman" w:eastAsia="Times New Roman" w:cs="Times New Roman"/>
        </w:rPr>
        <w:t>,“</w:t>
      </w:r>
      <w:r>
        <w:rPr>
          <w:rFonts w:ascii="Microsoft YaHei" w:hAnsi="Microsoft YaHei" w:eastAsia="Microsoft YaHei" w:cs="Microsoft YaHei"/>
        </w:rPr>
        <w:t>鼓励罪人相信：即使他仍继续犯罪</w:t>
      </w:r>
      <w:r>
        <w:rPr>
          <w:rFonts w:ascii="Times New Roman" w:hAnsi="Times New Roman" w:eastAsia="Times New Roman" w:cs="Times New Roman"/>
        </w:rPr>
        <w:t>,</w:t>
      </w:r>
      <w:r>
        <w:rPr>
          <w:rFonts w:ascii="Microsoft YaHei" w:hAnsi="Microsoft YaHei" w:eastAsia="Microsoft YaHei" w:cs="Microsoft YaHei"/>
        </w:rPr>
        <w:t>上帝也会拯救他</w:t>
      </w:r>
      <w:r>
        <w:rPr>
          <w:rFonts w:ascii="Times New Roman" w:hAnsi="Times New Roman" w:eastAsia="Times New Roman" w:cs="Times New Roman"/>
        </w:rPr>
        <w:t xml:space="preserve">.” </w:t>
      </w:r>
      <w:r>
        <w:rPr>
          <w:rFonts w:ascii="Microsoft YaHei" w:hAnsi="Microsoft YaHei" w:eastAsia="Microsoft YaHei" w:cs="Microsoft YaHei"/>
        </w:rPr>
        <w:t>十字架教导说：</w:t>
      </w:r>
      <w:r>
        <w:rPr>
          <w:rFonts w:ascii="Times New Roman" w:hAnsi="Times New Roman" w:eastAsia="Times New Roman" w:cs="Times New Roman"/>
        </w:rPr>
        <w:t>“</w:t>
      </w:r>
      <w:r>
        <w:rPr>
          <w:rFonts w:ascii="Microsoft YaHei" w:hAnsi="Microsoft YaHei" w:eastAsia="Microsoft YaHei" w:cs="Microsoft YaHei"/>
        </w:rPr>
        <w:t>罪得赦免并不是耶稣之死的唯一结果</w:t>
      </w:r>
      <w:r>
        <w:rPr>
          <w:rFonts w:ascii="Times New Roman" w:hAnsi="Times New Roman" w:eastAsia="Times New Roman" w:cs="Times New Roman"/>
        </w:rPr>
        <w:t>”,</w:t>
      </w:r>
      <w:r>
        <w:rPr>
          <w:rFonts w:ascii="Microsoft YaHei" w:hAnsi="Microsoft YaHei" w:eastAsia="Microsoft YaHei" w:cs="Microsoft YaHei"/>
        </w:rPr>
        <w:t>因为</w:t>
      </w:r>
      <w:r>
        <w:rPr>
          <w:rFonts w:ascii="Times New Roman" w:hAnsi="Times New Roman" w:eastAsia="Times New Roman" w:cs="Times New Roman"/>
        </w:rPr>
        <w:t>“</w:t>
      </w:r>
      <w:r>
        <w:rPr>
          <w:rFonts w:ascii="Microsoft YaHei" w:hAnsi="Microsoft YaHei" w:eastAsia="Microsoft YaHei" w:cs="Microsoft YaHei"/>
        </w:rPr>
        <w:t>祂献上无限的牺牲</w:t>
      </w:r>
      <w:r>
        <w:rPr>
          <w:rFonts w:ascii="Times New Roman" w:hAnsi="Times New Roman" w:eastAsia="Times New Roman" w:cs="Times New Roman"/>
        </w:rPr>
        <w:t>,</w:t>
      </w:r>
      <w:r>
        <w:rPr>
          <w:rFonts w:ascii="Microsoft YaHei" w:hAnsi="Microsoft YaHei" w:eastAsia="Microsoft YaHei" w:cs="Microsoft YaHei"/>
        </w:rPr>
        <w:t>不仅是为了除去罪</w:t>
      </w:r>
      <w:r>
        <w:rPr>
          <w:rFonts w:ascii="Times New Roman" w:hAnsi="Times New Roman" w:eastAsia="Times New Roman" w:cs="Times New Roman"/>
        </w:rPr>
        <w:t>,</w:t>
      </w:r>
      <w:r>
        <w:rPr>
          <w:rFonts w:ascii="Microsoft YaHei" w:hAnsi="Microsoft YaHei" w:eastAsia="Microsoft YaHei" w:cs="Microsoft YaHei"/>
        </w:rPr>
        <w:t>也是为了使人性得以恢复、重现其荣美、从废墟中重建</w:t>
      </w:r>
      <w:r>
        <w:rPr>
          <w:rFonts w:ascii="Times New Roman" w:hAnsi="Times New Roman" w:eastAsia="Times New Roman" w:cs="Times New Roman"/>
        </w:rPr>
        <w:t>,</w:t>
      </w:r>
      <w:r>
        <w:rPr>
          <w:rFonts w:ascii="Microsoft YaHei" w:hAnsi="Microsoft YaHei" w:eastAsia="Microsoft YaHei" w:cs="Microsoft YaHei"/>
        </w:rPr>
        <w:t>并被造成适合站立在上帝面前</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Pemberontakan tahun 1957 menunjukkan bahawa benih pemberontakan yang ditanam pada tahun 1863, yang kemudian bertunas pada tahun 1888, dan yang seterusnya disirami oleh pekabaran palsu yang dilambangkan oleh buku yang diterbitkan pada tahun 1919 (The Doctrine of Christ), akhirnya telah menghasilkan buah berupa suatu pernyataan terbuka bahawa “iman orang benar” yang asal, yang dilambangkan oleh dua loh Habakuk, kini telah disingkirkan dan digantikan dengan takrif “pembenaran oleh iman” yang telah dicemari, sebagaimana terdapat dalam Protestantisme murtad. Nabi yang tidak taat dari Yehuda itu telah kembali kepada perhimpunan para pengejek dan makan bersama nabi pendusta dari Betel.</w:t>
      </w:r>
    </w:p>
    <w:p>
      <w:pPr>
        <w:pStyle w:val="ArticleBody"/>
        <w:jc w:val="left"/>
      </w:pPr>
      <w:r>
        <w:rPr>
          <w:rFonts w:ascii="Times New Roman" w:hAnsi="Times New Roman" w:eastAsia="Times New Roman" w:cs="Times New Roman"/>
        </w:rPr>
        <w:t>Molaetsa o yang kerekeng ya Laodisea, o ileng wa hlahiswa pele ho mokgatlo wa Mamillere ka 1856, mme wa boela wa hlahiswa hape kerekeng ya Laodisea ka 1888, o ile wa hanelwa kgato e nngwe le e nngwe ya tsela. Molaetsa oo wa Jones le Waggoner, oo ho ya ka Kgaitsedi White e neng e le molaetsa o yang ho Laodisea, hape e le molaetsa wa ho bewa ya lokileng ka tumelo, o ile wa hanelwa, tlasa mohopolo wa hore marabele a neng a o hana, ha e le hantle a ne a sireletsa matshwao a kgale! Matshwao ao ba neng ba a sireletsa e ne e le motheo wa boithomelo ba bona ba botho, o hahilweng hodima lehlabathe.</w:t>
      </w:r>
    </w:p>
    <w:p>
      <w:pPr>
        <w:pStyle w:val="ArticleBody"/>
        <w:jc w:val="left"/>
      </w:pPr>
      <w:r>
        <w:rPr>
          <w:rFonts w:ascii="Myanmar Text" w:hAnsi="Myanmar Text" w:eastAsia="Myanmar Text" w:cs="Myanmar Text"/>
        </w:rPr>
        <w:t>အေ</w:t>
      </w:r>
      <w:r>
        <w:rPr>
          <w:rFonts w:ascii="Times New Roman" w:hAnsi="Times New Roman" w:eastAsia="Times New Roman" w:cs="Times New Roman"/>
        </w:rPr>
        <w:t>.</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Jones </w:t>
      </w:r>
      <w:r>
        <w:rPr>
          <w:rFonts w:ascii="Myanmar Text" w:hAnsi="Myanmar Text" w:eastAsia="Myanmar Text" w:cs="Myanmar Text"/>
        </w:rPr>
        <w:t>နှင့်</w:t>
      </w:r>
      <w:r>
        <w:rPr>
          <w:rFonts w:ascii="Times New Roman" w:hAnsi="Times New Roman" w:eastAsia="Times New Roman" w:cs="Times New Roman"/>
        </w:rPr>
        <w:t xml:space="preserve"> Waggoner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တင်ပြခဲ့သော</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သတင်းစကားတွင်၊</w:t>
      </w:r>
      <w:r>
        <w:rPr>
          <w:rFonts w:ascii="Times New Roman" w:hAnsi="Times New Roman" w:eastAsia="Times New Roman" w:cs="Times New Roman"/>
        </w:rPr>
        <w:t xml:space="preserve"> </w:t>
      </w:r>
      <w:r>
        <w:rPr>
          <w:rFonts w:ascii="Myanmar Text" w:hAnsi="Myanmar Text" w:eastAsia="Myanmar Text" w:cs="Myanmar Text"/>
        </w:rPr>
        <w:t>ဖြောင့်မတ်စေခြင်းခံရသောသူတို့သည်</w:t>
      </w:r>
      <w:r>
        <w:rPr>
          <w:rFonts w:ascii="Times New Roman" w:hAnsi="Times New Roman" w:eastAsia="Times New Roman" w:cs="Times New Roman"/>
        </w:rPr>
        <w:t xml:space="preserve"> </w:t>
      </w:r>
      <w:r>
        <w:rPr>
          <w:rFonts w:ascii="Myanmar Text" w:hAnsi="Myanmar Text" w:eastAsia="Myanmar Text" w:cs="Myanmar Text"/>
        </w:rPr>
        <w:t>သန့်ရှင်းစေခြင်းလည်း</w:t>
      </w:r>
      <w:r>
        <w:rPr>
          <w:rFonts w:ascii="Times New Roman" w:hAnsi="Times New Roman" w:eastAsia="Times New Roman" w:cs="Times New Roman"/>
        </w:rPr>
        <w:t xml:space="preserve"> </w:t>
      </w:r>
      <w:r>
        <w:rPr>
          <w:rFonts w:ascii="Myanmar Text" w:hAnsi="Myanmar Text" w:eastAsia="Myanmar Text" w:cs="Myanmar Text"/>
        </w:rPr>
        <w:t>ခံရကြသည်ဟု</w:t>
      </w:r>
      <w:r>
        <w:rPr>
          <w:rFonts w:ascii="Times New Roman" w:hAnsi="Times New Roman" w:eastAsia="Times New Roman" w:cs="Times New Roman"/>
        </w:rPr>
        <w:t xml:space="preserve"> </w:t>
      </w:r>
      <w:r>
        <w:rPr>
          <w:rFonts w:ascii="Myanmar Text" w:hAnsi="Myanmar Text" w:eastAsia="Myanmar Text" w:cs="Myanmar Text"/>
        </w:rPr>
        <w:t>ဖော်ထုတ်ပြသော</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အချက်အလက်</w:t>
      </w:r>
      <w:r>
        <w:rPr>
          <w:rFonts w:ascii="Times New Roman" w:hAnsi="Times New Roman" w:eastAsia="Times New Roman" w:cs="Times New Roman"/>
        </w:rPr>
        <w:t xml:space="preserve"> </w:t>
      </w:r>
      <w:r>
        <w:rPr>
          <w:rFonts w:ascii="Myanmar Text" w:hAnsi="Myanmar Text" w:eastAsia="Myanmar Text" w:cs="Myanmar Text"/>
        </w:rPr>
        <w:t>ပါဝင်ခဲ့သည်။</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ဖြောင့်မတ်စေခြင်းခံရသည်ဟူသည်</w:t>
      </w:r>
      <w:r>
        <w:rPr>
          <w:rFonts w:ascii="Times New Roman" w:hAnsi="Times New Roman" w:eastAsia="Times New Roman" w:cs="Times New Roman"/>
        </w:rPr>
        <w:t xml:space="preserve"> “</w:t>
      </w:r>
      <w:r>
        <w:rPr>
          <w:rFonts w:ascii="Myanmar Text" w:hAnsi="Myanmar Text" w:eastAsia="Myanmar Text" w:cs="Myanmar Text"/>
        </w:rPr>
        <w:t>တကယ်တမ်း</w:t>
      </w:r>
      <w:r>
        <w:rPr>
          <w:rFonts w:ascii="Times New Roman" w:hAnsi="Times New Roman" w:eastAsia="Times New Roman" w:cs="Times New Roman"/>
        </w:rPr>
        <w:t xml:space="preserve">” </w:t>
      </w:r>
      <w:r>
        <w:rPr>
          <w:rFonts w:ascii="Myanmar Text" w:hAnsi="Myanmar Text" w:eastAsia="Myanmar Text" w:cs="Myanmar Text"/>
        </w:rPr>
        <w:t>သန့်ရှင်းအောင်</w:t>
      </w:r>
      <w:r>
        <w:rPr>
          <w:rFonts w:ascii="Times New Roman" w:hAnsi="Times New Roman" w:eastAsia="Times New Roman" w:cs="Times New Roman"/>
        </w:rPr>
        <w:t xml:space="preserve"> </w:t>
      </w:r>
      <w:r>
        <w:rPr>
          <w:rFonts w:ascii="Myanmar Text" w:hAnsi="Myanmar Text" w:eastAsia="Myanmar Text" w:cs="Myanmar Text"/>
        </w:rPr>
        <w:t>ပြုခြင်းကို</w:t>
      </w:r>
      <w:r>
        <w:rPr>
          <w:rFonts w:ascii="Times New Roman" w:hAnsi="Times New Roman" w:eastAsia="Times New Roman" w:cs="Times New Roman"/>
        </w:rPr>
        <w:t xml:space="preserve"> </w:t>
      </w:r>
      <w:r>
        <w:rPr>
          <w:rFonts w:ascii="Myanmar Text" w:hAnsi="Myanmar Text" w:eastAsia="Myanmar Text" w:cs="Myanmar Text"/>
        </w:rPr>
        <w:t>ဆိုလိုပြီး၊</w:t>
      </w:r>
      <w:r>
        <w:rPr>
          <w:rFonts w:ascii="Times New Roman" w:hAnsi="Times New Roman" w:eastAsia="Times New Roman" w:cs="Times New Roman"/>
        </w:rPr>
        <w:t xml:space="preserve"> </w:t>
      </w:r>
      <w:r>
        <w:rPr>
          <w:rFonts w:ascii="Myanmar Text" w:hAnsi="Myanmar Text" w:eastAsia="Myanmar Text" w:cs="Myanmar Text"/>
        </w:rPr>
        <w:t>ဥပဒေသဘောအရ</w:t>
      </w:r>
      <w:r>
        <w:rPr>
          <w:rFonts w:ascii="Times New Roman" w:hAnsi="Times New Roman" w:eastAsia="Times New Roman" w:cs="Times New Roman"/>
        </w:rPr>
        <w:t xml:space="preserve"> </w:t>
      </w:r>
      <w:r>
        <w:rPr>
          <w:rFonts w:ascii="Myanmar Text" w:hAnsi="Myanmar Text" w:eastAsia="Myanmar Text" w:cs="Myanmar Text"/>
        </w:rPr>
        <w:t>သန့်ရှင်းသည်ဟုသာ</w:t>
      </w:r>
      <w:r>
        <w:rPr>
          <w:rFonts w:ascii="Times New Roman" w:hAnsi="Times New Roman" w:eastAsia="Times New Roman" w:cs="Times New Roman"/>
        </w:rPr>
        <w:t xml:space="preserve"> “</w:t>
      </w:r>
      <w:r>
        <w:rPr>
          <w:rFonts w:ascii="Myanmar Text" w:hAnsi="Myanmar Text" w:eastAsia="Myanmar Text" w:cs="Myanmar Text"/>
        </w:rPr>
        <w:t>ကြေညာ</w:t>
      </w:r>
      <w:r>
        <w:rPr>
          <w:rFonts w:ascii="Times New Roman" w:hAnsi="Times New Roman" w:eastAsia="Times New Roman" w:cs="Times New Roman"/>
        </w:rPr>
        <w:t xml:space="preserve">” </w:t>
      </w:r>
      <w:r>
        <w:rPr>
          <w:rFonts w:ascii="Myanmar Text" w:hAnsi="Myanmar Text" w:eastAsia="Myanmar Text" w:cs="Myanmar Text"/>
        </w:rPr>
        <w:t>ခံရခြင်း</w:t>
      </w:r>
      <w:r>
        <w:rPr>
          <w:rFonts w:ascii="Times New Roman" w:hAnsi="Times New Roman" w:eastAsia="Times New Roman" w:cs="Times New Roman"/>
        </w:rPr>
        <w:t xml:space="preserve"> </w:t>
      </w:r>
      <w:r>
        <w:rPr>
          <w:rFonts w:ascii="Myanmar Text" w:hAnsi="Myanmar Text" w:eastAsia="Myanmar Text" w:cs="Myanmar Text"/>
        </w:rPr>
        <w:t>မဟုတ်ကြောင်း</w:t>
      </w:r>
      <w:r>
        <w:rPr>
          <w:rFonts w:ascii="Times New Roman" w:hAnsi="Times New Roman" w:eastAsia="Times New Roman" w:cs="Times New Roman"/>
        </w:rPr>
        <w:t xml:space="preserve"> </w:t>
      </w:r>
      <w:r>
        <w:rPr>
          <w:rFonts w:ascii="Myanmar Text" w:hAnsi="Myanmar Text" w:eastAsia="Myanmar Text" w:cs="Myanmar Text"/>
        </w:rPr>
        <w:t>အလေးပေးဖော်ပြခဲ့သည်။</w:t>
      </w:r>
      <w:r>
        <w:rPr>
          <w:rFonts w:ascii="Times New Roman" w:hAnsi="Times New Roman" w:eastAsia="Times New Roman" w:cs="Times New Roman"/>
        </w:rPr>
        <w:t xml:space="preserve"> </w:t>
      </w: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ပုန်ကန်မှုမတိုင်မီ</w:t>
      </w:r>
      <w:r>
        <w:rPr>
          <w:rFonts w:ascii="Times New Roman" w:hAnsi="Times New Roman" w:eastAsia="Times New Roman" w:cs="Times New Roman"/>
        </w:rPr>
        <w:t xml:space="preserve"> </w:t>
      </w:r>
      <w:r>
        <w:rPr>
          <w:rFonts w:ascii="Myanmar Text" w:hAnsi="Myanmar Text" w:eastAsia="Myanmar Text" w:cs="Myanmar Text"/>
        </w:rPr>
        <w:t>နှစ်ပေါင်းများစွာကတည်းက</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တင်ပြလာခဲ့ကြောင်း</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ဖော်ပြခဲ့သော</w:t>
      </w:r>
      <w:r>
        <w:rPr>
          <w:rFonts w:ascii="Times New Roman" w:hAnsi="Times New Roman" w:eastAsia="Times New Roman" w:cs="Times New Roman"/>
        </w:rPr>
        <w:t xml:space="preserve"> Jones </w:t>
      </w:r>
      <w:r>
        <w:rPr>
          <w:rFonts w:ascii="Myanmar Text" w:hAnsi="Myanmar Text" w:eastAsia="Myanmar Text" w:cs="Myanmar Text"/>
        </w:rPr>
        <w:t>နှင့်</w:t>
      </w:r>
      <w:r>
        <w:rPr>
          <w:rFonts w:ascii="Times New Roman" w:hAnsi="Times New Roman" w:eastAsia="Times New Roman" w:cs="Times New Roman"/>
        </w:rPr>
        <w:t xml:space="preserve"> Waggoner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ဖြောင့်မတ်စေခြင်းကို</w:t>
      </w:r>
      <w:r>
        <w:rPr>
          <w:rFonts w:ascii="Times New Roman" w:hAnsi="Times New Roman" w:eastAsia="Times New Roman" w:cs="Times New Roman"/>
        </w:rPr>
        <w:t xml:space="preserve"> </w:t>
      </w:r>
      <w:r>
        <w:rPr>
          <w:rFonts w:ascii="Myanmar Text" w:hAnsi="Myanmar Text" w:eastAsia="Myanmar Text" w:cs="Myanmar Text"/>
        </w:rPr>
        <w:t>အပ်နှင်းတွက်ချက်ပေးသောအခါ</w:t>
      </w:r>
      <w:r>
        <w:rPr>
          <w:rFonts w:ascii="Times New Roman" w:hAnsi="Times New Roman" w:eastAsia="Times New Roman" w:cs="Times New Roman"/>
        </w:rPr>
        <w:t xml:space="preserve"> </w:t>
      </w:r>
      <w:r>
        <w:rPr>
          <w:rFonts w:ascii="Myanmar Text" w:hAnsi="Myanmar Text" w:eastAsia="Myanmar Text" w:cs="Myanmar Text"/>
        </w:rPr>
        <w:t>သန့်ရှင်းစေခြင်းကိုလည်း</w:t>
      </w:r>
      <w:r>
        <w:rPr>
          <w:rFonts w:ascii="Times New Roman" w:hAnsi="Times New Roman" w:eastAsia="Times New Roman" w:cs="Times New Roman"/>
        </w:rPr>
        <w:t xml:space="preserve"> </w:t>
      </w:r>
      <w:r>
        <w:rPr>
          <w:rFonts w:ascii="Myanmar Text" w:hAnsi="Myanmar Text" w:eastAsia="Myanmar Text" w:cs="Myanmar Text"/>
        </w:rPr>
        <w:t>တစ်ပြိုင်နက်တည်း</w:t>
      </w:r>
      <w:r>
        <w:rPr>
          <w:rFonts w:ascii="Times New Roman" w:hAnsi="Times New Roman" w:eastAsia="Times New Roman" w:cs="Times New Roman"/>
        </w:rPr>
        <w:t xml:space="preserve"> </w:t>
      </w:r>
      <w:r>
        <w:rPr>
          <w:rFonts w:ascii="Myanmar Text" w:hAnsi="Myanmar Text" w:eastAsia="Myanmar Text" w:cs="Myanmar Text"/>
        </w:rPr>
        <w:t>ပေးအပ်ဝေငှတော်မူကြောင်းကို</w:t>
      </w:r>
      <w:r>
        <w:rPr>
          <w:rFonts w:ascii="Times New Roman" w:hAnsi="Times New Roman" w:eastAsia="Times New Roman" w:cs="Times New Roman"/>
        </w:rPr>
        <w:t xml:space="preserve"> </w:t>
      </w:r>
      <w:r>
        <w:rPr>
          <w:rFonts w:ascii="Myanmar Text" w:hAnsi="Myanmar Text" w:eastAsia="Myanmar Text" w:cs="Myanmar Text"/>
        </w:rPr>
        <w:t>ဖော်ထုတ်ပြသည်။</w:t>
      </w:r>
    </w:p>
    <w:p>
      <w:pPr>
        <w:pStyle w:val="ArticleBody"/>
        <w:jc w:val="left"/>
      </w:pPr>
      <w:r>
        <w:rPr>
          <w:rFonts w:ascii="Times New Roman" w:hAnsi="Times New Roman" w:eastAsia="Times New Roman" w:cs="Times New Roman"/>
        </w:rPr>
        <w:t>Akuhoya hwekupuka peni, osheshi okutumbulwa nokuyapulwa vyokuhungwa komukalo gumwe, moku kala moMhepo Iyapuki momwiitaveli. Okutumbulwa nokuyapulwa omamanya gavali aa popya poilonga yimwe, yi na omalyo avali, yi ningiwa mokati komwiitaveli mokukala moMhepo Iyapuki.</w:t>
      </w:r>
    </w:p>
    <w:p>
      <w:pPr>
        <w:pStyle w:val="ArticleBody"/>
        <w:jc w:val="left"/>
      </w:pPr>
      <w:r>
        <w:rPr>
          <w:rFonts w:ascii="Times New Roman" w:hAnsi="Times New Roman" w:eastAsia="Times New Roman" w:cs="Times New Roman"/>
        </w:rPr>
        <w:t>Ebo e le molaetsa oo Moshe a neng a o bolela oo marabele a Kora a ileng a o hana, oo hape o ileng oa hanoa ka 1856, hape ka 1888, ’me hamorao oa behoa pepeneneng e le thuto ea pholoho ea Adventisme ea Laodisea ka 1957. Borabele boo bo sa khaotseng bo ile ba lapatsa Molimo, hobane sechaba se ne se re: “E mong le e mong ea etsang bobe o lokile mahlong a Jehova, ’me o thabela bona; kapa, O kae Molimo oa kahlolo?”</w:t>
      </w:r>
    </w:p>
    <w:p>
      <w:pPr>
        <w:pStyle w:val="ArticleBody"/>
        <w:jc w:val="left"/>
      </w:pPr>
      <w:r>
        <w:rPr>
          <w:rFonts w:ascii="Times New Roman" w:hAnsi="Times New Roman" w:eastAsia="Times New Roman" w:cs="Times New Roman"/>
        </w:rPr>
        <w:t>Ba re, “bao ba ntseng ba leofang ba beilwe ba lokile ka madi a Kreste, mme Modimo o a ba kgatlhegela, le fa ba tswelela go leofa.” Tsietso eno ya semowa ke yone e emetsweng ke molaetsa o o yang kwa Laodisea (setšhaba se se atlholwang), gonne le fa Kreste a supa Baloaodisea e le “ba ba tlhomolang pelo, le ba ba hutsafatsang, le bahumanegi, le difofu, le ba ba sa ikategang,” ba dumela gore ba “humile, ba humisitswe ka dithoto, mme ga ba tlhoke sepe.” Mme mo seemong seo, tota ba setse ba le gaufi le go kgwediwa mo molomong wa Morena.</w:t>
      </w:r>
    </w:p>
    <w:p>
      <w:pPr>
        <w:pStyle w:val="ArticleBody"/>
        <w:jc w:val="left"/>
      </w:pPr>
      <w:r>
        <w:rPr>
          <w:rFonts w:ascii="Times New Roman" w:hAnsi="Times New Roman" w:eastAsia="Times New Roman" w:cs="Times New Roman"/>
        </w:rPr>
        <w:t>Ba tšepahalago ba histori ya Bamillerite bao ba kgotleletšego ka gare ga maitemogelo a manyami a pele ka 1844, bjalo ka ge ba emetšwe ke Jeremia kgaolong ya lesomepedi le tlhano, ditemaneng tša lesomepedi le tlhano go fihla go masomepedi a motšo o tee, bjalo ka baagi ba botegago ba tempele, bao ba bego ba holofeditšwe gore ge ba ka se boele go “phuthego ya bakweri,” ba tla fetoga “molomo” wa Modimo, ba ile ba boela go “phuthego ya bakweri” (yeo e emetšwego ke moporofeta wa maaka wa Bethele), gomme ba fetogela go Balaodikia, ba le kgauswi le go hlatšwa go tšwa molomong wa Modimo, eupša ga ba tsebe seo.</w:t>
      </w:r>
    </w:p>
    <w:p>
      <w:pPr>
        <w:pStyle w:val="ArticleBody"/>
        <w:jc w:val="left"/>
      </w:pPr>
      <w:r>
        <w:rPr>
          <w:rFonts w:ascii="Times New Roman" w:hAnsi="Times New Roman" w:eastAsia="Times New Roman" w:cs="Times New Roman"/>
        </w:rPr>
        <w:t>Xiyimo xo tiisiseko xa Vukhongeri bya Va-Adventista va Lawodikiya hi ti 11 Ndzhati 2001, a xi fanekiseriwe hi xiyimo xa Vaprotestente hi ti 11 Mhawuri 1840. Matimu wolawo mambirhi ma fanekiseriwe hi Vayuda lava a va kanetana, loko Moya lowo Kwetsima wu rhelela enkhubyeni wa Kriste. Eka matimu hinkwawo lawa manharhu, tiko leri a ri hlawuriwile khale a ri ri, naswona sweswi ra ha ri endleleni yo hundzuriwa ri siyiwa. Murhumiwa wa Ntwanano enkarhini wa Yohane Mubabatisi, a a ta nghena entwananweni na lava Petro a va vitaneke “rixaka leri hlawuriweke.”</w:t>
      </w:r>
    </w:p>
    <w:p>
      <w:pPr>
        <w:pStyle w:val="ArticleScripture"/>
        <w:jc w:val="left"/>
      </w:pPr>
      <w:r>
        <w:rPr>
          <w:rFonts w:ascii="Times New Roman" w:hAnsi="Times New Roman" w:eastAsia="Times New Roman" w:cs="Times New Roman"/>
        </w:rPr>
        <w:t>Tetapi kamu ialah keturunan yang terpilih, imamat yang rajani, bangsa yang kudus, umat kepunyaan Allah sendiri; supaya kamu memberitakan keagungan Dia yang telah memanggil kamu keluar dari kegelapan kepada terang-Nya yang ajaib: yang dahulu bukan suatu umat, tetapi sekarang adalah umat Allah: yang dahulu tidak beroleh belas kasihan, tetapi sekarang telah beroleh belas kasihan. 1 Petrus 2:9, 10.</w:t>
      </w:r>
    </w:p>
    <w:p>
      <w:pPr>
        <w:pStyle w:val="ArticleBody"/>
        <w:jc w:val="left"/>
      </w:pPr>
      <w:r>
        <w:rPr>
          <w:rFonts w:ascii="Times New Roman" w:hAnsi="Times New Roman" w:eastAsia="Times New Roman" w:cs="Times New Roman"/>
        </w:rPr>
        <w:t>Petro alikuwa akiwatambulisha watu wapya wateule wa kipindi chake, ambao wakati huo walikuwa Kanisa la Kikristo. Walikuwa wamechaguliwa kuwa “kizazi kiteule,” katika kipindi ambacho Kristo na Yohana Mbatizaji walipowatambua watu wa zamani waliokuwa wateule kuwa kizazi cha nyoka wenye sumu.</w:t>
      </w:r>
    </w:p>
    <w:p>
      <w:pPr>
        <w:pStyle w:val="ArticleScripture"/>
        <w:jc w:val="left"/>
      </w:pPr>
      <w:r>
        <w:rPr>
          <w:rFonts w:ascii="Times New Roman" w:hAnsi="Times New Roman" w:eastAsia="Times New Roman" w:cs="Times New Roman"/>
        </w:rPr>
        <w:t>Hai nisim khatthalo̱ngte, nangni katha mi diklo ah, hianga atha̱n baksa thupha̱k athua̱n thei ding? Tisa̱n sungah a dim seng seng chu ka̱m in a sawi thin a ni. Matthew 12:34.</w:t>
      </w:r>
    </w:p>
    <w:p>
      <w:pPr>
        <w:pStyle w:val="ArticleBody"/>
        <w:jc w:val="left"/>
      </w:pPr>
      <w:r>
        <w:rPr>
          <w:rFonts w:ascii="Times New Roman" w:hAnsi="Times New Roman" w:eastAsia="Times New Roman" w:cs="Times New Roman"/>
        </w:rPr>
        <w:t>Dúnmɔ ní wɔatɔ wɔn mu no, yɛ “awɔwene awoɔ ntoatoasoɔ,” a ɛyɛ Satan ho sɛnkyerɛnneɛ—bɔtwea no a Bible nkɔmhyɛka ka ne ho asɛm no. Dúnmɔ a wɔatɔ wɔn mu no na wɔahyɛ wɔn sɔhwɛberɛ kuruwa no mã, na awoɔ ntoatoasoɔ anan mu no, wɔatete wɔn ho atim wɔ awɔwene suban no mu. Wɔanya aguamanbaa tirim no. Yei nti na mpanimfoɔ aduonu-num no a wɔwɔ Hesekiel ti nwɔtwe mu no, pene so sɛ wɔbɛkotow owia no. Na wɔasua papacy no suban.</w:t>
      </w:r>
    </w:p>
    <w:p>
      <w:pPr>
        <w:pStyle w:val="ArticleScripture"/>
        <w:jc w:val="left"/>
      </w:pPr>
      <w:r>
        <w:rPr>
          <w:rFonts w:ascii="Times New Roman" w:hAnsi="Times New Roman" w:eastAsia="Times New Roman" w:cs="Times New Roman"/>
        </w:rPr>
        <w:t>“Amaran malaikat ketiga telah disampaikan kepada dunia, memberi amaran kepada manusia supaya jangan menerima tanda binatang itu atau patungnya pada dahi mereka atau pada tangan mereka. Menerima tanda ini bererti mengambil keputusan yang sama seperti yang telah diambil oleh binatang itu, dan menganjurkan gagasan yang sama, dalam penentangan langsung terhadap Firman Tuhan.” Review and Herald, 13 Julai 1897.</w:t>
      </w:r>
    </w:p>
    <w:p>
      <w:pPr>
        <w:pStyle w:val="ArticleBody"/>
        <w:jc w:val="left"/>
      </w:pPr>
      <w:r>
        <w:rPr>
          <w:rFonts w:ascii="Times New Roman" w:hAnsi="Times New Roman" w:eastAsia="Times New Roman" w:cs="Times New Roman"/>
        </w:rPr>
        <w:t>Tanda binatang itu ialah tanda manusia durhaka, yaitu paus Roma yang merupakan wakil duniawi Iblis. Menjadi sehaluan dengan binatang itu berarti menjadi sehaluan dengan Iblis, yang dilambangkan sebagai ular beludak.</w:t>
      </w:r>
    </w:p>
    <w:p>
      <w:pPr>
        <w:pStyle w:val="ArticleScripture"/>
        <w:jc w:val="left"/>
      </w:pPr>
      <w:r>
        <w:rPr>
          <w:rFonts w:ascii="Times New Roman" w:hAnsi="Times New Roman" w:eastAsia="Times New Roman" w:cs="Times New Roman"/>
        </w:rPr>
        <w:t>“Untuk memperoleh keuntungan dan kehormatan duniawi, gereja dituntun untuk mencari perkenanan dan dukungan dari orang-orang besar di bumi; dan dengan demikian, setelah menolak Kristus, ia dibujuk untuk menyerahkan kesetiaan kepada wakil Setan—uskup Roma.” The Great Controversy, 50.</w:t>
      </w:r>
    </w:p>
    <w:p>
      <w:pPr>
        <w:pStyle w:val="ArticleBody"/>
        <w:jc w:val="left"/>
      </w:pPr>
      <w:r>
        <w:rPr>
          <w:rFonts w:ascii="Times New Roman" w:hAnsi="Times New Roman" w:eastAsia="Times New Roman" w:cs="Times New Roman"/>
        </w:rPr>
        <w:t>Sa molapong wa bofelo wa setšhaba seo pele se kilego sa kgethwa, semelo sa bona se bonagatša semelo sa Sathane. “Moloko wo o kgethilwego” wo mehleng ya kgale o bego e se setšhaba sa Modimo, o kgethwa ka mokgwa wa go lekwa, go hlwekišwa ka go tlošwa ga ditšhila, le go sekišwa. Bao ba fetišago tshepedišo ya teko ba kgethwa gore ba be kamanong ya kgwerano le Modimo. Morena o ile a tsena kgweranong le kereke ya Bokriste, ka morago gape le Advente ya Millerite, gomme o dira bjalo gape le ba dikete tše lekgolo-masomenne-nne.</w:t>
      </w:r>
    </w:p>
    <w:p>
      <w:pPr>
        <w:pStyle w:val="ArticleBody"/>
        <w:jc w:val="left"/>
      </w:pPr>
      <w:r>
        <w:rPr>
          <w:rFonts w:ascii="Times New Roman" w:hAnsi="Times New Roman" w:eastAsia="Times New Roman" w:cs="Times New Roman"/>
        </w:rPr>
        <w:t>Apabila Tuhan mengikat perjanjian dengan umat Tuhan yang baru dipilih (yang pada masa-masa lampau bukan umat Tuhan), Ia datang kepada mereka sebagai Utusan Perjanjian itu. Dalam setiap satu daripada tiga sejarah yang menggenapi Maleakhi fasal tiga, terdapat seorang utusan yang menyediakan jalan bagi Utusan Perjanjian itu. Utusan yang pertama ialah Yohanes Pembaptis, yang melambangkan utusan kedua dan ketiga. Utusan yang kedua ialah William Miller. Bersama-sama, ciri-ciri nubuat Yohanes Pembaptis dan William Miller menetapkan ciri-ciri utusan yang menyediakan jalan bagi Utusan Perjanjian itu untuk datang dan mengikat perjanjian dengan seratus empat puluh empat ribu.</w:t>
      </w:r>
    </w:p>
    <w:p>
      <w:pPr>
        <w:pStyle w:val="ArticleBody"/>
        <w:jc w:val="left"/>
      </w:pPr>
      <w:r>
        <w:rPr>
          <w:rFonts w:ascii="Times New Roman" w:hAnsi="Times New Roman" w:eastAsia="Times New Roman" w:cs="Times New Roman"/>
        </w:rPr>
        <w:t>Barua tatu wanaotayarisha njia kwa ajili ya Kristo, aliye Mjumbe wa Agano, aje ghafula katika hekalu Lake, zinaonyesha kazi inayotimizwa katika wakati wa hukumu ya uchunguzi, ambayo inahitimika katika hukumu ya utekelezaji.</w:t>
      </w:r>
    </w:p>
    <w:p>
      <w:pPr>
        <w:pStyle w:val="ArticleScripture"/>
        <w:jc w:val="left"/>
      </w:pPr>
      <w:r>
        <w:rPr>
          <w:rFonts w:ascii="Times New Roman" w:hAnsi="Times New Roman" w:eastAsia="Times New Roman" w:cs="Times New Roman"/>
        </w:rPr>
        <w:t>“Batelani ba mafelelo a histori ya lefase le, kgwerano ya Modimo le setšhaba sa gagwe seo se bolokago ditaelo tša gagwe e swanetše go mpshafatšwa. ‘Mohlang woo ke tla ba direla kgwerano le diphoofolo tša naga, le dinonyana tša legodimo, le dilo tše di gagabago godimo ga mmu; gomme ke tla fediša bora, le tšhoša, le ntwa mo lefaseng, gomme ke tla dira gore ba robale ba bolokegile. Gomme ke tla go beeletša go nna ka mo go sa felego; ee, ke tla go beeletša go nna ka toko, le ka kahlolo, le ka botho bjo lerato, le ka maikwelo a kwelobohloko. Ke tla go beeletša go nna le ka potego; gomme o tla tseba Morena.’”</w:t>
      </w:r>
    </w:p>
    <w:p>
      <w:pPr>
        <w:pStyle w:val="ArticleScripture"/>
        <w:jc w:val="left"/>
      </w:pPr>
      <w:r>
        <w:rPr>
          <w:rFonts w:ascii="Times New Roman" w:hAnsi="Times New Roman" w:eastAsia="Times New Roman" w:cs="Times New Roman"/>
        </w:rPr>
        <w:t>“‘Na i go kam long dispela de, bai mi harim, tok bilong Bikpela, bai mi harim heven, na ol bai harim graun; na graun bai harim wit, na wain, na wel; na ol bai harim Jesriel. Na bai mi planim em long mi yet long graun; na bai mi sori long em husat i no bin kisim sori; na bai mi tok long ol husat i no bin ol manmeri bilong mi, Yu ol manmeri bilong mi; na ol bai tok, Yu God bilong mi.’ Hosea 2:14–23.”</w:t>
      </w:r>
    </w:p>
    <w:p>
      <w:pPr>
        <w:pStyle w:val="ArticleScripture"/>
        <w:jc w:val="left"/>
      </w:pPr>
      <w:r>
        <w:rPr>
          <w:rFonts w:ascii="Times New Roman" w:hAnsi="Times New Roman" w:eastAsia="Times New Roman" w:cs="Times New Roman"/>
        </w:rPr>
        <w:t>“‘Pada waktu itu, ... sisa Israel, dan orang-orang yang terluput dari kaum Yakub, ... akan bersandar dengan sungguh-sungguh kepada TUHAN, Yang Mahakudus, Allah Israel.’ Yesaya 10:20. Dari ‘setiap bangsa dan suku dan bahasa dan kaum’ akan ada orang-orang yang dengan sukacita menyambut pekabaran itu, ‘Takutlah akan Allah dan muliakanlah Dia, karena telah tiba saat penghakiman-Nya.’ Mereka akan berbalik dari setiap berhala yang mengikat mereka kepada dunia ini, dan akan ‘menyembah Dia yang telah menjadikan langit dan bumi dan laut dan semua mata air.’ Mereka akan melepaskan diri dari setiap jerat, dan akan berdiri di hadapan dunia sebagai tugu-tugu belas kasihan Allah. Taat kepada setiap tuntutan ilahi, mereka akan dikenal oleh para malaikat maupun oleh manusia sebagai mereka yang ‘menuruti perintah-perintah Allah dan iman kepada Yesus.’ Wahyu 14:6–7, 12.”</w:t>
      </w:r>
    </w:p>
    <w:p>
      <w:pPr>
        <w:pStyle w:val="ArticleScripture"/>
        <w:jc w:val="left"/>
      </w:pPr>
      <w:r>
        <w:rPr>
          <w:rFonts w:ascii="Times New Roman" w:hAnsi="Times New Roman" w:eastAsia="Times New Roman" w:cs="Times New Roman"/>
        </w:rPr>
        <w:t>“‘Ningwa, matendo wa hondi, a ti Bwana, hiya mundu wa kulima neakakwatana na wa kuvuna, na wa kukanyaga zabibu na iye wa kupanda mbeu; na milima neikadondosha divai tamu, na vilima vyose neikayeyuka. Nami nikaurudisha [nikaigeuza] hali ya uteka ya watu wangu wa Israeli, nao neikajenga miji iliyoharibiwa, na kukaa ndani yake; nao neikapanda mashamba ya mizabibu, na kunywa divai yake; tena neikafanya bustani, na kula matunda yake. Nami nikaipanda juu ya nchi yao, nao hawat’ongolewa tena katika nchi yao niliyowapa, asema Bwana, Mungu wako. Amos 9:13–15.’” Review and Herald, Februari 26, 1914.</w:t>
      </w:r>
    </w:p>
    <w:p>
      <w:pPr>
        <w:pStyle w:val="ArticleBody"/>
        <w:jc w:val="left"/>
      </w:pPr>
      <w:r>
        <w:rPr>
          <w:rFonts w:ascii="Times New Roman" w:hAnsi="Times New Roman" w:eastAsia="Times New Roman" w:cs="Times New Roman"/>
        </w:rPr>
        <w:t>Maleakhi kgaolo ya boraro e ile ya phethagala nakong ya Kriste, le nakong ya Bamillerite, gomme histori tše pedi tšeo di hlaola phethagatšo ya yona mehleng ya bofelo. Sister White o gokaganya phethagatšo ya Maleakhi kgaolo ya boraro le modiro wa Kriste wa go hlwekiša tempele.</w:t>
      </w:r>
    </w:p>
    <w:p>
      <w:pPr>
        <w:pStyle w:val="ArticleScripture"/>
        <w:jc w:val="left"/>
      </w:pPr>
      <w:r>
        <w:rPr>
          <w:rFonts w:ascii="Times New Roman" w:hAnsi="Times New Roman" w:eastAsia="Times New Roman" w:cs="Times New Roman"/>
        </w:rPr>
        <w:t>“Dalam membersihkan Bait Suci daripada para pembeli dan penjual dunia, Yesus mengumumkan misi-Nya untuk membersihkan hati daripada pencemaran dosa,—daripada keinginan-keinginan duniawi, nafsu-nafsu mementingkan diri, tabiat-tabiat jahat, yang merosakkan jiwa. Maleakhi 3:1–3 dipetik.” The Desire of Ages, 161.</w:t>
      </w:r>
    </w:p>
    <w:p>
      <w:pPr>
        <w:pStyle w:val="ArticleBody"/>
        <w:jc w:val="left"/>
      </w:pPr>
      <w:r>
        <w:rPr>
          <w:rFonts w:ascii="Times New Roman" w:hAnsi="Times New Roman" w:eastAsia="Times New Roman" w:cs="Times New Roman"/>
        </w:rPr>
        <w:t>Penyucian bait suci oleh Kristus melambangkan pekerjaan-Nya menyucikan hati orang berdosa yang bertobat. Dalam pelayanan-Nya di antara manusia, Ia dua kali menyucikan bait suci di bumi.</w:t>
      </w:r>
    </w:p>
    <w:p>
      <w:pPr>
        <w:pStyle w:val="ArticleScripture"/>
        <w:jc w:val="left"/>
      </w:pPr>
      <w:r>
        <w:rPr>
          <w:rFonts w:ascii="Times New Roman" w:hAnsi="Times New Roman" w:eastAsia="Times New Roman" w:cs="Times New Roman"/>
        </w:rPr>
        <w:t>“Umprofethi uthi, ‘Ngabona enye ingelosi yehla ivela ezulwini, inamandla amakhulu; nomhlaba wakhanyiswa yinkazimulo yayo. Yamemeza ngamandla ngezwi elikhulu, yathi, Liwile, liwile, iBhabhiloni elikhulu, selibe yindawo yokuhlala yamademoni’ (IsAmbulo 18:1, 2). Lona ngumyalezo ofanayo nalowo owanikezwa yingelosi yesibili. Liwile iBhabhiloni, ‘ngokuba wanathisa zonke izizwe iwayini lolaka lobufebe bakhe’ (IsAmbulo 14:8). Liyini lelo wayini?—Izimfundiso zakhe zamanga. Unike umhlaba isabatha yamanga esikhundleni seSabatha somyalo wesine, waphinda amanga uSathane awaqala ukuwatshela u-Eva e-Edene—ukungafi kwemvelo komphefumulo. Amaphutha amaningi afanayo uwachithachithe kabanzi, ‘efundisa njengezimfundiso imiyalo yabantu’ (Mathewu 15:9).”</w:t>
      </w:r>
    </w:p>
    <w:p>
      <w:pPr>
        <w:pStyle w:val="ArticleScripture"/>
        <w:jc w:val="left"/>
      </w:pPr>
      <w:r>
        <w:rPr>
          <w:rFonts w:ascii="Times New Roman" w:hAnsi="Times New Roman" w:eastAsia="Times New Roman" w:cs="Times New Roman"/>
        </w:rPr>
        <w:t>“Ha Jesu a qala bosebeletsi ba Hae ba phatlalatsa, O ile a hloekisa Tempele tšilafalong ea eona e nyelisang e halalelang. Har’a liketso tsa ho qetela tsa bosebeletsi ba Hae ho bile le tlhoekiso ea bobeli ea Tempele. Ka hona mosebetsing oa ho qetela oa tlhokomeliso ea lefatše, likereke li etsetsoa mehoo e ’meli e arohaneng. Molaetsa oa lengeloi la bobeli ke hore, ‘Babylona o oele, o oele, motse oo o moholo, hobane o noesitse lichaba tsohle veine ea khalefo ea bofebe ba oona’ (Tšenolo 14:8). ’Me mohoeng o moholo oa molaetsa oa lengeloi la boraro ho utloahala lentsoe le tsoang leholimong le re, ‘Tsoang ho eena, sechaba sa ka, hore le se ke la kopanela libeng tsa hae, le hore le se ke la amohela likotlo tsa hae. Hobane libe tsa hae li fihlile leholimong, ’me Molimo o hopotse bokhopo ba hae’ (Tšenolo 18:4, 5).” Selected Messages, buka ea 2, 118.</w:t>
      </w:r>
    </w:p>
    <w:p>
      <w:pPr>
        <w:pStyle w:val="ArticleBody"/>
        <w:jc w:val="left"/>
      </w:pPr>
      <w:r>
        <w:rPr>
          <w:rFonts w:ascii="Times New Roman" w:hAnsi="Times New Roman" w:eastAsia="Times New Roman" w:cs="Times New Roman"/>
        </w:rPr>
        <w:t>Dalam penggenapan Maleakhi pasal tiga, Yohanes Pembaptis ialah utusan yang mempersiapkan bagi Yesus, sebagai Utusan Perjanjian itu, untuk dengan tiba-tiba datang ke bait-Nya dan dua kali mentahirkannya. Dalam pelayanan-Nya selama tiga setengah tahun, Ia mentahirkan bait itu pada permulaan dan pada akhir pelayanan-Nya, dengan demikian menandai bahwa pekerjaan pentahiran itu mempunyai suatu permulaan yang melambangkan pengakhiran. Yesus senantiasa menggambarkan pengakhiran dengan permulaan, dan selaras dengan pekerjaan-Nya sebagai Alfa dan Omega, masa tiga setengah tahun itu dimulai dan diakhiri dengan pentahiran bait.</w:t>
      </w:r>
    </w:p>
    <w:p>
      <w:pPr>
        <w:pStyle w:val="ArticleBody"/>
        <w:jc w:val="left"/>
      </w:pPr>
      <w:r>
        <w:rPr>
          <w:rFonts w:ascii="Times New Roman" w:hAnsi="Times New Roman" w:eastAsia="Times New Roman" w:cs="Times New Roman"/>
        </w:rPr>
        <w:t>Pada penghujung tiga tahun setengah itu, Dia menumpahkan darah yang mengesahkan perjanjian yang menggenapi nubuat dalam Daniel pasal sembilan, bahawa Dia akan meneguhkan perjanjian dengan ramai orang selama satu minggu, yang pada pertengahannya Dia akan dilenyapkan.</w:t>
      </w:r>
    </w:p>
    <w:p>
      <w:pPr>
        <w:pStyle w:val="ArticleScripture"/>
        <w:jc w:val="left"/>
      </w:pPr>
      <w:r>
        <w:rPr>
          <w:rFonts w:ascii="Times New Roman" w:hAnsi="Times New Roman" w:eastAsia="Times New Roman" w:cs="Times New Roman"/>
        </w:rPr>
        <w:t>At pagkatapos ng animnapu at dalawang sanlinggo ay mahihiwalay ang Mesiyas, ngunit hindi dahil sa kaniyang sarili: at ang bayan ng prinsipe na darating ay gigibain ang lunsod at ang santuwaryo; at ang wakas nito ay darating na parang baha, at hanggang sa wakas ng digmaan ay itinakda ang mga pagkawasak. At pagtitibayin niya ang tipan sa marami sa loob ng isang sanlinggo: at sa kalagitnaan ng sanlinggo ay kaniyang papatigilin ang hain at ang handog, at dahil sa paglaganap ng mga kasuklamsuklam ay kaniyang gagawin itong tiwangwang, hanggang sa katapusan, at yaong itinakda ay ibubuhos sa itinalagang maging tiwangwang. Daniel 9:26, 27.</w:t>
      </w:r>
    </w:p>
    <w:p>
      <w:pPr>
        <w:pStyle w:val="ArticleBody"/>
        <w:jc w:val="left"/>
      </w:pPr>
      <w:r>
        <w:rPr>
          <w:rFonts w:ascii="Times New Roman" w:hAnsi="Times New Roman" w:eastAsia="Times New Roman" w:cs="Times New Roman"/>
        </w:rPr>
        <w:t>Kita akan meneruskan kajian ini dalam artikel yang seterusnya.</w:t>
      </w:r>
    </w:p>
    <w:p>
      <w:pPr>
        <w:pStyle w:val="ArticleScripture"/>
        <w:jc w:val="left"/>
      </w:pPr>
      <w:r>
        <w:rPr>
          <w:rFonts w:ascii="Times New Roman" w:hAnsi="Times New Roman" w:eastAsia="Times New Roman" w:cs="Times New Roman"/>
        </w:rPr>
        <w:t>“Likhephe le likhephe li ka ngwalwa mabapi le dilo tše. Dikopano ka moka di thoma go omišwa ke metheo e swailwego ka tsela yeo e fapogilego. ‘Gobane banna ba bahumi ba gona ba tletše ka bošoro, gomme badudi ba gona ba boletše maaka, leleme la bona ke bofora ka melomong ya bona.’ Morena o tla šoma go hlwekiša kereke ya gagwe. Ke le botša therešo, Morena o kgauswi le go retologa le go menaganya gape ka go menaganya ditheo tšeo di bitšwago ka leina la gagwe.”</w:t>
      </w:r>
    </w:p>
    <w:p>
      <w:pPr>
        <w:pStyle w:val="ArticleScripture"/>
        <w:jc w:val="left"/>
      </w:pPr>
      <w:r>
        <w:rPr>
          <w:rFonts w:ascii="Times New Roman" w:hAnsi="Times New Roman" w:eastAsia="Times New Roman" w:cs="Times New Roman"/>
        </w:rPr>
        <w:t>“Katengengisa pono eno ea go hlwekiswa e tla thoma, ga ke kgone go bolela, eupša e ka se diege nako e telele. Yo fan ya gagwe e lego seatleng sa gagwe o tla hlwekiša tempele ya gagwe ditšhilafalong tša yona tša maitshwaro. O tla hlwekiša lebato la gagwe ka botlalo. Modimo o na le ngangišano le bohle bao ba dirago gaešita le go hloka toka go gonnyane kudu; gobane ka go dira bjalo ba gana bolaodi bja Modimo, gomme ba bea kotsing kabelo ya bona poelanong, topollong yeo Kriste a e dirilego bakeng sa morwa le morwedi yo mongwe le yo mongwe wa Adama. Na go tla ba le mohola go tšea tsela yeo e šišimišago Modimo? Na go tla ba le mohola go bea mollong wa lena wa dibjana tša lena tša diorelo mollo o šele gore le o direle pele ga Modimo, gomme la re ga go dire phapano?”</w:t>
      </w:r>
    </w:p>
    <w:p>
      <w:pPr>
        <w:pStyle w:val="ArticleScripture"/>
        <w:jc w:val="left"/>
      </w:pPr>
      <w:r>
        <w:rPr>
          <w:rFonts w:ascii="Times New Roman" w:hAnsi="Times New Roman" w:eastAsia="Times New Roman" w:cs="Times New Roman"/>
        </w:rPr>
        <w:t>“Ga se ka ga ya ka thulaganyo ya Modimo gore go tseelwe tsotlhe kwa Battle Creek botlhokwa jo bo kalo. Boemo jo bo leng gone jaanong ke jone jo bo neng jwa bontshiwa pele ga me e le tlhagiso. Pelo ya me e a lwala ka ntlha ya setshwantsho seo. Morena o ne a neela ditemoso go thibela boemo jono jo bo senyang maitsholo, mme ga di a ka tsa tsewa tsia. ‘Lona lo letswai la lefatshe; mme fa letswai le latlhegetswe ke tatso ya lone, le tla natswiwa ka eng? Go tloga foo ga le sa tlhola le le mosola mo go sepe, fa e se go latlhelwa kwa ntle le go gatakiwa ka dinao ke batho.’”</w:t>
      </w:r>
    </w:p>
    <w:p>
      <w:pPr>
        <w:pStyle w:val="ArticleScripture"/>
        <w:jc w:val="left"/>
      </w:pPr>
      <w:r>
        <w:rPr>
          <w:rFonts w:ascii="Times New Roman" w:hAnsi="Times New Roman" w:eastAsia="Times New Roman" w:cs="Times New Roman"/>
        </w:rPr>
        <w:t>“Ndzi kombela eka vamakwerhu leswaku va pfuka. Loko ku nga ri na ku cinca hi ku hatlisa, ndzi fanele ku byela vanhu ntiyiso wa swilo leswi; hikuva xiyimo lexi xa swilo xi fanele ku cinca; vanhu lava nga hundzukangiki a va ha fanelanga ku va valawuri ni vafambisi emintirhweni ya nkoka ngopfu ni yo kwetsima swonghasi. Na Davhida hi sindzisiwa ku vula hi leswaku, ‘I nkarhi wa wena, Yehovha, ku tirha: hikuva va endlile leswaku nawu wa wena wu nga vi na matimba.’”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dc:title>
  <dc:subject>ꯑꯥꯏ ꯀꯥꯏꯁ꯭ꯇꯇꯥ ꯂꯥꯏꯔꯤꯛꯄꯥ ꯊꯥꯖꯕ ꯑꯗꯨ ꯌꯥꯎꯔꯤꯕ ꯄ꯭ꯔꯣꯇꯦꯁꯇꯦꯟꯇꯤꯁꯝꯗ ꯑꯄꯣꯁꯇꯦꯁꯤꯒꯤ ꯄꯨꯌꯥ ꯋꯥꯔꯣꯜ ꯑꯅꯥꯂꯤꯁꯤꯁ</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