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Seratus Dua</w:t>
      </w:r>
    </w:p>
    <w:p>
      <w:pPr>
        <w:pStyle w:val="ArticleSubtitle"/>
        <w:jc w:val="left"/>
      </w:pPr>
      <w:r>
        <w:rPr>
          <w:rFonts w:ascii="Nirmala UI" w:hAnsi="Nirmala UI" w:eastAsia="Nirmala UI" w:cs="Nirmala UI"/>
        </w:rPr>
        <w:t>உத்தரவைத்</w:t>
      </w:r>
      <w:r>
        <w:rPr>
          <w:rFonts w:ascii="Arial" w:hAnsi="Arial" w:eastAsia="Arial" w:cs="Arial"/>
        </w:rPr>
        <w:t xml:space="preserve"> </w:t>
      </w:r>
      <w:r>
        <w:rPr>
          <w:rFonts w:ascii="Nirmala UI" w:hAnsi="Nirmala UI" w:eastAsia="Nirmala UI" w:cs="Nirmala UI"/>
        </w:rPr>
        <w:t>தருபவரின்</w:t>
      </w:r>
      <w:r>
        <w:rPr>
          <w:rFonts w:ascii="Arial" w:hAnsi="Arial" w:eastAsia="Arial" w:cs="Arial"/>
        </w:rPr>
        <w:t xml:space="preserve"> </w:t>
      </w:r>
      <w:r>
        <w:rPr>
          <w:rFonts w:ascii="Nirmala UI" w:hAnsi="Nirmala UI" w:eastAsia="Nirmala UI" w:cs="Nirmala UI"/>
        </w:rPr>
        <w:t>மும்மடங்கான</w:t>
      </w:r>
      <w:r>
        <w:rPr>
          <w:rFonts w:ascii="Arial" w:hAnsi="Arial" w:eastAsia="Arial" w:cs="Arial"/>
        </w:rPr>
        <w:t xml:space="preserve"> </w:t>
      </w:r>
      <w:r>
        <w:rPr>
          <w:rFonts w:ascii="Nirmala UI" w:hAnsi="Nirmala UI" w:eastAsia="Nirmala UI" w:cs="Nirmala UI"/>
        </w:rPr>
        <w:t>பயன்பாடு</w:t>
      </w:r>
      <w:r>
        <w:rPr>
          <w:rFonts w:ascii="Arial" w:hAnsi="Arial" w:eastAsia="Arial" w:cs="Arial"/>
        </w:rPr>
        <w:t xml:space="preserve">: </w:t>
      </w:r>
      <w:r>
        <w:rPr>
          <w:rFonts w:ascii="Nirmala UI" w:hAnsi="Nirmala UI" w:eastAsia="Nirmala UI" w:cs="Nirmala UI"/>
        </w:rPr>
        <w:t>தீர்க்கதரிசன</w:t>
      </w:r>
      <w:r>
        <w:rPr>
          <w:rFonts w:ascii="Arial" w:hAnsi="Arial" w:eastAsia="Arial" w:cs="Arial"/>
        </w:rPr>
        <w:t xml:space="preserve"> </w:t>
      </w:r>
      <w:r>
        <w:rPr>
          <w:rFonts w:ascii="Nirmala UI" w:hAnsi="Nirmala UI" w:eastAsia="Nirmala UI" w:cs="Nirmala UI"/>
        </w:rPr>
        <w:t>இயக்கவியலை</w:t>
      </w:r>
      <w:r>
        <w:rPr>
          <w:rFonts w:ascii="Arial" w:hAnsi="Arial" w:eastAsia="Arial" w:cs="Arial"/>
        </w:rPr>
        <w:t xml:space="preserve"> </w:t>
      </w:r>
      <w:r>
        <w:rPr>
          <w:rFonts w:ascii="Nirmala UI" w:hAnsi="Nirmala UI" w:eastAsia="Nirmala UI" w:cs="Nirmala UI"/>
        </w:rPr>
        <w:t>வெளிப்படுத்துதல்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Ukusetshenziswa kathathu kuka-Eliya kubhekisa emlayezweni, esithunyweni, nasenhlanganweni phakathi kwesikhathi sokwahlulela kukaNkulunkulu esiphezulu, esiqala ngomthetho weSonto e-United States futhi siqhubeke kuze kube sekupheleni kwesikhathi somusa. Lokhu kwahlulela okuphezulu kuyakhula kusuke esikhathini lapho ukwahlulela kukaNkulunkulu kuhlanganiswe nesihawu, kuye esikhathini lapho ukwahlulela kwaKhe kuthululwa khona ngaphandle kwesihawu ezinhlehlweni eziyisikhombisa zokugcina.</w:t>
      </w:r>
    </w:p>
    <w:p>
      <w:pPr>
        <w:pStyle w:val="ArticleBody"/>
        <w:jc w:val="left"/>
      </w:pPr>
      <w:r>
        <w:rPr>
          <w:rFonts w:ascii="Times New Roman" w:hAnsi="Times New Roman" w:eastAsia="Times New Roman" w:cs="Times New Roman"/>
        </w:rPr>
        <w:t>Tšhomišo e meraro ya moromiwa yo a lokišetšago tsela ya Moromiwa wa Kgwerano e lebanwe le molaetša, moromiwa le mokgatlo nakong ya mafelelo ya kahlolo ya nyakišišo ya Modimo, yeo e hlaolago nako ya go swaya ka leswao ga ba dikete tše lekgolo-masomenne-nne. Nako yeo e fela ka molao wa Sontaga wo o tlago kgauswi kua United States, e lego nakong yeo dikahlolo tša phethišo tša Modimo di thomago.</w:t>
      </w:r>
    </w:p>
    <w:p>
      <w:pPr>
        <w:pStyle w:val="ArticleBody"/>
        <w:jc w:val="left"/>
      </w:pPr>
      <w:r>
        <w:rPr>
          <w:rFonts w:ascii="Times New Roman" w:hAnsi="Times New Roman" w:eastAsia="Times New Roman" w:cs="Times New Roman"/>
        </w:rPr>
        <w:t>Johanes Pembaptis menyediakan jalan bagi Kristus, Utusan Perjanjian itu, untuk meneguhkan perjanjian itu dalam penggenapan Daniel pasal sembilan, ayat dua puluh tujuh. Dengan berbuat demikian, ia juga menyediakan jalan bagi Kristus untuk dengan tiba-tiba datang ke bait-Nya dan menyucikan anak-anak Lewi, yang dilakukan-Nya pada permulaan dan pada penutupan pelayanan-Nya selama tiga tahun setengah. Penyucian bait suci harfiah itu merupakan lambang pekerjaan-Nya menyucikan bait suci jiwa mereka yang dilambangkan sebagai anak-anak Lewi.</w:t>
      </w:r>
    </w:p>
    <w:p>
      <w:pPr>
        <w:pStyle w:val="ArticleBody"/>
        <w:jc w:val="left"/>
      </w:pPr>
      <w:r>
        <w:rPr>
          <w:rFonts w:ascii="Times New Roman" w:hAnsi="Times New Roman" w:eastAsia="Times New Roman" w:cs="Times New Roman"/>
        </w:rPr>
        <w:t>Litsebê tša gagwe tša go hlwekiša tempele e be e le phethagatšo ya boporofeta, gomme ge A phethile mošomo wo go Johane kgaolo ya bobedi, ditemana tša lesome-tharo go fihla go masomepedi-pedi, Moya o Mokgethwa wa eta barutiwa go gopola temana ye e tšwago Testamenteng ya Kgale yeo e bego e le karolo ya mošomo wa Gagwe wa go hlwekiša le go hlatswa barutiwa ka phethagatšo ya Maleaki tharo.</w:t>
      </w:r>
    </w:p>
    <w:p>
      <w:pPr>
        <w:pStyle w:val="ArticleBody"/>
        <w:jc w:val="left"/>
      </w:pPr>
      <w:r>
        <w:rPr>
          <w:rFonts w:ascii="Times New Roman" w:hAnsi="Times New Roman" w:eastAsia="Times New Roman" w:cs="Times New Roman"/>
        </w:rPr>
        <w:t>Dalam petikan dalam Yohanes, Kristus menyatakan bahawa apabila bait tubuh-Nya dibinasakan, Dia akan membangkitkannya dalam tiga hari. Interaksi dengan orang-orang Yahudi yang suka berbantah itu menambahkan bahawa pengubahsuaian bait harfiah yang telah dijalankan oleh Herodes, dan yang telah diselesaikan pada tahun itu juga, telah mengambil masa empat puluh enam tahun. Yesus sedang menyucikan murid-murid-Nya melalui suatu contoh salah satu daripada kaedah yang berkaitan dengan firman nubuat yang telah Yesus abadikan dalam Firman-Nya, melalui pekerjaan malaikat-malaikat, Roh Kudus dan para nabi.</w:t>
      </w:r>
    </w:p>
    <w:p>
      <w:pPr>
        <w:pStyle w:val="ArticleBody"/>
        <w:jc w:val="left"/>
      </w:pPr>
      <w:r>
        <w:rPr>
          <w:rFonts w:ascii="Times New Roman" w:hAnsi="Times New Roman" w:eastAsia="Times New Roman" w:cs="Times New Roman"/>
        </w:rPr>
        <w:t>Beliau telah memberikan contoh nubuatan bahawa yang harfiah melambangkan yang rohani. Beliau telah menetapkan kunci nubuatan bagi angka “empat puluh enam” sebagai lambang bait suci. “Empat puluh enam” ialah jumlah hari Musa berada di atas gunung menerima petunjuk bagi bait suci. “Empat puluh enam” ialah bilangan kromosom yang membentuk bait suci manusia. “Empat puluh enam” ialah bilangan tahun (1798 hingga 1844) yang telah digenapi dalam pemulihan bait suci rohani yang telah dipijak-pijak oleh paganisme dan kemudian kepausan.</w:t>
      </w:r>
    </w:p>
    <w:p>
      <w:pPr>
        <w:pStyle w:val="ArticleBody"/>
        <w:jc w:val="left"/>
      </w:pPr>
      <w:r>
        <w:rPr>
          <w:rFonts w:ascii="Times New Roman" w:hAnsi="Times New Roman" w:eastAsia="Times New Roman" w:cs="Times New Roman"/>
        </w:rPr>
        <w:t>Ho ntshišwa ga tempele tše pedi go akaretša seswantšho sa boporofeta sa gore matšatši a mararo a lekana le nywaga e masomenne-seswai. Go akaretša molao wa gore sa kgonthe se emela sa semoya. Se emetše bobedi phethagatšo le boporofeto bja boporofeta. Go ntshišwa ga tempele tše pedi go emela therešo yeo e sa kwešišwego gabotse ke sehlopha se sengwe, eupša e utollwa go sehlopha se sengwe.</w:t>
      </w:r>
    </w:p>
    <w:p>
      <w:pPr>
        <w:pStyle w:val="ArticleBody"/>
        <w:jc w:val="left"/>
      </w:pPr>
      <w:r>
        <w:rPr>
          <w:rFonts w:ascii="Times New Roman" w:hAnsi="Times New Roman" w:eastAsia="Times New Roman" w:cs="Times New Roman"/>
        </w:rPr>
        <w:t>Po šis du kartu įvykdyti apvalymai žymi tam tikrą laikotarpį, kai Dievo Bažnyčia buvo ištvirkinta ligi tiek, kad tapo „svetimaujančia angių gimine“, ieškančia ženklo, nors pats ženklas jiems aiškinamas tiesiogiai; nes vienintelis ženklas, kuris bus duotas, yra per tris dienas atstatomos šventyklos sunaikinimo ženklas.</w:t>
      </w:r>
    </w:p>
    <w:p>
      <w:pPr>
        <w:pStyle w:val="ArticleScripture"/>
        <w:jc w:val="left"/>
      </w:pPr>
      <w:r>
        <w:rPr>
          <w:rFonts w:ascii="Myanmar Text" w:hAnsi="Myanmar Text" w:eastAsia="Myanmar Text" w:cs="Myanmar Text"/>
        </w:rPr>
        <w:t>မျိုးဆက်ဆိုးမြွေဆိုးတို့၊</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ဆိုးညစ်သောသူများဖြစ်ကြလျက်</w:t>
      </w:r>
      <w:r>
        <w:rPr>
          <w:rFonts w:ascii="Times New Roman" w:hAnsi="Times New Roman" w:eastAsia="Times New Roman" w:cs="Times New Roman"/>
        </w:rPr>
        <w:t xml:space="preserve"> </w:t>
      </w:r>
      <w:r>
        <w:rPr>
          <w:rFonts w:ascii="Myanmar Text" w:hAnsi="Myanmar Text" w:eastAsia="Myanmar Text" w:cs="Myanmar Text"/>
        </w:rPr>
        <w:t>ကောင်းသောစကားကို</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ပြောနိုင်ကြမည်နည်း။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စိတ်နှလုံး၌</w:t>
      </w:r>
      <w:r>
        <w:rPr>
          <w:rFonts w:ascii="Times New Roman" w:hAnsi="Times New Roman" w:eastAsia="Times New Roman" w:cs="Times New Roman"/>
        </w:rPr>
        <w:t xml:space="preserve"> </w:t>
      </w:r>
      <w:r>
        <w:rPr>
          <w:rFonts w:ascii="Myanmar Text" w:hAnsi="Myanmar Text" w:eastAsia="Myanmar Text" w:cs="Myanmar Text"/>
        </w:rPr>
        <w:t>ပြည့်လျှံနေသောအရာမှ</w:t>
      </w:r>
      <w:r>
        <w:rPr>
          <w:rFonts w:ascii="Times New Roman" w:hAnsi="Times New Roman" w:eastAsia="Times New Roman" w:cs="Times New Roman"/>
        </w:rPr>
        <w:t xml:space="preserve"> </w:t>
      </w:r>
      <w:r>
        <w:rPr>
          <w:rFonts w:ascii="Myanmar Text" w:hAnsi="Myanmar Text" w:eastAsia="Myanmar Text" w:cs="Myanmar Text"/>
        </w:rPr>
        <w:t>နှုတ်သည်</w:t>
      </w:r>
      <w:r>
        <w:rPr>
          <w:rFonts w:ascii="Times New Roman" w:hAnsi="Times New Roman" w:eastAsia="Times New Roman" w:cs="Times New Roman"/>
        </w:rPr>
        <w:t xml:space="preserve"> </w:t>
      </w:r>
      <w:r>
        <w:rPr>
          <w:rFonts w:ascii="Myanmar Text" w:hAnsi="Myanmar Text" w:eastAsia="Myanmar Text" w:cs="Myanmar Text"/>
        </w:rPr>
        <w:t>ပြောတတ်၏။</w:t>
      </w:r>
      <w:r>
        <w:rPr>
          <w:rFonts w:ascii="Times New Roman" w:hAnsi="Times New Roman" w:eastAsia="Times New Roman" w:cs="Times New Roman"/>
        </w:rPr>
        <w:t xml:space="preserve"> …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ကျမ်းပြုဆရာအချို့နှင့်</w:t>
      </w:r>
      <w:r>
        <w:rPr>
          <w:rFonts w:ascii="Times New Roman" w:hAnsi="Times New Roman" w:eastAsia="Times New Roman" w:cs="Times New Roman"/>
        </w:rPr>
        <w:t xml:space="preserve"> </w:t>
      </w:r>
      <w:r>
        <w:rPr>
          <w:rFonts w:ascii="Myanmar Text" w:hAnsi="Myanmar Text" w:eastAsia="Myanmar Text" w:cs="Myanmar Text"/>
        </w:rPr>
        <w:t>ဖာရိရှဲအချို့က</w:t>
      </w:r>
      <w:r>
        <w:rPr>
          <w:rFonts w:ascii="Times New Roman" w:hAnsi="Times New Roman" w:eastAsia="Times New Roman" w:cs="Times New Roman"/>
        </w:rPr>
        <w:t xml:space="preserve"> </w:t>
      </w:r>
      <w:r>
        <w:rPr>
          <w:rFonts w:ascii="Myanmar Text" w:hAnsi="Myanmar Text" w:eastAsia="Myanmar Text" w:cs="Myanmar Text"/>
        </w:rPr>
        <w:t>ကိုယ်တော်အား</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ဆရာ၊</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ကိုယ်တော်ထံမှ</w:t>
      </w:r>
      <w:r>
        <w:rPr>
          <w:rFonts w:ascii="Times New Roman" w:hAnsi="Times New Roman" w:eastAsia="Times New Roman" w:cs="Times New Roman"/>
        </w:rPr>
        <w:t xml:space="preserve"> </w:t>
      </w:r>
      <w:r>
        <w:rPr>
          <w:rFonts w:ascii="Myanmar Text" w:hAnsi="Myanmar Text" w:eastAsia="Myanmar Text" w:cs="Myanmar Text"/>
        </w:rPr>
        <w:t>နိမိတ်လက္ခဏာတစ်ခုကို</w:t>
      </w:r>
      <w:r>
        <w:rPr>
          <w:rFonts w:ascii="Times New Roman" w:hAnsi="Times New Roman" w:eastAsia="Times New Roman" w:cs="Times New Roman"/>
        </w:rPr>
        <w:t xml:space="preserve"> </w:t>
      </w:r>
      <w:r>
        <w:rPr>
          <w:rFonts w:ascii="Myanmar Text" w:hAnsi="Myanmar Text" w:eastAsia="Myanmar Text" w:cs="Myanmar Text"/>
        </w:rPr>
        <w:t>မြင်လိုပါသည်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ဆိုးညစ်၍</w:t>
      </w:r>
      <w:r>
        <w:rPr>
          <w:rFonts w:ascii="Times New Roman" w:hAnsi="Times New Roman" w:eastAsia="Times New Roman" w:cs="Times New Roman"/>
        </w:rPr>
        <w:t xml:space="preserve"> </w:t>
      </w:r>
      <w:r>
        <w:rPr>
          <w:rFonts w:ascii="Myanmar Text" w:hAnsi="Myanmar Text" w:eastAsia="Myanmar Text" w:cs="Myanmar Text"/>
        </w:rPr>
        <w:t>သစ္စာဖောက်သော</w:t>
      </w:r>
      <w:r>
        <w:rPr>
          <w:rFonts w:ascii="Times New Roman" w:hAnsi="Times New Roman" w:eastAsia="Times New Roman" w:cs="Times New Roman"/>
        </w:rPr>
        <w:t xml:space="preserve"> </w:t>
      </w:r>
      <w:r>
        <w:rPr>
          <w:rFonts w:ascii="Myanmar Text" w:hAnsi="Myanmar Text" w:eastAsia="Myanmar Text" w:cs="Myanmar Text"/>
        </w:rPr>
        <w:t>မျိုးဆက်သည်</w:t>
      </w:r>
      <w:r>
        <w:rPr>
          <w:rFonts w:ascii="Times New Roman" w:hAnsi="Times New Roman" w:eastAsia="Times New Roman" w:cs="Times New Roman"/>
        </w:rPr>
        <w:t xml:space="preserve"> </w:t>
      </w:r>
      <w:r>
        <w:rPr>
          <w:rFonts w:ascii="Myanmar Text" w:hAnsi="Myanmar Text" w:eastAsia="Myanmar Text" w:cs="Myanmar Text"/>
        </w:rPr>
        <w:t>နိမိတ်လက္ခဏာကို</w:t>
      </w:r>
      <w:r>
        <w:rPr>
          <w:rFonts w:ascii="Times New Roman" w:hAnsi="Times New Roman" w:eastAsia="Times New Roman" w:cs="Times New Roman"/>
        </w:rPr>
        <w:t xml:space="preserve"> </w:t>
      </w:r>
      <w:r>
        <w:rPr>
          <w:rFonts w:ascii="Myanmar Text" w:hAnsi="Myanmar Text" w:eastAsia="Myanmar Text" w:cs="Myanmar Text"/>
        </w:rPr>
        <w:t>ရှာတတ်၏။</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နိမိတ်လက္ခဏာမှတစ်ပါး</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နိမိတ်လက္ခဏာကို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ပေးမည်မဟုတ်။</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ယောနသည်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ဝမ်းတွင်း၌</w:t>
      </w:r>
      <w:r>
        <w:rPr>
          <w:rFonts w:ascii="Times New Roman" w:hAnsi="Times New Roman" w:eastAsia="Times New Roman" w:cs="Times New Roman"/>
        </w:rPr>
        <w:t xml:space="preserve"> </w:t>
      </w:r>
      <w:r>
        <w:rPr>
          <w:rFonts w:ascii="Myanmar Text" w:hAnsi="Myanmar Text" w:eastAsia="Myanmar Text" w:cs="Myanmar Text"/>
        </w:rPr>
        <w:t>သုံးရက်သုံးည</w:t>
      </w:r>
      <w:r>
        <w:rPr>
          <w:rFonts w:ascii="Times New Roman" w:hAnsi="Times New Roman" w:eastAsia="Times New Roman" w:cs="Times New Roman"/>
        </w:rPr>
        <w:t xml:space="preserve"> </w:t>
      </w:r>
      <w:r>
        <w:rPr>
          <w:rFonts w:ascii="Myanmar Text" w:hAnsi="Myanmar Text" w:eastAsia="Myanmar Text" w:cs="Myanmar Text"/>
        </w:rPr>
        <w:t>ရှိခဲ့သကဲ့သို့</w:t>
      </w:r>
      <w:r>
        <w:rPr>
          <w:rFonts w:ascii="Times New Roman" w:hAnsi="Times New Roman" w:eastAsia="Times New Roman" w:cs="Times New Roman"/>
        </w:rPr>
        <w:t xml:space="preserve"> </w:t>
      </w:r>
      <w:r>
        <w:rPr>
          <w:rFonts w:ascii="Myanmar Text" w:hAnsi="Myanmar Text" w:eastAsia="Myanmar Text" w:cs="Myanmar Text"/>
        </w:rPr>
        <w:t>လူသားသည်လည်း</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အသည်းနှလုံး၌</w:t>
      </w:r>
      <w:r>
        <w:rPr>
          <w:rFonts w:ascii="Times New Roman" w:hAnsi="Times New Roman" w:eastAsia="Times New Roman" w:cs="Times New Roman"/>
        </w:rPr>
        <w:t xml:space="preserve"> </w:t>
      </w:r>
      <w:r>
        <w:rPr>
          <w:rFonts w:ascii="Myanmar Text" w:hAnsi="Myanmar Text" w:eastAsia="Myanmar Text" w:cs="Myanmar Text"/>
        </w:rPr>
        <w:t>သုံးရက်သုံးည</w:t>
      </w:r>
      <w:r>
        <w:rPr>
          <w:rFonts w:ascii="Times New Roman" w:hAnsi="Times New Roman" w:eastAsia="Times New Roman" w:cs="Times New Roman"/>
        </w:rPr>
        <w:t xml:space="preserve"> </w:t>
      </w:r>
      <w:r>
        <w:rPr>
          <w:rFonts w:ascii="Myanmar Text" w:hAnsi="Myanmar Text" w:eastAsia="Myanmar Text" w:cs="Myanmar Text"/>
        </w:rPr>
        <w:t>ရှိမည်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12:34, 38–40</w:t>
      </w:r>
      <w:r>
        <w:rPr>
          <w:rFonts w:ascii="Myanmar Text" w:hAnsi="Myanmar Text" w:eastAsia="Myanmar Text" w:cs="Myanmar Text"/>
        </w:rPr>
        <w:t>။</w:t>
      </w:r>
    </w:p>
    <w:p>
      <w:pPr>
        <w:pStyle w:val="ArticleBody"/>
        <w:jc w:val="left"/>
      </w:pPr>
      <w:r>
        <w:rPr>
          <w:rFonts w:ascii="Times New Roman" w:hAnsi="Times New Roman" w:eastAsia="Times New Roman" w:cs="Times New Roman"/>
        </w:rPr>
        <w:t>Tsika tsotlhe tsa boporofeti di emetswe mo ditiragalong tsotlhe tse tharo tsa go diragadiwa ga Morongwa wa Kgolagano a tla ka tshoganyetso mo tempeleng ya Gagwe, jaaka A dirile mo go Johane kgaolo ya bobedi.</w:t>
      </w:r>
    </w:p>
    <w:p>
      <w:pPr>
        <w:pStyle w:val="ArticleScripture"/>
        <w:jc w:val="left"/>
      </w:pPr>
      <w:r>
        <w:rPr>
          <w:rFonts w:ascii="Times New Roman" w:hAnsi="Times New Roman" w:eastAsia="Times New Roman" w:cs="Times New Roman"/>
        </w:rPr>
        <w:t>Dan Paska urang Yahudi geus deukeut, tuluy Yesus naék ka Yerusalem, sarta manggihan di Bait Allah jalma-jalma anu ngajual sapi, domba, jeung japati, jeung para panukeur duit keur calik di dinya. Sanggeus Anjeunna nyieun pecut tina tali-tali leutik, Anjeunna ngusir maranéhna kabéh kaluar ti Bait Allah, kitu deui domba-domba jeung sapi-sapi; duit para panukeur duit dituangkeun ku Anjeunna, sarta méja-méjana dibalikeun. Lajeng saur-Na ka anu ngajual japati, “Bawa ieu kabéh ti dieu; ulah ngajadikeun imah Rama Kami jadi imah padagangan.” Murid-murid-Na tuluy émut yén geus kasurat, “Kacemburuan kana imah-Mu geus ngadahar Kami.” Ku sabab kitu urang Yahudi ngawalon sarta nyarita ka Anjeunna, “Tanda naon anu dipidangkeun ku Anjeun ka kami, nepi ka Anjeun ngalakukeun ieu sagala?” Yesus ngawaler sarta ngandika ka maranéhna, “Runtuhkeun Bait Allah ieu, sarta dina tilu poé Kami bakal ngadegkeunana deui.” Ku kituna urang Yahudi nyarita, “Opat puluh genep taun lilana Bait Allah ieu diwangun, naha Anjeun rek ngadegkeunana deui dina tilu poé?” Tapi anu dimaksud ku Anjeunna teh Bait awak-Na. Ku sabab kitu, sanggeus Anjeunna gugah tina nu paéh, murid-murid-Na émut yén Anjeunna kungsi nyarita kitu ka maranéhna; tuluy maranéhna percaya kana Kitab Suci jeung kana pangandika anu geus diucapkeun ku Yesus. Yohanes 2:13–22.</w:t>
      </w:r>
    </w:p>
    <w:p>
      <w:pPr>
        <w:pStyle w:val="ArticleBody"/>
        <w:jc w:val="left"/>
      </w:pPr>
      <w:r>
        <w:rPr>
          <w:rFonts w:ascii="Times New Roman" w:hAnsi="Times New Roman" w:eastAsia="Times New Roman" w:cs="Times New Roman"/>
        </w:rPr>
        <w:t>Umthunywa weSivumelwano kwakufuneka ahlambulule, aze kwangaxeshanye acokise, oonyana bakaLevi njenge-“silivere,” emela iLizwi likaThixo, ne-“golide,” emela ukholo. Umthunywa weSivumelwano wayeya kubahlambulula abafundi baKhe ngokwandisa “ukholo” lwabo kwi“lizwi” laKhe lesiprofeto. Elo lizwi lesiprofeto lalenzelwe ukuba lihlambulule, kodwa kwangaxeshanye licokise. ILizwi laKhe lesiprofeto lisoloko limela uvavanyo, yaye kungalo iLizwi laKhe lesiprofeto apho oonyana bakaLevi bacokiswa khona ngexesha xa efika ngequbuliso etempileni yaKhe.</w:t>
      </w:r>
    </w:p>
    <w:p>
      <w:pPr>
        <w:pStyle w:val="ArticleScripture"/>
        <w:jc w:val="left"/>
      </w:pPr>
      <w:r>
        <w:rPr>
          <w:rFonts w:ascii="Times New Roman" w:hAnsi="Times New Roman" w:eastAsia="Times New Roman" w:cs="Times New Roman"/>
        </w:rPr>
        <w:t>“‘Barangsiapa penampi-Nya ada di tangan-Nya, dan Ia akan membersihkan tempat pengirikan-Nya sampai tuntas, lalu mengumpulkan gandum-Nya ke dalam lumbung.’ Matius 3:12. Inilah salah satu masa penyucian. Melalui firman kebenaran, sekam sedang dipisahkan dari gandum. Karena mereka terlalu sia-sia dan merasa diri benar untuk menerima teguran, terlalu mencintai dunia untuk menerima kehidupan yang rendah hati, banyak orang berpaling dari Yesus. Banyak orang masih melakukan hal yang sama. Jiwa-jiwa diuji pada masa kini sebagaimana murid-murid itu diuji di rumah ibadat di Kapernaum. Ketika kebenaran dibawa pulang kepada hati, mereka melihat bahwa kehidupan mereka tidak selaras dengan kehendak Allah. Mereka melihat perlunya suatu perubahan yang menyeluruh dalam diri mereka; tetapi mereka tidak mau memikul pekerjaan penyangkalan diri itu. Oleh sebab itu mereka marah ketika dosa-dosa mereka disingkapkan. Mereka pergi dengan tersinggung, sebagaimana murid-murid meninggalkan Yesus sambil bersungut-sungut, ‘Perkataan ini keras; siapakah yang dapat mendengarkannya?’” The Desire of Ages, 392.</w:t>
      </w:r>
    </w:p>
    <w:p>
      <w:pPr>
        <w:pStyle w:val="ArticleBody"/>
        <w:jc w:val="left"/>
      </w:pPr>
      <w:r>
        <w:rPr>
          <w:rFonts w:ascii="Times New Roman" w:hAnsi="Times New Roman" w:eastAsia="Times New Roman" w:cs="Times New Roman"/>
        </w:rPr>
        <w:t>Бо “ҷонҳое ки озмуда шуданд” дар “куништи Кафарнаҳум” рад карданд бифаҳманд, ки вақте Масеҳ ба онҳо гуфт, ки бояд ҷисми Ӯро бихӯранд ва хуни Ӯро бинӯшанд, Ӯ ҷисми зоҳирии Худро барои расонидани як ҳақиқати рӯҳонӣ ба кор мебурд. Ин ҳамон айни муаррифии нубувватӣ буд, ки Ӯ дар бораи маъбад дар боби дуюми Юҳанно карда буд. Вақте ки он усул — ки зоҳирӣ пеш аз рӯҳонӣ меояд ва намояндаи он аст — ҳамчун “сухани сахт” шинохта шуд, ки онҳо намехостанд онро “бишнаванд”, онҳо баргашта, дигар ҳеҷ гоҳ бо Ӯ роҳ нарафтанд. Ин дар боби шашуми Юҳанно, ояти шасту шашум (666), воқеъ шуд, ки қонуни якшанбеи ба зудӣ ояндаро ифода мекунад, ки он ба навбати худ бо 22 октябри соли 1844 тимсол ёфта буд, ва он бошад, ба навбати худ, бо салиби Ҷалҷото тимсол ёфта буд.</w:t>
      </w:r>
    </w:p>
    <w:p>
      <w:pPr>
        <w:pStyle w:val="ArticleScripture"/>
        <w:jc w:val="left"/>
      </w:pPr>
      <w:r>
        <w:rPr>
          <w:rFonts w:ascii="Times New Roman" w:hAnsi="Times New Roman" w:eastAsia="Times New Roman" w:cs="Times New Roman"/>
        </w:rPr>
        <w:t>Ɔɛ ber a no, n’asuafoɔ no mu pii san kɔe, na wɔnantew bio ne no. Yohane 6:66.</w:t>
      </w:r>
    </w:p>
    <w:p>
      <w:pPr>
        <w:pStyle w:val="ArticleBody"/>
        <w:jc w:val="left"/>
      </w:pPr>
      <w:r>
        <w:rPr>
          <w:rFonts w:ascii="Times New Roman" w:hAnsi="Times New Roman" w:eastAsia="Times New Roman" w:cs="Times New Roman"/>
        </w:rPr>
        <w:t>Dalam Yohanes pasal dua, Roh Kudus telah memimpin pikiran para murid untuk “mengingat” nubuat yang menggambarkan kecemburuan Allah, dan kata “cemburu” adalah kata yang sama dengan “iri hati” baik dalam bahasa Ibrani maupun Yunani.</w:t>
      </w:r>
    </w:p>
    <w:p>
      <w:pPr>
        <w:pStyle w:val="ArticleScripture"/>
        <w:jc w:val="left"/>
      </w:pPr>
      <w:r>
        <w:rPr>
          <w:rFonts w:ascii="Times New Roman" w:hAnsi="Times New Roman" w:eastAsia="Times New Roman" w:cs="Times New Roman"/>
        </w:rPr>
        <w:t>Ka ntlha ya gore tlhoafalo ya ntlo ya gago e nkgotsofaditse; mme ditlhapa tsa bone ba ba go tlhapileng di wetse mo go nna. Dipesalema 69:9.</w:t>
      </w:r>
    </w:p>
    <w:p>
      <w:pPr>
        <w:pStyle w:val="ArticleBody"/>
        <w:jc w:val="left"/>
      </w:pPr>
      <w:r>
        <w:rPr>
          <w:rFonts w:ascii="Times New Roman" w:hAnsi="Times New Roman" w:eastAsia="Times New Roman" w:cs="Times New Roman"/>
        </w:rPr>
        <w:t>Keetelopele ya Modimo, e leng lefufa la Gagwe, e emela karolo ya semelo sa Modimo bjalo ka Modimo wa lefufa, yoo lefufa la gagwe le bonagatšwago go fihla molokong wa boraro le wa bone godimo ga bao ba mo hloilego. Go Johane kgaolo ya bobedi, Moya o Mokgethwa o be o bea motheo wa gore tlhwekišo yeo e phethagaditšwego ke Moromiwa wa Kgwerano e direga molokong wa bone le wa mafelelo, le ge ka mehla go sa dutše go eme ba bangwe ba moloko wa boraro ge senwelo sa moloko wa mafelelo se tlala. Moloko woo ke moloko wa bootswa wa marabe.</w:t>
      </w:r>
    </w:p>
    <w:p>
      <w:pPr>
        <w:pStyle w:val="ArticleBody"/>
        <w:jc w:val="left"/>
      </w:pPr>
      <w:r>
        <w:rPr>
          <w:rFonts w:ascii="Times New Roman" w:hAnsi="Times New Roman" w:eastAsia="Times New Roman" w:cs="Times New Roman"/>
        </w:rPr>
        <w:t>Мосеј ја претставуваше четвртата генерација, и токму тогаш Мосеј, во текот на четириесет и шест дена, прими поука за подигањето на храмот. Во тие денови го прими законот, кој во втората заповед укажува дека Божјата љубомора се пројавува во третото и четвртото поколение.</w:t>
      </w:r>
    </w:p>
    <w:p>
      <w:pPr>
        <w:pStyle w:val="ArticleScripture"/>
        <w:jc w:val="left"/>
      </w:pP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അബ്രാമിനോടു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സന്തതി</w:t>
      </w:r>
      <w:r>
        <w:rPr>
          <w:rFonts w:ascii="Times New Roman" w:hAnsi="Times New Roman" w:eastAsia="Times New Roman" w:cs="Times New Roman"/>
        </w:rPr>
        <w:t xml:space="preserve"> </w:t>
      </w:r>
      <w:r>
        <w:rPr>
          <w:rFonts w:ascii="Nirmala UI" w:hAnsi="Nirmala UI" w:eastAsia="Nirmala UI" w:cs="Nirmala UI"/>
        </w:rPr>
        <w:t>തങ്ങളുടേതല്ലാത്ത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ദേശത്തിൽ</w:t>
      </w:r>
      <w:r>
        <w:rPr>
          <w:rFonts w:ascii="Times New Roman" w:hAnsi="Times New Roman" w:eastAsia="Times New Roman" w:cs="Times New Roman"/>
        </w:rPr>
        <w:t xml:space="preserve"> </w:t>
      </w:r>
      <w:r>
        <w:rPr>
          <w:rFonts w:ascii="Nirmala UI" w:hAnsi="Nirmala UI" w:eastAsia="Nirmala UI" w:cs="Nirmala UI"/>
        </w:rPr>
        <w:t>പരദേശികളായി</w:t>
      </w:r>
      <w:r>
        <w:rPr>
          <w:rFonts w:ascii="Times New Roman" w:hAnsi="Times New Roman" w:eastAsia="Times New Roman" w:cs="Times New Roman"/>
        </w:rPr>
        <w:t xml:space="preserve"> </w:t>
      </w:r>
      <w:r>
        <w:rPr>
          <w:rFonts w:ascii="Nirmala UI" w:hAnsi="Nirmala UI" w:eastAsia="Nirmala UI" w:cs="Nirmala UI"/>
        </w:rPr>
        <w:t>പാർക്കും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ദാസ്യമായി</w:t>
      </w:r>
      <w:r>
        <w:rPr>
          <w:rFonts w:ascii="Times New Roman" w:hAnsi="Times New Roman" w:eastAsia="Times New Roman" w:cs="Times New Roman"/>
        </w:rPr>
        <w:t xml:space="preserve"> </w:t>
      </w:r>
      <w:r>
        <w:rPr>
          <w:rFonts w:ascii="Nirmala UI" w:hAnsi="Nirmala UI" w:eastAsia="Nirmala UI" w:cs="Nirmala UI"/>
        </w:rPr>
        <w:t>സേവിക്കയും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നാലുനൂറു</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പീഡിപ്പിക്കയും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നിശ്ചയമായി</w:t>
      </w:r>
      <w:r>
        <w:rPr>
          <w:rFonts w:ascii="Times New Roman" w:hAnsi="Times New Roman" w:eastAsia="Times New Roman" w:cs="Times New Roman"/>
        </w:rPr>
        <w:t xml:space="preserve"> </w:t>
      </w:r>
      <w:r>
        <w:rPr>
          <w:rFonts w:ascii="Nirmala UI" w:hAnsi="Nirmala UI" w:eastAsia="Nirmala UI" w:cs="Nirmala UI"/>
        </w:rPr>
        <w:t>അറിഞ്ഞുകൊൾക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ദാസ്യമായി</w:t>
      </w:r>
      <w:r>
        <w:rPr>
          <w:rFonts w:ascii="Times New Roman" w:hAnsi="Times New Roman" w:eastAsia="Times New Roman" w:cs="Times New Roman"/>
        </w:rPr>
        <w:t xml:space="preserve"> </w:t>
      </w:r>
      <w:r>
        <w:rPr>
          <w:rFonts w:ascii="Nirmala UI" w:hAnsi="Nirmala UI" w:eastAsia="Nirmala UI" w:cs="Nirmala UI"/>
        </w:rPr>
        <w:t>സേവിക്കുന്ന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ജനതയെയും</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ന്യായം</w:t>
      </w:r>
      <w:r>
        <w:rPr>
          <w:rFonts w:ascii="Times New Roman" w:hAnsi="Times New Roman" w:eastAsia="Times New Roman" w:cs="Times New Roman"/>
        </w:rPr>
        <w:t xml:space="preserve"> </w:t>
      </w:r>
      <w:r>
        <w:rPr>
          <w:rFonts w:ascii="Nirmala UI" w:hAnsi="Nirmala UI" w:eastAsia="Nirmala UI" w:cs="Nirmala UI"/>
        </w:rPr>
        <w:t>വിധിക്കും</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മഹാസമ്പത്തോടെ</w:t>
      </w:r>
      <w:r>
        <w:rPr>
          <w:rFonts w:ascii="Times New Roman" w:hAnsi="Times New Roman" w:eastAsia="Times New Roman" w:cs="Times New Roman"/>
        </w:rPr>
        <w:t xml:space="preserve"> </w:t>
      </w:r>
      <w:r>
        <w:rPr>
          <w:rFonts w:ascii="Nirmala UI" w:hAnsi="Nirmala UI" w:eastAsia="Nirmala UI" w:cs="Nirmala UI"/>
        </w:rPr>
        <w:t>പുറപ്പെട്ടുപോകും</w:t>
      </w:r>
      <w:r>
        <w:rPr>
          <w:rFonts w:ascii="Times New Roman" w:hAnsi="Times New Roman" w:eastAsia="Times New Roman" w:cs="Times New Roman"/>
        </w:rPr>
        <w:t xml:space="preserve">. </w:t>
      </w:r>
      <w:r>
        <w:rPr>
          <w:rFonts w:ascii="Nirmala UI" w:hAnsi="Nirmala UI" w:eastAsia="Nirmala UI" w:cs="Nirmala UI"/>
        </w:rPr>
        <w:t>നീയോ</w:t>
      </w:r>
      <w:r>
        <w:rPr>
          <w:rFonts w:ascii="Times New Roman" w:hAnsi="Times New Roman" w:eastAsia="Times New Roman" w:cs="Times New Roman"/>
        </w:rPr>
        <w:t xml:space="preserve"> </w:t>
      </w:r>
      <w:r>
        <w:rPr>
          <w:rFonts w:ascii="Nirmala UI" w:hAnsi="Nirmala UI" w:eastAsia="Nirmala UI" w:cs="Nirmala UI"/>
        </w:rPr>
        <w:t>സമാധാനത്തോടെ</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പിതാക്കന്മാരുടെ</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പോകും</w:t>
      </w:r>
      <w:r>
        <w:rPr>
          <w:rFonts w:ascii="Times New Roman" w:hAnsi="Times New Roman" w:eastAsia="Times New Roman" w:cs="Times New Roman"/>
        </w:rPr>
        <w:t xml:space="preserve">; </w:t>
      </w:r>
      <w:r>
        <w:rPr>
          <w:rFonts w:ascii="Nirmala UI" w:hAnsi="Nirmala UI" w:eastAsia="Nirmala UI" w:cs="Nirmala UI"/>
        </w:rPr>
        <w:t>നല്ല</w:t>
      </w:r>
      <w:r>
        <w:rPr>
          <w:rFonts w:ascii="Times New Roman" w:hAnsi="Times New Roman" w:eastAsia="Times New Roman" w:cs="Times New Roman"/>
        </w:rPr>
        <w:t xml:space="preserve"> </w:t>
      </w:r>
      <w:r>
        <w:rPr>
          <w:rFonts w:ascii="Nirmala UI" w:hAnsi="Nirmala UI" w:eastAsia="Nirmala UI" w:cs="Nirmala UI"/>
        </w:rPr>
        <w:t>വാർദ്ധക്യത്തിൽ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സംസ്കരിക്കപ്പെടും</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തലമുറയിൽ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ഇവിടേക്കു</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എന്തെന്നാൽ</w:t>
      </w:r>
      <w:r>
        <w:rPr>
          <w:rFonts w:ascii="Times New Roman" w:hAnsi="Times New Roman" w:eastAsia="Times New Roman" w:cs="Times New Roman"/>
        </w:rPr>
        <w:t xml:space="preserve"> </w:t>
      </w:r>
      <w:r>
        <w:rPr>
          <w:rFonts w:ascii="Nirmala UI" w:hAnsi="Nirmala UI" w:eastAsia="Nirmala UI" w:cs="Nirmala UI"/>
        </w:rPr>
        <w:t>അമോറിയരുടെ</w:t>
      </w:r>
      <w:r>
        <w:rPr>
          <w:rFonts w:ascii="Times New Roman" w:hAnsi="Times New Roman" w:eastAsia="Times New Roman" w:cs="Times New Roman"/>
        </w:rPr>
        <w:t xml:space="preserve"> </w:t>
      </w:r>
      <w:r>
        <w:rPr>
          <w:rFonts w:ascii="Nirmala UI" w:hAnsi="Nirmala UI" w:eastAsia="Nirmala UI" w:cs="Nirmala UI"/>
        </w:rPr>
        <w:t>അകൃത്യം</w:t>
      </w:r>
      <w:r>
        <w:rPr>
          <w:rFonts w:ascii="Times New Roman" w:hAnsi="Times New Roman" w:eastAsia="Times New Roman" w:cs="Times New Roman"/>
        </w:rPr>
        <w:t xml:space="preserve"> </w:t>
      </w:r>
      <w:r>
        <w:rPr>
          <w:rFonts w:ascii="Nirmala UI" w:hAnsi="Nirmala UI" w:eastAsia="Nirmala UI" w:cs="Nirmala UI"/>
        </w:rPr>
        <w:t>ഇതുവരെ</w:t>
      </w:r>
      <w:r>
        <w:rPr>
          <w:rFonts w:ascii="Times New Roman" w:hAnsi="Times New Roman" w:eastAsia="Times New Roman" w:cs="Times New Roman"/>
        </w:rPr>
        <w:t xml:space="preserve"> </w:t>
      </w:r>
      <w:r>
        <w:rPr>
          <w:rFonts w:ascii="Nirmala UI" w:hAnsi="Nirmala UI" w:eastAsia="Nirmala UI" w:cs="Nirmala UI"/>
        </w:rPr>
        <w:t>നിറഞ്ഞിട്ടില്ല</w:t>
      </w:r>
      <w:r>
        <w:rPr>
          <w:rFonts w:ascii="Times New Roman" w:hAnsi="Times New Roman" w:eastAsia="Times New Roman" w:cs="Times New Roman"/>
        </w:rPr>
        <w:t xml:space="preserve">. </w:t>
      </w:r>
      <w:r>
        <w:rPr>
          <w:rFonts w:ascii="Nirmala UI" w:hAnsi="Nirmala UI" w:eastAsia="Nirmala UI" w:cs="Nirmala UI"/>
        </w:rPr>
        <w:t>ഉല്പത്തി</w:t>
      </w:r>
      <w:r>
        <w:rPr>
          <w:rFonts w:ascii="Times New Roman" w:hAnsi="Times New Roman" w:eastAsia="Times New Roman" w:cs="Times New Roman"/>
        </w:rPr>
        <w:t xml:space="preserve"> 15:13–16.</w:t>
      </w:r>
    </w:p>
    <w:p>
      <w:pPr>
        <w:pStyle w:val="ArticleBody"/>
        <w:jc w:val="left"/>
      </w:pPr>
      <w:r>
        <w:rPr>
          <w:rFonts w:ascii="Times New Roman" w:hAnsi="Times New Roman" w:eastAsia="Times New Roman" w:cs="Times New Roman"/>
        </w:rPr>
        <w:t>Sa molao oa bofelo oa Iseraele ea boholo-holo, tempele ea kereke ea Bokreste, eo Petrose a ileng a e bitsa “ntlo ea moea,” e ile ea hahuoa. Historing eo Molimo o ile a bonahatsa poulelo ea Hae habeli ha, ka cheseho ea Hae, a hloekisa tempele. Ka 1844 Molimo o ne a phahamisitse tempele ea moea ea ba-Millerite, ’me hape o ne a se a fetile batho ba pele ba khethiloeng. Historing eo Moromuoa oa Selekane o ile a tla ka tšohanyetso ka la 22 Mphalane, 1844.</w:t>
      </w:r>
    </w:p>
    <w:p>
      <w:pPr>
        <w:pStyle w:val="ArticleBody"/>
        <w:jc w:val="left"/>
      </w:pPr>
      <w:r>
        <w:rPr>
          <w:rFonts w:ascii="Times New Roman" w:hAnsi="Times New Roman" w:eastAsia="Times New Roman" w:cs="Times New Roman"/>
        </w:rPr>
        <w:t>Ponagalo ya gagwe e ne e baakantswe ka tirelo ya ga William Miller. Fa Maprotestanta le Bamillerite ba ntse ba atamela la 22 Diphalane, 1844, ditlhopha tse pedi di ne tsa lekiwa. Teko ya Moprotestanta e ne ya tla mo nakong ya bokhutlo fa moengele wa ntlha a goroga ka 1798. Morago ga gore molaetsa o o neng o tshwanetse go “itshekisa le go phepafatsa” barwa ba ga Lefi o rulaganngwe semmuso ka 1831, go lekwa ga Maprotestanta go ne ga simologa fa molaetsa wa moengele wa ntlha o ne o nonotshiwa ka la 11 Phatwe, 1840. Ka la 19 Moranang, 1844, Maprotestanta ba ne ba palelwa ke teko, mme ba nna barwadia Babelona.</w:t>
      </w:r>
    </w:p>
    <w:p>
      <w:pPr>
        <w:pStyle w:val="ArticleBody"/>
        <w:jc w:val="left"/>
      </w:pPr>
      <w:r>
        <w:rPr>
          <w:rFonts w:ascii="Leelawadee UI" w:hAnsi="Leelawadee UI" w:eastAsia="Leelawadee UI" w:cs="Leelawadee UI"/>
        </w:rPr>
        <w:t>ឯទេវតាទីពីរក៏បានមកដល់</w:t>
      </w:r>
      <w:r>
        <w:rPr>
          <w:rFonts w:ascii="Times New Roman" w:hAnsi="Times New Roman" w:eastAsia="Times New Roman" w:cs="Times New Roman"/>
        </w:rPr>
        <w:t xml:space="preserve"> </w:t>
      </w:r>
      <w:r>
        <w:rPr>
          <w:rFonts w:ascii="Leelawadee UI" w:hAnsi="Leelawadee UI" w:eastAsia="Leelawadee UI" w:cs="Leelawadee UI"/>
        </w:rPr>
        <w:t>ហើយសេចក្តីជំនឿរបស់ពួកមីល្លឺរ៉ាយត៍ក៏ត្រូវបានសាកល្បងនៅពេលនោះ</w:t>
      </w:r>
      <w:r>
        <w:rPr>
          <w:rFonts w:ascii="Times New Roman" w:hAnsi="Times New Roman" w:eastAsia="Times New Roman" w:cs="Times New Roman"/>
        </w:rPr>
        <w:t xml:space="preserve"> </w:t>
      </w:r>
      <w:r>
        <w:rPr>
          <w:rFonts w:ascii="Leelawadee UI" w:hAnsi="Leelawadee UI" w:eastAsia="Leelawadee UI" w:cs="Leelawadee UI"/>
        </w:rPr>
        <w:t>ហើយការបរិសុទ្ធសំអាត</w:t>
      </w:r>
      <w:r>
        <w:rPr>
          <w:rFonts w:ascii="Times New Roman" w:hAnsi="Times New Roman" w:eastAsia="Times New Roman" w:cs="Times New Roman"/>
        </w:rPr>
        <w:t xml:space="preserve"> </w:t>
      </w:r>
      <w:r>
        <w:rPr>
          <w:rFonts w:ascii="Leelawadee UI" w:hAnsi="Leelawadee UI" w:eastAsia="Leelawadee UI" w:cs="Leelawadee UI"/>
        </w:rPr>
        <w:t>និងការបោសសម្អាតក៏ត្រូវបានសម្រេចឡើង។</w:t>
      </w:r>
      <w:r>
        <w:rPr>
          <w:rFonts w:ascii="Times New Roman" w:hAnsi="Times New Roman" w:eastAsia="Times New Roman" w:cs="Times New Roman"/>
        </w:rPr>
        <w:t xml:space="preserve"> </w:t>
      </w:r>
      <w:r>
        <w:rPr>
          <w:rFonts w:ascii="Leelawadee UI" w:hAnsi="Leelawadee UI" w:eastAsia="Leelawadee UI" w:cs="Leelawadee UI"/>
        </w:rPr>
        <w:t>នៅពេលសាររបស់ទេវតាទីពីរត្រូវបានប្រទានអំណាចនៅកិច្ចប្រជុំជំរុំនៅ</w:t>
      </w:r>
      <w:r>
        <w:rPr>
          <w:rFonts w:ascii="Times New Roman" w:hAnsi="Times New Roman" w:eastAsia="Times New Roman" w:cs="Times New Roman"/>
        </w:rPr>
        <w:t xml:space="preserve"> Exeter </w:t>
      </w:r>
      <w:r>
        <w:rPr>
          <w:rFonts w:ascii="Leelawadee UI" w:hAnsi="Leelawadee UI" w:eastAsia="Leelawadee UI" w:cs="Leelawadee UI"/>
        </w:rPr>
        <w:t>ចាប់ពីថ្ងៃទីដប់ពីរ</w:t>
      </w:r>
      <w:r>
        <w:rPr>
          <w:rFonts w:ascii="Times New Roman" w:hAnsi="Times New Roman" w:eastAsia="Times New Roman" w:cs="Times New Roman"/>
        </w:rPr>
        <w:t xml:space="preserve"> </w:t>
      </w:r>
      <w:r>
        <w:rPr>
          <w:rFonts w:ascii="Leelawadee UI" w:hAnsi="Leelawadee UI" w:eastAsia="Leelawadee UI" w:cs="Leelawadee UI"/>
        </w:rPr>
        <w:t>ដល់ថ្ងៃទីដប់ប្រាំពីរ</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ការសាកល្បងដែលនាំឲ្យមានការបំបែកពួកមីល្លឺរ៉ាយត៍ជាពួកប្រាជ្ញា</w:t>
      </w:r>
      <w:r>
        <w:rPr>
          <w:rFonts w:ascii="Times New Roman" w:hAnsi="Times New Roman" w:eastAsia="Times New Roman" w:cs="Times New Roman"/>
        </w:rPr>
        <w:t xml:space="preserve"> </w:t>
      </w:r>
      <w:r>
        <w:rPr>
          <w:rFonts w:ascii="Leelawadee UI" w:hAnsi="Leelawadee UI" w:eastAsia="Leelawadee UI" w:cs="Leelawadee UI"/>
        </w:rPr>
        <w:t>និងពួកល្ងង់</w:t>
      </w:r>
      <w:r>
        <w:rPr>
          <w:rFonts w:ascii="Times New Roman" w:hAnsi="Times New Roman" w:eastAsia="Times New Roman" w:cs="Times New Roman"/>
        </w:rPr>
        <w:t xml:space="preserve"> </w:t>
      </w:r>
      <w:r>
        <w:rPr>
          <w:rFonts w:ascii="Leelawadee UI" w:hAnsi="Leelawadee UI" w:eastAsia="Leelawadee UI" w:cs="Leelawadee UI"/>
        </w:rPr>
        <w:t>ក៏ត្រូវបានសម្រេចឡើង។</w:t>
      </w:r>
    </w:p>
    <w:p>
      <w:pPr>
        <w:pStyle w:val="ArticleBody"/>
        <w:jc w:val="left"/>
      </w:pPr>
      <w:r>
        <w:rPr>
          <w:rFonts w:ascii="Times New Roman" w:hAnsi="Times New Roman" w:eastAsia="Times New Roman" w:cs="Times New Roman"/>
        </w:rPr>
        <w:t>Perbezaan antara yang bijaksana dan yang bodoh ialah minyak, iaitu mesej nubuat Seruan Tengah Malam. Apabila malaikat ketiga tiba pada 22 Oktober 1844, bait suci telah didirikan (dalam empat puluh enam tahun). Pada ketika itu, Utusan Perjanjian itu datang dengan tiba-tiba ke bait-Nya.</w:t>
      </w:r>
    </w:p>
    <w:p>
      <w:pPr>
        <w:pStyle w:val="ArticleScripture"/>
        <w:jc w:val="left"/>
      </w:pPr>
      <w:r>
        <w:rPr>
          <w:rFonts w:ascii="Times New Roman" w:hAnsi="Times New Roman" w:eastAsia="Times New Roman" w:cs="Times New Roman"/>
        </w:rPr>
        <w:t>“Ke tlang ga Keresete jaaka Moperesiti wa rona yo Mogolo go ya kwa felong ga boitshepo jo boitshepotota, gore go phepafadiwe selegae sa boitshepo, jaaka go tlhagisiwa mo go Daniele 8:14; go tla ga Morwa motho kwa go Yo Mogologolo wa Malatsi, jaaka go tlhagisitswe mo go Daniele 7:13; le go tla ga Morena kwa tempeleng ya Gagwe, jaaka go boleletswe pele ke Malaki, tsotlhe ke ditlhaloso tsa tiragalo e le nngwe fela; gape seno se emetswe ke go tla ga monyadi kwa lenyalong, jaaka go tlhalositswe ke Keresete mo setshwantshong sa makgarebane a a lesome, mo go Mathaio 25.” The Great Controversy, 426.</w:t>
      </w:r>
    </w:p>
    <w:p>
      <w:pPr>
        <w:pStyle w:val="ArticleBody"/>
        <w:jc w:val="left"/>
      </w:pPr>
      <w:r>
        <w:rPr>
          <w:rFonts w:ascii="Times New Roman" w:hAnsi="Times New Roman" w:eastAsia="Times New Roman" w:cs="Times New Roman"/>
        </w:rPr>
        <w:t>Ketika itulah Utusan Perjanjian mulai melakukan pekerjaan-Nya untuk memurnikan dan mentahirkan murid-murid Millerite, yang dalam pasal ketiga kitab Maleakhi dikenal sebagai anak-anak Lewi.</w:t>
      </w:r>
    </w:p>
    <w:p>
      <w:pPr>
        <w:pStyle w:val="ArticleScripture"/>
        <w:jc w:val="left"/>
      </w:pPr>
      <w:r>
        <w:rPr>
          <w:rFonts w:ascii="Times New Roman" w:hAnsi="Times New Roman" w:eastAsia="Times New Roman" w:cs="Times New Roman"/>
        </w:rPr>
        <w:t>“Baḓi vhanzhi vhe vha bvela phanḓa u ṱangana na Mufarisi nga fhasi ha milaedza ya muruṅwa wa u thoma na wa vhuvhili, vho hana wa vhuraru, une wa vha mulaedza wa u linga wa u fhedzisela u fanela uṋewa shangoni, nahone vhuimo vhu fanaho na honoho vhu ḓo dzhiiwa musi hu tshi itwa mbidzo ya u fhedzisela.</w:t>
      </w:r>
    </w:p>
    <w:p>
      <w:pPr>
        <w:pStyle w:val="ArticleScripture"/>
        <w:jc w:val="left"/>
      </w:pPr>
      <w:r>
        <w:rPr>
          <w:rFonts w:ascii="Times New Roman" w:hAnsi="Times New Roman" w:eastAsia="Times New Roman" w:cs="Times New Roman"/>
        </w:rPr>
        <w:t>“</w:t>
      </w:r>
      <w:r>
        <w:rPr>
          <w:rFonts w:ascii="Nirmala UI" w:hAnsi="Nirmala UI" w:eastAsia="Nirmala UI" w:cs="Nirmala UI"/>
        </w:rPr>
        <w:t>අනුපමාවේ</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විශේෂණයම</w:t>
      </w:r>
      <w:r>
        <w:rPr>
          <w:rFonts w:ascii="Times New Roman" w:hAnsi="Times New Roman" w:eastAsia="Times New Roman" w:cs="Times New Roman"/>
        </w:rPr>
        <w:t xml:space="preserve"> </w:t>
      </w:r>
      <w:r>
        <w:rPr>
          <w:rFonts w:ascii="Nirmala UI" w:hAnsi="Nirmala UI" w:eastAsia="Nirmala UI" w:cs="Nirmala UI"/>
        </w:rPr>
        <w:t>ඉතා</w:t>
      </w:r>
      <w:r>
        <w:rPr>
          <w:rFonts w:ascii="Times New Roman" w:hAnsi="Times New Roman" w:eastAsia="Times New Roman" w:cs="Times New Roman"/>
        </w:rPr>
        <w:t xml:space="preserve"> </w:t>
      </w:r>
      <w:r>
        <w:rPr>
          <w:rFonts w:ascii="Nirmala UI" w:hAnsi="Nirmala UI" w:eastAsia="Nirmala UI" w:cs="Nirmala UI"/>
        </w:rPr>
        <w:t>සැලකිල්ලෙන්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රතිනිරූපණය</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ඥානවත්</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මෝඩ</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Review and Herald, October 31, 1899.</w:t>
      </w:r>
    </w:p>
    <w:p>
      <w:pPr>
        <w:pStyle w:val="ArticleBody"/>
        <w:jc w:val="left"/>
      </w:pPr>
      <w:r>
        <w:rPr>
          <w:rFonts w:ascii="Times New Roman" w:hAnsi="Times New Roman" w:eastAsia="Times New Roman" w:cs="Times New Roman"/>
        </w:rPr>
        <w:t>Ha taalailama siang tak angkhuihna a ngah khan, August 11, 1840 ah, mi tam tak in Millerite movement ah an tel lut. Tichuan, April 19, 1844 ah, mi tampi tak in chu movement chu an chhuahsan leh. October 22, 1844 ah chuan, ngaihdan hmanlai tak chu, thlarau panga nga vel chu rinnaa Most Holy Place-ah an lut tia ngaih a ni. A tîr lamah vântirhkoh pathumna êng zui zêl tûra mite hi thlarau panga nga vel an nih a rinawm tih pawm ila, “mi tam tak” chu vântirhkoh pakhatna leh pahnihna thuchah an lo pawm tawh chungin, “pathumna, fiahna hnuhnung ber thuchah chu an hnawl” tih hriattîr kan nih hian eng nge a awmzia?</w:t>
      </w:r>
    </w:p>
    <w:p>
      <w:pPr>
        <w:pStyle w:val="ArticleBody"/>
        <w:jc w:val="left"/>
      </w:pPr>
      <w:r>
        <w:rPr>
          <w:rFonts w:ascii="Times New Roman" w:hAnsi="Times New Roman" w:eastAsia="Times New Roman" w:cs="Times New Roman"/>
        </w:rPr>
        <w:t>Utumwa wa Agano alikuja ghafula katika hekalu Lake, naye akafunua nuru ya patakatifu mbinguni na ujumbe wa malaika wa tatu kwa wale hamsini walioendelea kuingia katika uzoefu wa malaika wa tatu, lakini mwanzoni walitawanyika. Kukata tamaa kwao wakati huo kulikuwa kukubwa kuliko kukata tamaa kwa kwanza, ingawa tunaelezwa na Dada White kwamba kukata tamaa kwao hakukuwa kukubwa kama kwa wanafunzi baada ya msalaba.</w:t>
      </w:r>
    </w:p>
    <w:p>
      <w:pPr>
        <w:pStyle w:val="ArticleBody"/>
        <w:jc w:val="left"/>
      </w:pPr>
      <w:r>
        <w:rPr>
          <w:rFonts w:ascii="Times New Roman" w:hAnsi="Times New Roman" w:eastAsia="Times New Roman" w:cs="Times New Roman"/>
        </w:rPr>
        <w:t>Dalam kedua-dua sejarah yang selari itu, Kristus telah membuka Firman nubuatan-Nya kepada mereka yang kecewa, dan menjelang tahun 1850, Sister White menyatakan bahawa kepadanya telah ditunjukkan bahawa pada waktu itu Tuhan sedang menghulurkan tangan-Nya sekali lagi untuk menghimpunkan umat-Nya.</w:t>
      </w:r>
    </w:p>
    <w:p>
      <w:pPr>
        <w:pStyle w:val="ArticleScripture"/>
        <w:jc w:val="left"/>
      </w:pPr>
      <w:r>
        <w:rPr>
          <w:rFonts w:ascii="Times New Roman" w:hAnsi="Times New Roman" w:eastAsia="Times New Roman" w:cs="Times New Roman"/>
        </w:rPr>
        <w:t>“23 September, [1850] Tuhan menunjukkan kepadaku bahawa Dia telah menghulurkan tangan-Nya kali kedua untuk mendapatkan kembali baki umat-Nya, dan bahawa usaha-usaha mesti digandakan dalam masa pengumpulan ini. Pada masa penyerakan Israel telah dipukul dan dikoyakkan; tetapi sekarang dalam masa pengumpulan Allah akan menyembuhkan dan membalut umat-Nya. Dalam penyerakan, usaha-usaha yang dilakukan untuk menyebarkan kebenaran hanya memberi kesan yang sangat sedikit, mencapai sedikit atau tiada apa-apa; tetapi dalam pengumpulan, apabila Allah telah menghulurkan tangan-Nya untuk mengumpulkan umat-Nya, usaha-usaha untuk menyebarkan kebenaran akan menghasilkan kesan yang dimaksudkan. Semua orang harus bersatu dan bersemangat dalam pekerjaan ini. Aku melihat bahawa adalah suatu aib bagi sesiapa pun untuk merujuk kepada masa penyerakan sebagai contoh untuk mengatur kita sekarang dalam masa pengumpulan; kerana jika Allah tidak melakukan lebih bagi kita sekarang daripada yang dilakukan-Nya pada waktu itu, Israel tidak akan pernah dikumpulkan. Adalah sama perlunya kebenaran diterbitkan dalam sebuah surat khabar sebagaimana diberitakan.” Review and Herald, 1 November 1850.</w:t>
      </w:r>
    </w:p>
    <w:p>
      <w:pPr>
        <w:pStyle w:val="ArticleBody"/>
        <w:jc w:val="left"/>
      </w:pPr>
      <w:r>
        <w:rPr>
          <w:rFonts w:ascii="Times New Roman" w:hAnsi="Times New Roman" w:eastAsia="Times New Roman" w:cs="Times New Roman"/>
        </w:rPr>
        <w:t>Di salib itu para murid telah tercerai-berai, dan dalam sejarah itu, tiga hari kemudian Ia mulai mengumpulkan murid-murid-Nya yang tercerai-berai. Kira-kira tiga tahun setelah berakhirnya tahun 1844, Kristus mulai mengumpulkan kawanan-Nya yang tercerai-berai. Dalam sejarah itu Ia memimpin umat-Nya untuk memulai pekerjaan penerbitan dan menerbitkan yang kedua dari dua loh Habakuk, yang diproduksi pada akhir tahun 1850, dan kemudian mulai ditawarkan untuk dijual dalam Review and Herald, pada bulan Januari 1851.</w:t>
      </w:r>
    </w:p>
    <w:p>
      <w:pPr>
        <w:pStyle w:val="ArticleBody"/>
        <w:jc w:val="left"/>
      </w:pPr>
      <w:r>
        <w:rPr>
          <w:rFonts w:ascii="Times New Roman" w:hAnsi="Times New Roman" w:eastAsia="Times New Roman" w:cs="Times New Roman"/>
        </w:rPr>
        <w:t>Peta tahun 1843 itu telah menjadi representasi fisik dari pekabaran yang menyucikan Bait Suci yang ditegakkan dalam sejarah pekabaran malaikat pertama dan kedua. Dengan tibanya malaikat ketiga, Allah merancang untuk menyelesaikan pekerjaan-Nya dan membawa umat-Nya pulang, tetapi mereka memberontak sebagaimana Israel purba telah memberontak, dan baik Israel purba maupun Israel modern kemudian ditetapkan untuk mengembara di padang belantara. Seandainya orang-orang Advent yang mula-mula menerima terang malaikat ketiga itu telah terus maju oleh iman, sambil memikul representasi fisik dari pekabaran mereka, yaitu peta tahun 1850, mereka dapat saja mengantarkan kedatangan Yesus yang kedua kali dan pulang ke rumah. Tetapi mereka ditakdirkan untuk mengulangi sejarah Yosua dan Kaleb, serta kesepuluh pengintai yang tidak setia.</w:t>
      </w:r>
    </w:p>
    <w:p>
      <w:pPr>
        <w:pStyle w:val="ArticleScripture"/>
        <w:jc w:val="left"/>
      </w:pPr>
      <w:r>
        <w:rPr>
          <w:rFonts w:ascii="Times New Roman" w:hAnsi="Times New Roman" w:eastAsia="Times New Roman" w:cs="Times New Roman"/>
        </w:rPr>
        <w:t>“Anmahte hnu-a 1844-a rilru hlauhawm tak chu a lo thlen hnu-ah Adventist-te chuan an rinna chu nghet taka vawng tlat ila, Pathian hruaina inhawng zuiin lungrual taka an lo kal zel a, vantirhkoh pathumna thuchah chu dawngsawk in, Thlarau Thianghlim thiltihtheihna hmanga khawvêl hnena puangzarh ula, chuan Pathian chhandamna chu an hmu ang a, Lalpan an thawhnaah chak takin hna a thawk ang; hnathawh chu zawhfel tawh ang a, Krista pawh a mite lawmman dawng tura hruai lêt turin tun hmaa lo kal tawh ang. Mahse, rilru hlauhawmna hnuaia rinhlelhna leh chiang lohna hun lo awm taah chuan, Advent ringtute tam tak chuan an rinna chu an bansan ta a.... Chutiang chuan hnathawh chu tihdanglam a ni ta a, khawvêl chu thim hnuaiah kalsan a ni ta. Adventist pawl pum puiin Pathian thupêkte leh Isua rinna chungah lungrual taka an lo ding tawh se, kan chanchin hi a danglam nasa hle ang!” Evangelism, 695.</w:t>
      </w:r>
    </w:p>
    <w:p>
      <w:pPr>
        <w:pStyle w:val="ArticleBody"/>
        <w:jc w:val="left"/>
      </w:pPr>
      <w:r>
        <w:rPr>
          <w:rFonts w:ascii="Times New Roman" w:hAnsi="Times New Roman" w:eastAsia="Times New Roman" w:cs="Times New Roman"/>
        </w:rPr>
        <w:t>Johane Mokolobetsi le William Miller ba lokisitse tsela bakeng sa hore Kreste a tle ka tšohanyetso ’me a hloekise sechaba se neng se tla isa molaetsa oa pholoho, tlas’a matla a Moea o Halalelang, lefatsheng lohle. Barutuoa ba Kreste ba ile ba phetha kabelo ea bona, empa qalo ea Adventism ha ea ka ea e phetha. Ka 1856 ba ne ba se ba oetse boemong ba Laodisea, ba hana leseli le tsoetseng pele la “linako tse supileng,” ’me ka 1863 ba qala ts'ebetso ea bofetoheli bo ntseng bo eketseha, ho fihlela kaofela tseleng e isang molaong oa Sontaha o tlang kapele. Bofetoheli ba 1863 bo ne bo tšoantšetsoa ke bofetoheli ba lihloela tse leshome. Qetellong ea lilemo tse mashome a mane tsa ho solla lefeelleng, Iseraele ea boholo-holo e ile ea khutlisetsoa tekong eona eo; ka hona ea fana ka mohlala oa Iseraele ea mehleng ena e khutlisetsoang tekong ea qalong.</w:t>
      </w:r>
    </w:p>
    <w:p>
      <w:pPr>
        <w:pStyle w:val="ArticleBody"/>
        <w:jc w:val="left"/>
      </w:pPr>
      <w:r>
        <w:rPr>
          <w:rFonts w:ascii="Times New Roman" w:hAnsi="Times New Roman" w:eastAsia="Times New Roman" w:cs="Times New Roman"/>
        </w:rPr>
        <w:t>Pemberontakan kesepuluh pengintai di Kadesh diulangi di Kadesh empat puluh tahun kemudian. Pemberontakan kesepuluh pengintai yang mengakibatkan empat puluh tahun pengembaraan di padang gurun itu melambangkan pemberontakan tahun 1863, apabila Israel moden mengakibatkan pengembaraan mereka sendiri di padang gurun Laodikia. Pada akhir empat puluh tahun itu, Israel purba dibawa kembali ke Kadesh, dengan demikian mengenal pasti bahawa ujian yang menyucikan Adventisme Millerit pada pemberontakan tahun 1863 itu akan diulangi apabila Utusan Perjanjian itu sekali lagi tiba-tiba datang ke bait-Nya.</w:t>
      </w:r>
    </w:p>
    <w:p>
      <w:pPr>
        <w:pStyle w:val="ArticleBody"/>
        <w:jc w:val="left"/>
      </w:pPr>
      <w:r>
        <w:rPr>
          <w:rFonts w:ascii="Times New Roman" w:hAnsi="Times New Roman" w:eastAsia="Times New Roman" w:cs="Times New Roman"/>
        </w:rPr>
        <w:t>Kita akan meneruskan kajian ini dalam artikel yang seterusnya.</w:t>
      </w:r>
    </w:p>
    <w:p>
      <w:pPr>
        <w:pStyle w:val="ArticleScripture"/>
        <w:jc w:val="left"/>
      </w:pPr>
      <w:r>
        <w:rPr>
          <w:rFonts w:ascii="Times New Roman" w:hAnsi="Times New Roman" w:eastAsia="Times New Roman" w:cs="Times New Roman"/>
        </w:rPr>
        <w:t>“Ndzi ta ku wa Gilead na Bashan a ku ri na vo tala lava a va tsundzuka swiendlakalo leswi, kwalomu ka makume mune wa malembe emahlweni, eKadeshe, leswi endlaka leswaku Israele a avanyiseriwa ku hlongorisa nkarhi wo leha emananga. Va vone leswaku xiviko xa tinhlori malunghana ni Tiko leri Tshembisiweke a xi lulamile hi tindlela to tala. Miti a yi akiwile hi marhangu naswona a yi ri leyikulu ngopfu, naswona a yi akiwe hi swidyondzana, loko ku pimanisiwa na vona, Vaheveru a va ri vatsongo swinene. Kambe sweswi a va swi vona leswaku xihoxo lexi dlayisaka xa vatata wa vona a ku ri ku nga tshembi matimba ya Xikwembu. Leswi ntsena hi swona leswi va siviseke leswaku hi ku hatlisa va nghena etikweni lerinene.”</w:t>
      </w:r>
    </w:p>
    <w:p>
      <w:pPr>
        <w:pStyle w:val="ArticleScripture"/>
        <w:jc w:val="left"/>
      </w:pPr>
      <w:r>
        <w:rPr>
          <w:rFonts w:ascii="Times New Roman" w:hAnsi="Times New Roman" w:eastAsia="Times New Roman" w:cs="Times New Roman"/>
        </w:rPr>
        <w:t>“Ha baa ne ba le qalong ba itokišetša go tsena Kanana, mošomo woo o be o na le bothata bjo bonyenyane kudu go feta bjale. Modimo o be a tshepišitše setšhaba sa Gagwe gore ge ba ka kwa lentšu la Gagwe, O tla ba eta pele a ba lwele; gape O be a tla roma dihometšhe go rakela badudi ba naga ntle. Dithšhogo tša ditšhaba di be di sešo tša hlohleletšwa ka kakaretšo, gomme go be go dirilwe boitokišetšo bjo bonyenyane go ganetša tšwelopele ya bona. Eupša ge Morena bjale a laela Israele gore e ye pele, ba swanetše go tšwela pele ba lebane le manaba ao a faletšego le a maatla, gomme ba swanetše go lwa le mašole a magolo le ao a tlwaeditšwego gabotse ao a bego a itokišetša go ganetša go batamela ga bona.</w:t>
      </w:r>
    </w:p>
    <w:p>
      <w:pPr>
        <w:pStyle w:val="ArticleScripture"/>
        <w:jc w:val="left"/>
      </w:pPr>
      <w:r>
        <w:rPr>
          <w:rFonts w:ascii="Times New Roman" w:hAnsi="Times New Roman" w:eastAsia="Times New Roman" w:cs="Times New Roman"/>
        </w:rPr>
        <w:t>“Dalam pergumulan mereka dengan Og dan Sihon, umat itu dibawa kepada ujian yang sama, di bawahnya nenek moyang mereka telah gagal dengan sangat nyata. Namun percobaan itu kini jauh lebih berat daripada ketika Allah telah memerintahkan Israel untuk maju. Kesukaran-kesukaran di jalan mereka telah sangat bertambah sejak mereka menolak untuk maju ketika diperintahkan untuk melakukannya dalam nama Tuhan. Demikianlah Allah masih menguji umat-Nya. Dan jika mereka gagal bertahan dalam ujian itu, Ia membawa mereka kembali ke titik yang sama, dan pada kali yang kedua ujian itu akan datang lebih dekat, serta akan lebih berat daripada yang sebelumnya. Hal ini berlanjut sampai mereka menanggung ujian itu, atau, jika mereka masih memberontak, Allah menarik terang-Nya dari mereka dan membiarkan mereka dalam kegelapan.”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Seratus Dua</dc:title>
  <dc:subject>உத்தரவைத் தருபவரின் மும்மடங்கான பயன்பாடு: தீர்க்கதரிசன இயக்கவியலை வெளிப்படுத்துதல்</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