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Bilangan Seratus Lima</w:t>
      </w:r>
    </w:p>
    <w:p>
      <w:pPr>
        <w:pStyle w:val="ArticleSubtitle"/>
        <w:jc w:val="left"/>
      </w:pPr>
      <w:r>
        <w:rPr>
          <w:rFonts w:ascii="Arial" w:hAnsi="Arial" w:eastAsia="Arial" w:cs="Arial"/>
        </w:rPr>
        <w:t>Penolakan Progresif terhadap Injil: Dari Kelahiran Kristus hingga Perajaman Stefanus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Dalam artikel yang lalu kita telah memperhatikan bahawa inspirasi mengenal pasti bahawa orang Yahudi “memeteraikan penolakan mereka” terhadap Injil di kayu salib, dan kemudian mengesahkan lagi penolakan mereka pada waktu Stefanus direjam dengan batu. Bagaimanakah hal ini dapat terjadi? Sudah tentu, penolakan terhadap Injil oleh orang Yahudi yang suka bertengkar dalam sejarah itu berlangsung secara beransur-ansur. Mereka telah pun diketepikan pada saat kelahiran-Nya. Dari kelahiran Kristus hingga perajaman Stefanus diperlihatkan suatu penolakan yang progresif terhadap Injil.</w:t>
      </w:r>
    </w:p>
    <w:p>
      <w:pPr>
        <w:pStyle w:val="ArticleScripture"/>
        <w:jc w:val="left"/>
      </w:pPr>
      <w:r>
        <w:rPr>
          <w:rFonts w:ascii="Times New Roman" w:hAnsi="Times New Roman" w:eastAsia="Times New Roman" w:cs="Times New Roman"/>
        </w:rPr>
        <w:t>“</w:t>
      </w:r>
      <w:r>
        <w:rPr>
          <w:rFonts w:ascii="Nirmala UI" w:hAnsi="Nirmala UI" w:eastAsia="Nirmala UI" w:cs="Nirmala UI"/>
        </w:rPr>
        <w:t>ङासी</w:t>
      </w:r>
      <w:r>
        <w:rPr>
          <w:rFonts w:ascii="Times New Roman" w:hAnsi="Times New Roman" w:eastAsia="Times New Roman" w:cs="Times New Roman"/>
        </w:rPr>
        <w:t xml:space="preserve"> </w:t>
      </w:r>
      <w:r>
        <w:rPr>
          <w:rFonts w:ascii="Nirmala UI" w:hAnsi="Nirmala UI" w:eastAsia="Nirmala UI" w:cs="Nirmala UI"/>
        </w:rPr>
        <w:t>खिनायनो</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बार्ताया</w:t>
      </w:r>
      <w:r>
        <w:rPr>
          <w:rFonts w:ascii="Times New Roman" w:hAnsi="Times New Roman" w:eastAsia="Times New Roman" w:cs="Times New Roman"/>
        </w:rPr>
        <w:t xml:space="preserve"> </w:t>
      </w:r>
      <w:r>
        <w:rPr>
          <w:rFonts w:ascii="Nirmala UI" w:hAnsi="Nirmala UI" w:eastAsia="Nirmala UI" w:cs="Nirmala UI"/>
        </w:rPr>
        <w:t>स्वर्गखौ</w:t>
      </w:r>
      <w:r>
        <w:rPr>
          <w:rFonts w:ascii="Times New Roman" w:hAnsi="Times New Roman" w:eastAsia="Times New Roman" w:cs="Times New Roman"/>
        </w:rPr>
        <w:t xml:space="preserve"> </w:t>
      </w:r>
      <w:r>
        <w:rPr>
          <w:rFonts w:ascii="Nirmala UI" w:hAnsi="Nirmala UI" w:eastAsia="Nirmala UI" w:cs="Nirmala UI"/>
        </w:rPr>
        <w:t>हर्षजें</w:t>
      </w:r>
      <w:r>
        <w:rPr>
          <w:rFonts w:ascii="Times New Roman" w:hAnsi="Times New Roman" w:eastAsia="Times New Roman" w:cs="Times New Roman"/>
        </w:rPr>
        <w:t xml:space="preserve"> </w:t>
      </w:r>
      <w:r>
        <w:rPr>
          <w:rFonts w:ascii="Nirmala UI" w:hAnsi="Nirmala UI" w:eastAsia="Nirmala UI" w:cs="Nirmala UI"/>
        </w:rPr>
        <w:t>हाबानायजों</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गाहायसिन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मोजाङै</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w:t>
      </w:r>
      <w:r>
        <w:rPr>
          <w:rFonts w:ascii="Nirmala UI" w:hAnsi="Nirmala UI" w:eastAsia="Nirmala UI" w:cs="Nirmala UI"/>
        </w:rPr>
        <w:t>जाथिनायजों</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निफ्रायनो</w:t>
      </w:r>
      <w:r>
        <w:rPr>
          <w:rFonts w:ascii="Times New Roman" w:hAnsi="Times New Roman" w:eastAsia="Times New Roman" w:cs="Times New Roman"/>
        </w:rPr>
        <w:t xml:space="preserve"> </w:t>
      </w:r>
      <w:r>
        <w:rPr>
          <w:rFonts w:ascii="Nirmala UI" w:hAnsi="Nirmala UI" w:eastAsia="Nirmala UI" w:cs="Nirmala UI"/>
        </w:rPr>
        <w:t>गोसोथांनाय</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सत्ताफोरनो</w:t>
      </w:r>
      <w:r>
        <w:rPr>
          <w:rFonts w:ascii="Times New Roman" w:hAnsi="Times New Roman" w:eastAsia="Times New Roman" w:cs="Times New Roman"/>
        </w:rPr>
        <w:t xml:space="preserve"> </w:t>
      </w:r>
      <w:r>
        <w:rPr>
          <w:rFonts w:ascii="Nirmala UI" w:hAnsi="Nirmala UI" w:eastAsia="Nirmala UI" w:cs="Nirmala UI"/>
        </w:rPr>
        <w:t>पृथिवीआव</w:t>
      </w:r>
      <w:r>
        <w:rPr>
          <w:rFonts w:ascii="Times New Roman" w:hAnsi="Times New Roman" w:eastAsia="Times New Roman" w:cs="Times New Roman"/>
        </w:rPr>
        <w:t xml:space="preserve"> </w:t>
      </w:r>
      <w:r>
        <w:rPr>
          <w:rFonts w:ascii="Nirmala UI" w:hAnsi="Nirmala UI" w:eastAsia="Nirmala UI" w:cs="Nirmala UI"/>
        </w:rPr>
        <w:t>ओरैनो</w:t>
      </w:r>
      <w:r>
        <w:rPr>
          <w:rFonts w:ascii="Times New Roman" w:hAnsi="Times New Roman" w:eastAsia="Times New Roman" w:cs="Times New Roman"/>
        </w:rPr>
        <w:t xml:space="preserve"> </w:t>
      </w:r>
      <w:r>
        <w:rPr>
          <w:rFonts w:ascii="Nirmala UI" w:hAnsi="Nirmala UI" w:eastAsia="Nirmala UI" w:cs="Nirmala UI"/>
        </w:rPr>
        <w:t>आनजाद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आवगानायजों</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संसारखौ</w:t>
      </w:r>
      <w:r>
        <w:rPr>
          <w:rFonts w:ascii="Times New Roman" w:hAnsi="Times New Roman" w:eastAsia="Times New Roman" w:cs="Times New Roman"/>
        </w:rPr>
        <w:t xml:space="preserve"> </w:t>
      </w:r>
      <w:r>
        <w:rPr>
          <w:rFonts w:ascii="Nirmala UI" w:hAnsi="Nirmala UI" w:eastAsia="Nirmala UI" w:cs="Nirmala UI"/>
        </w:rPr>
        <w:t>मोजाङै</w:t>
      </w:r>
      <w:r>
        <w:rPr>
          <w:rFonts w:ascii="Times New Roman" w:hAnsi="Times New Roman" w:eastAsia="Times New Roman" w:cs="Times New Roman"/>
        </w:rPr>
        <w:t xml:space="preserve"> </w:t>
      </w:r>
      <w:r>
        <w:rPr>
          <w:rFonts w:ascii="Nirmala UI" w:hAnsi="Nirmala UI" w:eastAsia="Nirmala UI" w:cs="Nirmala UI"/>
        </w:rPr>
        <w:t>जोथि</w:t>
      </w:r>
      <w:r>
        <w:rPr>
          <w:rFonts w:ascii="Times New Roman" w:hAnsi="Times New Roman" w:eastAsia="Times New Roman" w:cs="Times New Roman"/>
        </w:rPr>
        <w:t>-</w:t>
      </w:r>
      <w:r>
        <w:rPr>
          <w:rFonts w:ascii="Nirmala UI" w:hAnsi="Nirmala UI" w:eastAsia="Nirmala UI" w:cs="Nirmala UI"/>
        </w:rPr>
        <w:t>जायग्रा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बेथलेहेमनि</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माथोआव</w:t>
      </w:r>
      <w:r>
        <w:rPr>
          <w:rFonts w:ascii="Times New Roman" w:hAnsi="Times New Roman" w:eastAsia="Times New Roman" w:cs="Times New Roman"/>
        </w:rPr>
        <w:t xml:space="preserve"> </w:t>
      </w:r>
      <w:r>
        <w:rPr>
          <w:rFonts w:ascii="Nirmala UI" w:hAnsi="Nirmala UI" w:eastAsia="Nirmala UI" w:cs="Nirmala UI"/>
        </w:rPr>
        <w:t>असंख्य</w:t>
      </w:r>
      <w:r>
        <w:rPr>
          <w:rFonts w:ascii="Times New Roman" w:hAnsi="Times New Roman" w:eastAsia="Times New Roman" w:cs="Times New Roman"/>
        </w:rPr>
        <w:t xml:space="preserve"> </w:t>
      </w:r>
      <w:r>
        <w:rPr>
          <w:rFonts w:ascii="Nirmala UI" w:hAnsi="Nirmala UI" w:eastAsia="Nirmala UI" w:cs="Nirmala UI"/>
        </w:rPr>
        <w:t>देवदूतफोरनि</w:t>
      </w:r>
      <w:r>
        <w:rPr>
          <w:rFonts w:ascii="Times New Roman" w:hAnsi="Times New Roman" w:eastAsia="Times New Roman" w:cs="Times New Roman"/>
        </w:rPr>
        <w:t xml:space="preserve"> </w:t>
      </w:r>
      <w:r>
        <w:rPr>
          <w:rFonts w:ascii="Nirmala UI" w:hAnsi="Nirmala UI" w:eastAsia="Nirmala UI" w:cs="Nirmala UI"/>
        </w:rPr>
        <w:t>हान्थि</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होबाय।</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संसारआव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हर्षजों</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बार्ताखौ</w:t>
      </w:r>
      <w:r>
        <w:rPr>
          <w:rFonts w:ascii="Times New Roman" w:hAnsi="Times New Roman" w:eastAsia="Times New Roman" w:cs="Times New Roman"/>
        </w:rPr>
        <w:t xml:space="preserve"> </w:t>
      </w:r>
      <w:r>
        <w:rPr>
          <w:rFonts w:ascii="Nirmala UI" w:hAnsi="Nirmala UI" w:eastAsia="Nirmala UI" w:cs="Nirmala UI"/>
        </w:rPr>
        <w:t>जानीहोनायनि</w:t>
      </w:r>
      <w:r>
        <w:rPr>
          <w:rFonts w:ascii="Times New Roman" w:hAnsi="Times New Roman" w:eastAsia="Times New Roman" w:cs="Times New Roman"/>
        </w:rPr>
        <w:t xml:space="preserve"> </w:t>
      </w:r>
      <w:r>
        <w:rPr>
          <w:rFonts w:ascii="Nirmala UI" w:hAnsi="Nirmala UI" w:eastAsia="Nirmala UI" w:cs="Nirmala UI"/>
        </w:rPr>
        <w:t>संकेतनि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रैखाथाय।</w:t>
      </w:r>
      <w:r>
        <w:rPr>
          <w:rFonts w:ascii="Times New Roman" w:hAnsi="Times New Roman" w:eastAsia="Times New Roman" w:cs="Times New Roman"/>
        </w:rPr>
        <w:t xml:space="preserve"> </w:t>
      </w:r>
      <w:r>
        <w:rPr>
          <w:rFonts w:ascii="Nirmala UI" w:hAnsi="Nirmala UI" w:eastAsia="Nirmala UI" w:cs="Nirmala UI"/>
        </w:rPr>
        <w:t>इस्राएलनि</w:t>
      </w:r>
      <w:r>
        <w:rPr>
          <w:rFonts w:ascii="Times New Roman" w:hAnsi="Times New Roman" w:eastAsia="Times New Roman" w:cs="Times New Roman"/>
        </w:rPr>
        <w:t xml:space="preserve"> </w:t>
      </w:r>
      <w:r>
        <w:rPr>
          <w:rFonts w:ascii="Nirmala UI" w:hAnsi="Nirmala UI" w:eastAsia="Nirmala UI" w:cs="Nirmala UI"/>
        </w:rPr>
        <w:t>नायगिरिफोरनो</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फिथाइखौ</w:t>
      </w:r>
      <w:r>
        <w:rPr>
          <w:rFonts w:ascii="Times New Roman" w:hAnsi="Times New Roman" w:eastAsia="Times New Roman" w:cs="Times New Roman"/>
        </w:rPr>
        <w:t xml:space="preserve"> </w:t>
      </w:r>
      <w:r>
        <w:rPr>
          <w:rFonts w:ascii="Nirmala UI" w:hAnsi="Nirmala UI" w:eastAsia="Nirmala UI" w:cs="Nirmala UI"/>
        </w:rPr>
        <w:t>गोथारै</w:t>
      </w:r>
      <w:r>
        <w:rPr>
          <w:rFonts w:ascii="Times New Roman" w:hAnsi="Times New Roman" w:eastAsia="Times New Roman" w:cs="Times New Roman"/>
        </w:rPr>
        <w:t xml:space="preserve"> </w:t>
      </w:r>
      <w:r>
        <w:rPr>
          <w:rFonts w:ascii="Nirmala UI" w:hAnsi="Nirmala UI" w:eastAsia="Nirmala UI" w:cs="Nirmala UI"/>
        </w:rPr>
        <w:t>रैखानाय</w:t>
      </w:r>
      <w:r>
        <w:rPr>
          <w:rFonts w:ascii="Times New Roman" w:hAnsi="Times New Roman" w:eastAsia="Times New Roman" w:cs="Times New Roman"/>
        </w:rPr>
        <w:t xml:space="preserve"> </w:t>
      </w:r>
      <w:r>
        <w:rPr>
          <w:rFonts w:ascii="Nirmala UI" w:hAnsi="Nirmala UI" w:eastAsia="Nirmala UI" w:cs="Nirmala UI"/>
        </w:rPr>
        <w:t>जानायमोन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जिशुनि</w:t>
      </w:r>
      <w:r>
        <w:rPr>
          <w:rFonts w:ascii="Times New Roman" w:hAnsi="Times New Roman" w:eastAsia="Times New Roman" w:cs="Times New Roman"/>
        </w:rPr>
        <w:t xml:space="preserve"> </w:t>
      </w:r>
      <w:r>
        <w:rPr>
          <w:rFonts w:ascii="Nirmala UI" w:hAnsi="Nirmala UI" w:eastAsia="Nirmala UI" w:cs="Nirmala UI"/>
        </w:rPr>
        <w:t>जोंलायनायनि</w:t>
      </w:r>
      <w:r>
        <w:rPr>
          <w:rFonts w:ascii="Times New Roman" w:hAnsi="Times New Roman" w:eastAsia="Times New Roman" w:cs="Times New Roman"/>
        </w:rPr>
        <w:t xml:space="preserve"> </w:t>
      </w:r>
      <w:r>
        <w:rPr>
          <w:rFonts w:ascii="Nirmala UI" w:hAnsi="Nirmala UI" w:eastAsia="Nirmala UI" w:cs="Nirmala UI"/>
        </w:rPr>
        <w:t>बार्ताखौ</w:t>
      </w:r>
      <w:r>
        <w:rPr>
          <w:rFonts w:ascii="Times New Roman" w:hAnsi="Times New Roman" w:eastAsia="Times New Roman" w:cs="Times New Roman"/>
        </w:rPr>
        <w:t xml:space="preserve"> </w:t>
      </w:r>
      <w:r>
        <w:rPr>
          <w:rFonts w:ascii="Nirmala UI" w:hAnsi="Nirmala UI" w:eastAsia="Nirmala UI" w:cs="Nirmala UI"/>
        </w:rPr>
        <w:t>जाहेरनायनि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हर्षखौ</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लाब्लानो</w:t>
      </w:r>
      <w:r>
        <w:rPr>
          <w:rFonts w:ascii="Times New Roman" w:hAnsi="Times New Roman" w:eastAsia="Times New Roman" w:cs="Times New Roman"/>
        </w:rPr>
        <w:t xml:space="preserve"> </w:t>
      </w:r>
      <w:r>
        <w:rPr>
          <w:rFonts w:ascii="Nirmala UI" w:hAnsi="Nirmala UI" w:eastAsia="Nirmala UI" w:cs="Nirmala UI"/>
        </w:rPr>
        <w:t>हायोमोन।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बिसोरखौ</w:t>
      </w:r>
      <w:r>
        <w:rPr>
          <w:rFonts w:ascii="Times New Roman" w:hAnsi="Times New Roman" w:eastAsia="Times New Roman" w:cs="Times New Roman"/>
        </w:rPr>
        <w:t xml:space="preserve"> </w:t>
      </w:r>
      <w:r>
        <w:rPr>
          <w:rFonts w:ascii="Nirmala UI" w:hAnsi="Nirmala UI" w:eastAsia="Nirmala UI" w:cs="Nirmala UI"/>
        </w:rPr>
        <w:t>दंफायबाय।</w:t>
      </w:r>
      <w:r>
        <w:rPr>
          <w:rFonts w:ascii="Times New Roman" w:hAnsi="Times New Roman" w:eastAsia="Times New Roman" w:cs="Times New Roman"/>
        </w:rPr>
        <w:t>” The Desire of Ages, 47.</w:t>
      </w:r>
    </w:p>
    <w:p>
      <w:pPr>
        <w:pStyle w:val="ArticleBody"/>
        <w:jc w:val="left"/>
      </w:pPr>
      <w:r>
        <w:rPr>
          <w:rFonts w:ascii="Times New Roman" w:hAnsi="Times New Roman" w:eastAsia="Times New Roman" w:cs="Times New Roman"/>
        </w:rPr>
        <w:t>Go tswala ga Jesu go fitlha losong lwa ga Setefane, go supiwa go ganwa ga efangele ka iketlo go oketsegang ke Iseraele wa bogologolo. Go amogela gore go ganwa ga ga Keresete ke Bajuta go ne go le ga iketlo go oketsegang go letla go lemogiwa ga “go tiisa go ganwa ga bone,” tsotlhe mo sefapaanong, kwa sesiro sa tempele se neng sa gagoga, le mo losong lwa ga Setefane. Go gagoga ga sesiro e ne e le letshwao la gore ba ne ba se tlhole e le batho ba kgolagano ya Modimo, mme e rile fa Setefane a kgobotlediwa ka maje, Setefane a bona Jesu a eme ka fa seatleng sa moja sa Modimo, moo mo go Daniele kgaolo ya lesome le bobedi, temana ya ntlha, e leng letshwao la go tswalwa ga nako ya tetla. Tshenyo ya Jerusalema le yone ke letshwao la go tswalwa ga nako ya tetla.</w:t>
      </w:r>
    </w:p>
    <w:p>
      <w:pPr>
        <w:pStyle w:val="ArticleScripture"/>
        <w:jc w:val="left"/>
      </w:pPr>
      <w:r>
        <w:rPr>
          <w:rFonts w:ascii="Times New Roman" w:hAnsi="Times New Roman" w:eastAsia="Times New Roman" w:cs="Times New Roman"/>
        </w:rPr>
        <w:t>“Pembalasan yang akan menimpa Yerusalem hanya dapat ditangguhkan untuk waktu yang singkat; dan ketika mata Kristus tertuju pada kota yang telah ditetapkan untuk kebinasaan itu, Ia melihat bukan hanya kehancurannya, melainkan juga kehancuran suatu dunia. Ia melihat bahwa sebagaimana Yerusalem diserahkan kepada kebinasaan, demikian pula dunia akan diserahkan kepada kebinasaannya. Ia melihat pembalasan yang akan ditimpakan atas para lawan Allah. Pemandangan-pemandangan yang terjadi pada waktu kebinasaan Yerusalem akan terulang pada hari Tuhan yang besar dan dahsyat itu, tetapi dengan cara yang lebih mengerikan.” Review and Herald, 7 Desember 1897.</w:t>
      </w:r>
    </w:p>
    <w:p>
      <w:pPr>
        <w:pStyle w:val="ArticleBody"/>
        <w:jc w:val="left"/>
      </w:pPr>
      <w:r>
        <w:rPr>
          <w:rFonts w:ascii="Times New Roman" w:hAnsi="Times New Roman" w:eastAsia="Times New Roman" w:cs="Times New Roman"/>
        </w:rPr>
        <w:t>Hanya rahmat Tuhan yang menghalang Yerusalem daripada dimusnahkan pada salib.</w:t>
      </w:r>
    </w:p>
    <w:p>
      <w:pPr>
        <w:pStyle w:val="ArticleScripture"/>
        <w:jc w:val="left"/>
      </w:pPr>
      <w:r>
        <w:rPr>
          <w:rFonts w:ascii="Times New Roman" w:hAnsi="Times New Roman" w:eastAsia="Times New Roman" w:cs="Times New Roman"/>
        </w:rPr>
        <w:t>“Dalam penyaliban Kristus oleh orang-orang Yahudi terkandung kehancuran Yerusalem. Darah yang tercurah di Kalvari merupakan beban yang menenggelamkan mereka ke dalam kebinasaan bagi dunia ini maupun bagi dunia yang akan datang. Demikian pula halnya pada hari terakhir yang agung, ketika penghakiman akan menimpa para penolak kasih karunia Allah. Kristus, batu sandungan mereka, pada waktu itu akan tampak kepada mereka sebagai gunung pembalas. Kemuliaan wajah-Nya, yang bagi orang benar adalah kehidupan, akan menjadi api yang menghanguskan bagi orang fasik. Karena kasih yang ditolak, kasih karunia yang dihinakan, orang berdosa itu akan dibinasakan.” The Desire of Ages, 600.</w:t>
      </w:r>
    </w:p>
    <w:p>
      <w:pPr>
        <w:pStyle w:val="ArticleBody"/>
        <w:jc w:val="left"/>
      </w:pPr>
      <w:r>
        <w:rPr>
          <w:rFonts w:ascii="Times New Roman" w:hAnsi="Times New Roman" w:eastAsia="Times New Roman" w:cs="Times New Roman"/>
        </w:rPr>
        <w:t>Bukitaba mbele te na ngolu ya Nzambe nde etikalaki kozela mpo ete libebi ya Yelusaleme eya te na ntango ya ekulusu.</w:t>
      </w:r>
    </w:p>
    <w:p>
      <w:pPr>
        <w:pStyle w:val="ArticleScripture"/>
        <w:jc w:val="left"/>
      </w:pPr>
      <w:r>
        <w:rPr>
          <w:rFonts w:ascii="Times New Roman" w:hAnsi="Times New Roman" w:eastAsia="Times New Roman" w:cs="Times New Roman"/>
        </w:rPr>
        <w:t>“Selepas hampir empat puluh tahun sesudah kebinasaan Yerusalem telah dinyatakan oleh Kristus sendiri, Tuhan menangguhkan penghakiman-Nya atas kota dan bangsa itu. Ajaiblah panjang sabar Allah terhadap mereka yang menolak Injil-Nya dan para pembunuh Anak-Nya.” The Great Controversy, 27.</w:t>
      </w:r>
    </w:p>
    <w:p>
      <w:pPr>
        <w:pStyle w:val="ArticleBody"/>
        <w:jc w:val="left"/>
      </w:pPr>
      <w:r>
        <w:rPr>
          <w:rFonts w:ascii="Times New Roman" w:hAnsi="Times New Roman" w:eastAsia="Times New Roman" w:cs="Times New Roman"/>
        </w:rPr>
        <w:t>Pada waktu penyucian Bait Suci-Nya yang terakhir, Yesus telah mengemukakan amaran supaya melarikan diri dari Yerusalem apabila kekejian pembinasa, yang telah dikatakan oleh nabi Daniel, dilihat oleh para pengikut-Nya. Pada kali pertama Dia menyucikan Bait Suci, Dia telah menyatakan bahawa orang-orang Yahudi telah menjadikan rumah Bapa-Nya sebagai sarang penyamun, tetapi pada kali yang terakhir Dia berkata, “rumahmu” ditinggalkan bagimu sunyi sepi. Bahkan sebelum salib, yang hampir sahaja berlaku, Bait Suci tempat tabirnya akan dikoyakkan pada waktu penyaliban itu telah pun dikenal pasti sebagai rumah orang Yahudi, bukan rumah Tuhan. Sister White membicarakan bilakah Kristus membuat pernyataan itu, dan apabila kesaksiannya berlanjutan dia juga membicarakan empat puluh tahun belas kasihan yang dipanjangkan itu.</w:t>
      </w:r>
    </w:p>
    <w:p>
      <w:pPr>
        <w:pStyle w:val="ArticleScripture"/>
        <w:jc w:val="left"/>
      </w:pPr>
      <w:r>
        <w:rPr>
          <w:rFonts w:ascii="Times New Roman" w:hAnsi="Times New Roman" w:eastAsia="Times New Roman" w:cs="Times New Roman"/>
        </w:rPr>
        <w:t>“Kiristo yigeze ku bapadiri n’abatware iti: ‘Dore, inzu yanyu musigiwe ari umusaka’ (Matayo 23:38), byari byateye ubwoba imitima yabo. Bigeragaje nk’aho bitabafasheho, ariko ikibazo cyakomezaga kubyuka mu bitekerezo byabo ku byerekeye icyo ayo magambo yashakaga kuvuga. Akaga katagaragaraga kasaga n’agasa n’akabugarije. Mbese byashobokaga ko urusengero rw’agatangaza, rwari icyubahiro cy’ishyanga, vuba rwahinduka ikirundo cy’amatongo?...”</w:t>
      </w:r>
    </w:p>
    <w:p>
      <w:pPr>
        <w:pStyle w:val="ArticleScripture"/>
        <w:jc w:val="left"/>
      </w:pPr>
      <w:r>
        <w:rPr>
          <w:rFonts w:ascii="Times New Roman" w:hAnsi="Times New Roman" w:eastAsia="Times New Roman" w:cs="Times New Roman"/>
        </w:rPr>
        <w:t>“Kristus telah memberikan kepada murid-murid-Nya suatu tanda tentang kebinasaan yang akan menimpa Yerusalem, dan Ia memberitahukan kepada mereka bagaimana cara melepaskan diri: ‘Apabila kamu melihat Yerusalem dikepung oleh tentara-tentara, maka ketahuilah bahwa kehancurannya sudah dekat. Pada waktu itu orang-orang yang di Yudea harus melarikan diri ke pegunungan; dan orang-orang yang berada di tengah-tengah kota harus keluar; dan orang-orang yang berada di luar jangan masuk ke dalamnya. Sebab itulah hari-hari pembalasan, supaya genaplah segala sesuatu yang telah tertulis.’ Peringatan ini diberikan untuk diperhatikan empat puluh tahun kemudian, pada waktu kebinasaan Yerusalem. Orang-orang Kristen menaati peringatan itu, dan tidak seorang pun orang Kristen binasa dalam kejatuhan kota itu.” The Desire of Ages, 628, 630.</w:t>
      </w:r>
    </w:p>
    <w:p>
      <w:pPr>
        <w:pStyle w:val="ArticleBody"/>
        <w:jc w:val="left"/>
      </w:pPr>
      <w:r>
        <w:rPr>
          <w:rFonts w:ascii="Times New Roman" w:hAnsi="Times New Roman" w:eastAsia="Times New Roman" w:cs="Times New Roman"/>
        </w:rPr>
        <w:t>Kristus dipaku dina salib dina taun 31, sarta meh opat puluh taun sanggeusna, dina taun 70, Yerusalem diruksak sanggeus hiji pangepungan salila tilu satengah taun. Kumaha bisa Yerusalem geus diruksak dina waktu salib dina taun 31, lamun masih aya tilu satengah taun mangsa kasempetan anu diidéntifikasi minangka tujuh puluh minggu dina Daniel pasal salapan, ayat dua puluh opat? Kumaha ieu katempo siga teu saluyu téh bisa diréngsékeun? Jalan panggampangna pikeun ngaréngsékeunana nyaéta ngan saukur ngakuan kanyataan yén lamun perkara panutupan mangsa kasempetan anu dilambangkeun ku tujuh puluh minggu, éta kudu kaharti minangka panutupan mangsa kasempetan anu lumangsung sacara bertahap. Ieu leres, tapi éta ngaleungitkeun sagala kakhususan nubuat nalika nerapkeun tanda-tanda patok tina sajarah éta. Kuring baris nyobian ngajelaskeun.</w:t>
      </w:r>
    </w:p>
    <w:p>
      <w:pPr>
        <w:pStyle w:val="ArticleBody"/>
        <w:jc w:val="left"/>
      </w:pPr>
      <w:r>
        <w:rPr>
          <w:rFonts w:ascii="Nirmala UI" w:hAnsi="Nirmala UI" w:eastAsia="Nirmala UI" w:cs="Nirmala UI"/>
        </w:rPr>
        <w:t>अगर</w:t>
      </w:r>
      <w:r>
        <w:rPr>
          <w:rFonts w:ascii="Times New Roman" w:hAnsi="Times New Roman" w:eastAsia="Times New Roman" w:cs="Times New Roman"/>
        </w:rPr>
        <w:t xml:space="preserve"> </w:t>
      </w:r>
      <w:r>
        <w:rPr>
          <w:rFonts w:ascii="Nirmala UI" w:hAnsi="Nirmala UI" w:eastAsia="Nirmala UI" w:cs="Nirmala UI"/>
        </w:rPr>
        <w:t>पेंटेकोस्ट</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भेड़शाला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पेंटेकोस्ट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स्तिफनुस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70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असंगतियाँ</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संक्षिप्त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Vhiki mbilu lebyi Kriste a tiyisekiseke ntwanano ha byona byi avanyisiwe hi minkarhi yimbirhi leyi ringanaka ya malembe manharhu ni hafu. Malembe yo sungula manharhu ni hafu ma sungula eka nkhuvulo wa Kriste kutani ma hela hi rifu ra Yena. Nkhuvulo i xikombiso xa rifu ni ku pfuxiwa ka Yena, hikwalaho ku sungula ka nkarhi wolowo wa malembe manharhu ni hafu ku fana ni ku hela ka wona. Eka nkarhi wolowo Kriste u nyikele Evhangeli ntsena eka Vayuda. Ku hela ka malembe wolawo manharhu ni hafu ku kombisa ku sungula ka malembe manharhu ni hafu lama landzelaka. Ku sungula ka nkarhi wa vumbirhi wa malembe manharhu ni hafu ku sungula hi rifu ra Kriste, kutani ku hela hi rifu ra Stefano. Eka nkarhi wolowo vadyondzisiwa va nyikele Evhangeli ntsena eka Vayuda.</w:t>
      </w:r>
    </w:p>
    <w:p>
      <w:pPr>
        <w:pStyle w:val="ArticleBody"/>
        <w:jc w:val="left"/>
      </w:pPr>
      <w:r>
        <w:rPr>
          <w:rFonts w:ascii="Times New Roman" w:hAnsi="Times New Roman" w:eastAsia="Times New Roman" w:cs="Times New Roman"/>
        </w:rPr>
        <w:t>Periode duo itu, yang merupakan garis nubuatan yang berasingan, hendaklah dihimpunkan “baris demi baris.” Kedua-dua permulaan dan pengakhiran mempunyai meterai Alfa dan Omega, kerana sejarah permulaan dan pengakhiran adalah sama. Kedua-dua tempoh jangka masa itu adalah serupa, dan pekerjaan yang dilaksanakan dalam setiap tempoh adalah serupa. Kristus, yang adalah Yang Awal dan Yang Akhir, juga ialah Pencipta segala sesuatu, dan dalam hal itu Dia ialah Pencipta Kebenaran. Perkataan Ibrani bagi “kebenaran” dibentuk oleh tiga huruf Ibrani. Huruf pertama, diikuti oleh huruf yang ketiga belas, diikuti oleh huruf terakhir dalam abjad Ibrani, digabungkan untuk membentuk perkataan Ibrani bagi “kebenaran.”</w:t>
      </w:r>
    </w:p>
    <w:p>
      <w:pPr>
        <w:pStyle w:val="ArticleBody"/>
        <w:jc w:val="left"/>
      </w:pPr>
      <w:r>
        <w:rPr>
          <w:rFonts w:ascii="Times New Roman" w:hAnsi="Times New Roman" w:eastAsia="Times New Roman" w:cs="Times New Roman"/>
        </w:rPr>
        <w:t>Ka masngikna palat na period jong tolu bad shiteng snem ki don ia U Khrist kum uba nyngkong bad uba khatduh, namar U Khrist u don ha ka jingsdang jong ka bynta kaba nyngkong ha ka jingïapynbaptis jong U, kumba U don ruh ha ka jingkut ha ka jingïap jong U ha ka bynta kaba nyngkong. Bad U Khrist u don ha ka jingïap jong U ha ka jingsdang jong ka bynta kaba ar bad U ieng ha ka kti kamon ka jong U Blei ha ka jingkut jong ka bynta kaba ar. U nombar khat-lai u dei ka dak ka jingïaleh pyrshah, bad ha kine ar tylli ki bynta la ka gospel la pynpaw hi da U Khrist dalade, lane ha ka bynta kaba ar da ki synran jong U, ki Jiw kiba jingïakren paidbah bad kiba tlot jingngeit ki la ïaleh pyrshah ïa ka khubor jong ka gospel.</w:t>
      </w:r>
    </w:p>
    <w:p>
      <w:pPr>
        <w:pStyle w:val="ArticleBody"/>
        <w:jc w:val="left"/>
      </w:pPr>
      <w:r>
        <w:rPr>
          <w:rFonts w:ascii="Times New Roman" w:hAnsi="Times New Roman" w:eastAsia="Times New Roman" w:cs="Times New Roman"/>
        </w:rPr>
        <w:t>Kedua-dua tempoh itu mempunyai jangka masa yang sama, memikul tanda Alpha dan Omega, dan mengenal pasti pekabaran Injil yang sama. Kedua-dua tempoh itu hendaklah dihimpunkan “baris demi baris.” Metodologi “baris demi baris” ialah metodologi pengujian hujan akhir. Itulah metodologi pada hari-hari terakhir, dan kebenaran-kebenaran yang dikenal pasti serta ditegakkan oleh metodologi itu pada hari-hari terakhir itulah yang menyucikan atau memurnikan anak-anak lelaki Lewi semasa pemeteraian seratus empat puluh empat ribu.</w:t>
      </w:r>
    </w:p>
    <w:p>
      <w:pPr>
        <w:pStyle w:val="ArticleScripture"/>
        <w:jc w:val="left"/>
      </w:pPr>
      <w:r>
        <w:rPr>
          <w:rFonts w:ascii="Times New Roman" w:hAnsi="Times New Roman" w:eastAsia="Times New Roman" w:cs="Times New Roman"/>
        </w:rPr>
        <w:t>Siapakah yang akan diajarkan-Nya pengetahuan? dan kepada siapakah Dia akan membuat pengajaran dimengerti? kepada mereka yang telah disapih dari susu, dan yang telah dijauhkan dari buah dada. Sebab ajaran haruslah atas ajaran, ajaran atas ajaran; baris atas baris, baris atas baris; di sini sedikit, dan di sana sedikit: Sebab dengan bibir yang gagap dan dengan bahasa lain Ia akan berbicara kepada bangsa ini. Kepada mereka Dia telah berfirman, Inilah perhentian yang dengannya kamu dapat membuat orang yang letih mendapat perhentian; dan inilah penyegaran: namun mereka tidak mau mendengar. Tetapi firman Tuhan bagi mereka ialah ajaran atas ajaran, ajaran atas ajaran; baris atas baris, baris atas baris; di sini sedikit, dan di sana sedikit; supaya mereka pergi, dan jatuh terlentang, dan remuk, dan terjerat, dan tertangkap. Yesaya 28:9–13.</w:t>
      </w:r>
    </w:p>
    <w:p>
      <w:pPr>
        <w:pStyle w:val="ArticleBody"/>
        <w:jc w:val="left"/>
      </w:pPr>
      <w:r>
        <w:rPr>
          <w:rFonts w:ascii="Times New Roman" w:hAnsi="Times New Roman" w:eastAsia="Times New Roman" w:cs="Times New Roman"/>
        </w:rPr>
        <w:t>Ayat seterusnya dalam Yesaya ditujukan kepada orang-orang pengejek yang memerintah umat Yerusalem. Bagi orang-orang pengejek itu, “perhentian dan kelegaan” (hujan akhir), yang mereka enggan untuk “mendengar,” itulah yang menyebabkan mereka “pergi, dan jatuh ke belakang, dan diremukkan, dan terjerat, dan tertangkap.” Ujian itu disampaikan kepada mereka melalui lidah yang lain, sebab Elia, Yohanes Pembaptis, dan William Miller tidak dididik dalam sekolah-sekolah teologi pada sejarah mereka masing-masing. Pekabaran hujan akhir yang menguji Adventisme Laodikea ialah pekabaran yang dihasilkan melalui penerapan “baris demi baris.”</w:t>
      </w:r>
    </w:p>
    <w:p>
      <w:pPr>
        <w:pStyle w:val="ArticleBody"/>
        <w:jc w:val="left"/>
      </w:pPr>
      <w:r>
        <w:rPr>
          <w:rFonts w:ascii="Times New Roman" w:hAnsi="Times New Roman" w:eastAsia="Times New Roman" w:cs="Times New Roman"/>
        </w:rPr>
        <w:t>Apabila tiga setengah tahun yang pertama dalam minggu ketika Kristus meneguhkan perjanjian itu ditindihkan ke atas tiga setengah tahun yang kedua, kita mendapati terang nubuat yang menjelaskan segala ketidaksesuaian yang tampak yang mungkin timbul dalam fikiran yang menyelidik. Minggu itu ialah masa ketika Utusan Perjanjian itu harus meneguhkan perjanjian itu, dan suatu perjanjian alkitabiah mesti diteguhkan dengan darah. Pembaptisan dan penyaliban Kristus serta perejaman Stefanus semuanya menandakan darah. Kedua-dua garis itu melambangkan darah perjanjian, dan garis-garis itu sedang meneguhkan perjanjian itu.</w:t>
      </w:r>
    </w:p>
    <w:p>
      <w:pPr>
        <w:pStyle w:val="ArticleBody"/>
        <w:jc w:val="left"/>
      </w:pPr>
      <w:r>
        <w:rPr>
          <w:rFonts w:ascii="Times New Roman" w:hAnsi="Times New Roman" w:eastAsia="Times New Roman" w:cs="Times New Roman"/>
        </w:rPr>
        <w:t>Ninkɛlɛrɛ-fɛ, “layini kan ni layini kan” kɔrɔ la, minɛji ni kɔrɔsikan ye taamasiyɛn fɔlɔ ye, ani kɔrɔsikan ni Ɛtienne kɔnɔfagali ye taamasiyɛn kɔfɛla ye. Ni olu kɔlɔsi ka kɛ layini kelen ye, an bɛ kɔrɔsi ni Misiyɛli ye ka bɔ yɔrɔ la Ɛtienne saya tuma la i n’a fɔ seere fila ye, minw bɛ Yudayaw ye ka nɔgɔya la ko u y’a dɛmɛsɛbɛn fɔ ka ban. Kirisi saya ye fan bɛɛ ka kɛ a kalanden Ɛtienne fana saya ye, min ye Paki ye ni layini fila lajɛlenna. Tile saba kɔfɛ, a bɛ ban ka ɲɛnamaya ta, i n’a fɔ Fɔlɔ-fɔlɔ Duma sɔnni ye.</w:t>
      </w:r>
    </w:p>
    <w:p>
      <w:pPr>
        <w:pStyle w:val="ArticleScripture"/>
        <w:jc w:val="left"/>
      </w:pPr>
      <w:r>
        <w:rPr>
          <w:rFonts w:ascii="Times New Roman" w:hAnsi="Times New Roman" w:eastAsia="Times New Roman" w:cs="Times New Roman"/>
        </w:rPr>
        <w:t>Tetapi sekarang Kristus telah dibangkitkan daripada antara orang mati, dan telah menjadi buah sulung bagi mereka yang telah tidur. 1 Korintus 15:20.</w:t>
      </w:r>
    </w:p>
    <w:p>
      <w:pPr>
        <w:pStyle w:val="ArticleBody"/>
        <w:jc w:val="left"/>
      </w:pPr>
      <w:r>
        <w:rPr>
          <w:rFonts w:ascii="Times New Roman" w:hAnsi="Times New Roman" w:eastAsia="Times New Roman" w:cs="Times New Roman"/>
        </w:rPr>
        <w:t>Namkarante ka Khrihfai hma ni thumnaa hmangin hriattîr nia, chumi inkárah chuan Changtel Lo Chhang Kût bul aṭanga ṭan a ni. Changtel lo chhang chu a “tho” lo, tin, Krista pawh ni hnihnaah a tho lo va, ni thumnaah a tho zâwk. “Line upon line” tih hman dânah chuan Krista leh Stephena te chu an thih hun a inang, nimahsela, hmasa ber rah resurrection-ah chuan a indawt a awm avângin, Stephena chu Krista hnuah a kaihthawh a ni.</w:t>
      </w:r>
    </w:p>
    <w:p>
      <w:pPr>
        <w:pStyle w:val="ArticleScripture"/>
        <w:jc w:val="left"/>
      </w:pPr>
      <w:r>
        <w:rPr>
          <w:rFonts w:ascii="Times New Roman" w:hAnsi="Times New Roman" w:eastAsia="Times New Roman" w:cs="Times New Roman"/>
        </w:rPr>
        <w:t>Tetapi tiap-tiap orang menurut urutannya sendiri: Kristus sebagai buah sulung; kemudian mereka yang adalah milik Kristus pada kedatangan-Nya. 1 Korintus 15:22.</w:t>
      </w:r>
    </w:p>
    <w:p>
      <w:pPr>
        <w:pStyle w:val="ArticleBody"/>
        <w:jc w:val="left"/>
      </w:pPr>
      <w:r>
        <w:rPr>
          <w:rFonts w:ascii="Times New Roman" w:hAnsi="Times New Roman" w:eastAsia="Times New Roman" w:cs="Times New Roman"/>
        </w:rPr>
        <w:t>Mekete ya Mbula ya Mokolo ya Liboso ekoki te kokabwana moko na mosusu, mpo ezali na boyokani ya semba moko na mosusu. Na lolenge oyo, Pentekote ezali komonisa mobeko ya Lomingo oyo ezali koya noki, ntango ekozala na bozongi ya kosopama ya Molimo Mosantu, mpe mongongo ya mibale ya Emoniseli mokapo ya zomi na mwambe na sima ekobenga baoyo bazali naino koyeba te nsango malamu, ete bábima na Babilone. Liloba “Babilone” eutami na liloba “Babele,” oyo elakisi mobulungano, mpo ezalaki na kokweya ya Babele nde Nzambe abulunganisaki minɔkɔ, mpe ezalaki na Pentekote nde Nzambe azongisaka sima mobulungano ya minɔkɔ mpo na komema nsango malamu na mokili. Boye Pentekote mpe mobeko ya Lomingo ezali koyokana.</w:t>
      </w:r>
    </w:p>
    <w:p>
      <w:pPr>
        <w:pStyle w:val="ArticleBody"/>
        <w:jc w:val="left"/>
      </w:pPr>
      <w:r>
        <w:rPr>
          <w:rFonts w:ascii="Times New Roman" w:hAnsi="Times New Roman" w:eastAsia="Times New Roman" w:cs="Times New Roman"/>
        </w:rPr>
        <w:t>Pa Pentekost ble gaven til språk gitt til disiplene, men deres budskap var den gang fremdeles begrenset til jødene. Når begge linjene føres sammen, inntreffer Pentekost i år 34, da Stefanus ble steinet, og evangeliet ble da båret til dem som for tiden ikke kjenner evangeliet.</w:t>
      </w:r>
    </w:p>
    <w:p>
      <w:pPr>
        <w:pStyle w:val="ArticleBody"/>
        <w:jc w:val="left"/>
      </w:pPr>
      <w:r>
        <w:rPr>
          <w:rFonts w:ascii="Times New Roman" w:hAnsi="Times New Roman" w:eastAsia="Times New Roman" w:cs="Times New Roman"/>
        </w:rPr>
        <w:t>Istifani anawakilisha wale wanaofufuliwa “katika kuja Kwake,” lakini ambao wamekufa pamoja Naye. Sadaka ya Malimbuko huashiria ufufuo wa Kristo siku ya tatu, na pia huashiria mwanzo wa Sikukuu ya Majuma, ambayo pia ni sikukuu ya Pentekoste, na ambayo hukumbuka kutolewa kwa Amri Kumi huko Sinai.</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ស្របគ្នានឹងឈើឆ្កាង</w:t>
      </w:r>
      <w:r>
        <w:rPr>
          <w:rFonts w:ascii="Times New Roman" w:hAnsi="Times New Roman" w:eastAsia="Times New Roman" w:cs="Times New Roman"/>
        </w:rPr>
        <w:t xml:space="preserve"> </w:t>
      </w:r>
      <w:r>
        <w:rPr>
          <w:rFonts w:ascii="Leelawadee UI" w:hAnsi="Leelawadee UI" w:eastAsia="Leelawadee UI" w:cs="Leelawadee UI"/>
        </w:rPr>
        <w:t>ដ្បិតក្នុងចំណោមភស្តុតាងផ្សេងទៀត</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បានផ្គូផ្គងការខកចិត្តរបស់ពួកសិស្សបន្ទាប់ពីឈើឆ្កាង</w:t>
      </w:r>
      <w:r>
        <w:rPr>
          <w:rFonts w:ascii="Times New Roman" w:hAnsi="Times New Roman" w:eastAsia="Times New Roman" w:cs="Times New Roman"/>
        </w:rPr>
        <w:t xml:space="preserve"> </w:t>
      </w:r>
      <w:r>
        <w:rPr>
          <w:rFonts w:ascii="Leelawadee UI" w:hAnsi="Leelawadee UI" w:eastAsia="Leelawadee UI" w:cs="Leelawadee UI"/>
        </w:rPr>
        <w:t>ជាមួយនឹងការខកចិត្តដែលបានកើតឡើងបន្ទាប់ពីថ្ងៃទី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ទាំងឈើឆ្កាង</w:t>
      </w:r>
      <w:r>
        <w:rPr>
          <w:rFonts w:ascii="Times New Roman" w:hAnsi="Times New Roman" w:eastAsia="Times New Roman" w:cs="Times New Roman"/>
        </w:rPr>
        <w:t xml:space="preserve"> </w:t>
      </w:r>
      <w:r>
        <w:rPr>
          <w:rFonts w:ascii="Leelawadee UI" w:hAnsi="Leelawadee UI" w:eastAsia="Leelawadee UI" w:cs="Leelawadee UI"/>
        </w:rPr>
        <w:t>និងថ្ងៃទី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សុទ្ធតែជានិមិត្តរូបជាមុននៃច្បាប់ថ្ងៃអាទិត្យដែលនឹងមកដល់ក្នុងពេលឆាប់ៗនេះ។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ពិធីបុណ្យទីហាសិបក៏ជានិមិត្តរូបនៃច្បាប់ថ្ងៃអាទិត្យដែលនឹងមកដល់ក្នុងពេលឆាប់ៗនេះដែរ</w:t>
      </w:r>
      <w:r>
        <w:rPr>
          <w:rFonts w:ascii="Times New Roman" w:hAnsi="Times New Roman" w:eastAsia="Times New Roman" w:cs="Times New Roman"/>
        </w:rPr>
        <w:t xml:space="preserve"> </w:t>
      </w:r>
      <w:r>
        <w:rPr>
          <w:rFonts w:ascii="Leelawadee UI" w:hAnsi="Leelawadee UI" w:eastAsia="Leelawadee UI" w:cs="Leelawadee UI"/>
        </w:rPr>
        <w:t>ប៉ុន្តែពិធីបុណ្យទីហាសិបបានមកដល់ក្រោយឈើឆ្កាងរយៈពេលហាសិបពីរថ្ងៃ។</w:t>
      </w:r>
      <w:r>
        <w:rPr>
          <w:rFonts w:ascii="Times New Roman" w:hAnsi="Times New Roman" w:eastAsia="Times New Roman" w:cs="Times New Roman"/>
        </w:rPr>
        <w:t xml:space="preserve"> </w:t>
      </w:r>
      <w:r>
        <w:rPr>
          <w:rFonts w:ascii="Leelawadee UI" w:hAnsi="Leelawadee UI" w:eastAsia="Leelawadee UI" w:cs="Leelawadee UI"/>
        </w:rPr>
        <w:t>ឈើឆ្កាង</w:t>
      </w:r>
      <w:r>
        <w:rPr>
          <w:rFonts w:ascii="Times New Roman" w:hAnsi="Times New Roman" w:eastAsia="Times New Roman" w:cs="Times New Roman"/>
        </w:rPr>
        <w:t xml:space="preserve"> </w:t>
      </w:r>
      <w:r>
        <w:rPr>
          <w:rFonts w:ascii="Leelawadee UI" w:hAnsi="Leelawadee UI" w:eastAsia="Leelawadee UI" w:cs="Leelawadee UI"/>
        </w:rPr>
        <w:t>ដែលត្រូវបានតំណាងជាមុនដោយបុណ្យរំលង</w:t>
      </w:r>
      <w:r>
        <w:rPr>
          <w:rFonts w:ascii="Times New Roman" w:hAnsi="Times New Roman" w:eastAsia="Times New Roman" w:cs="Times New Roman"/>
        </w:rPr>
        <w:t xml:space="preserve"> </w:t>
      </w:r>
      <w:r>
        <w:rPr>
          <w:rFonts w:ascii="Leelawadee UI" w:hAnsi="Leelawadee UI" w:eastAsia="Leelawadee UI" w:cs="Leelawadee UI"/>
        </w:rPr>
        <w:t>នាំឲ្យចូលទៅក្នុងលំដាប់នៃពិធីបុណ្យមួយស៊េរី</w:t>
      </w:r>
      <w:r>
        <w:rPr>
          <w:rFonts w:ascii="Times New Roman" w:hAnsi="Times New Roman" w:eastAsia="Times New Roman" w:cs="Times New Roman"/>
        </w:rPr>
        <w:t xml:space="preserve"> </w:t>
      </w:r>
      <w:r>
        <w:rPr>
          <w:rFonts w:ascii="Leelawadee UI" w:hAnsi="Leelawadee UI" w:eastAsia="Leelawadee UI" w:cs="Leelawadee UI"/>
        </w:rPr>
        <w:t>ដែលរំឭកដល់ផ្លូវបុរាណរបស់អ៊ីស្រាអែលសម័យបុរាណ</w:t>
      </w:r>
      <w:r>
        <w:rPr>
          <w:rFonts w:ascii="Times New Roman" w:hAnsi="Times New Roman" w:eastAsia="Times New Roman" w:cs="Times New Roman"/>
        </w:rPr>
        <w:t xml:space="preserve"> </w:t>
      </w:r>
      <w:r>
        <w:rPr>
          <w:rFonts w:ascii="Leelawadee UI" w:hAnsi="Leelawadee UI" w:eastAsia="Leelawadee UI" w:cs="Leelawadee UI"/>
        </w:rPr>
        <w:t>ចាប់តាំងពីយប់ដែលទេវតានៃសេចក្តីស្លាប់បានរំលងផុតពីអេស៊ីព្ទ</w:t>
      </w:r>
      <w:r>
        <w:rPr>
          <w:rFonts w:ascii="Times New Roman" w:hAnsi="Times New Roman" w:eastAsia="Times New Roman" w:cs="Times New Roman"/>
        </w:rPr>
        <w:t xml:space="preserve"> </w:t>
      </w:r>
      <w:r>
        <w:rPr>
          <w:rFonts w:ascii="Leelawadee UI" w:hAnsi="Leelawadee UI" w:eastAsia="Leelawadee UI" w:cs="Leelawadee UI"/>
        </w:rPr>
        <w:t>រហូតដល់ការប្រទានក្រឹត្យវិន័យ។</w:t>
      </w:r>
      <w:r>
        <w:rPr>
          <w:rFonts w:ascii="Times New Roman" w:hAnsi="Times New Roman" w:eastAsia="Times New Roman" w:cs="Times New Roman"/>
        </w:rPr>
        <w:t xml:space="preserve"> </w:t>
      </w:r>
      <w:r>
        <w:rPr>
          <w:rFonts w:ascii="Leelawadee UI" w:hAnsi="Leelawadee UI" w:eastAsia="Leelawadee UI" w:cs="Leelawadee UI"/>
        </w:rPr>
        <w:t>ទោះបីជាពិធីបុណ្យទាំងនោះមានលក្ខណៈខុសប្លែករបស់ខ្លួនក្តី</w:t>
      </w:r>
      <w:r>
        <w:rPr>
          <w:rFonts w:ascii="Times New Roman" w:hAnsi="Times New Roman" w:eastAsia="Times New Roman" w:cs="Times New Roman"/>
        </w:rPr>
        <w:t xml:space="preserve"> </w:t>
      </w:r>
      <w:r>
        <w:rPr>
          <w:rFonts w:ascii="Leelawadee UI" w:hAnsi="Leelawadee UI" w:eastAsia="Leelawadee UI" w:cs="Leelawadee UI"/>
        </w:rPr>
        <w:t>ក៏វាត្រូវបានភ្ជាប់ជាប់គ្នាយ៉ាងមិនអាចបំបែកបាន។</w:t>
      </w:r>
      <w:r>
        <w:rPr>
          <w:rFonts w:ascii="Times New Roman" w:hAnsi="Times New Roman" w:eastAsia="Times New Roman" w:cs="Times New Roman"/>
        </w:rPr>
        <w:t xml:space="preserve"> </w:t>
      </w:r>
      <w:r>
        <w:rPr>
          <w:rFonts w:ascii="Leelawadee UI" w:hAnsi="Leelawadee UI" w:eastAsia="Leelawadee UI" w:cs="Leelawadee UI"/>
        </w:rPr>
        <w:t>ហេតុនេះហើយ</w:t>
      </w:r>
      <w:r>
        <w:rPr>
          <w:rFonts w:ascii="Times New Roman" w:hAnsi="Times New Roman" w:eastAsia="Times New Roman" w:cs="Times New Roman"/>
        </w:rPr>
        <w:t xml:space="preserve"> </w:t>
      </w:r>
      <w:r>
        <w:rPr>
          <w:rFonts w:ascii="Leelawadee UI" w:hAnsi="Leelawadee UI" w:eastAsia="Leelawadee UI" w:cs="Leelawadee UI"/>
        </w:rPr>
        <w:t>ការអនុវត្តរយៈពេលហាសិបពីរថ្ងៃពេញលេញចាប់ពីបុណ្យរំលងរហូតដល់ពិធីបុណ្យទីហាសិប</w:t>
      </w:r>
      <w:r>
        <w:rPr>
          <w:rFonts w:ascii="Times New Roman" w:hAnsi="Times New Roman" w:eastAsia="Times New Roman" w:cs="Times New Roman"/>
        </w:rPr>
        <w:t xml:space="preserve"> </w:t>
      </w:r>
      <w:r>
        <w:rPr>
          <w:rFonts w:ascii="Leelawadee UI" w:hAnsi="Leelawadee UI" w:eastAsia="Leelawadee UI" w:cs="Leelawadee UI"/>
        </w:rPr>
        <w:t>ជាសញ្ញាសម្គាល់តែមួយត្រូវបានចាត់ទុកថាត្រឹមត្រូវ។</w:t>
      </w:r>
    </w:p>
    <w:p>
      <w:pPr>
        <w:pStyle w:val="ArticleBody"/>
        <w:jc w:val="left"/>
      </w:pPr>
      <w:r>
        <w:rPr>
          <w:rFonts w:ascii="Times New Roman" w:hAnsi="Times New Roman" w:eastAsia="Times New Roman" w:cs="Times New Roman"/>
        </w:rPr>
        <w:t>Mbo ya ntina oyo, ekulusu, liwa ya Stefano, mpe Pentekote nyonso ezali komonisa liboso mobeko ya Lomingo oyo ezali koya noki, tango kosambisa ya bokokisi oyo ezali kokoba likoló ya Babilone ya Mikolo oyo ekobanda, wana mongongo ya mibale ya Emoniseli mokapo ya zomi na mwambe ekobanda kobenga etonga mosusu ya Nzambe ebima na Babilone. Ezali na elembo wana ya nzela nde kosambisa ya bokokisi likoló ya Yelusaleme ekómaki, atako Nzambe na mawa na Ye alongisaki kobebisama ya solo ya tempelo mpe ya engumba pene na mbula ntuku minei nsima ya ekulusu kino na mobu 70. Kobebisama ya Yelusaleme ya kala ezali komonisa ebandeli ya kosambisa ya bokokisi oyo ezali kokoba, oyo ebandi na Etats-Unis ntango “botomboki ya ekólo elandami na libebi ya ekólo.”</w:t>
      </w:r>
    </w:p>
    <w:p>
      <w:pPr>
        <w:pStyle w:val="ArticleBody"/>
        <w:jc w:val="left"/>
      </w:pPr>
      <w:r>
        <w:rPr>
          <w:rFonts w:ascii="Times New Roman" w:hAnsi="Times New Roman" w:eastAsia="Times New Roman" w:cs="Times New Roman"/>
        </w:rPr>
        <w:t>Iqiniso lisekelwa ngobufakazi bababili, futhi emigqeni emibili yeminyaka emithathu nengxenye lapho uKristu aqinisa khona isivumelwano sithola ofakazi ababili bokufa nokuvuka okuhlobene nomlando okhomba umthetho weSonto ozayo maduze. Lowo mthetho weSonto, kusAmbulo isahluko 11, uchazwa ngokuthi “ihora lokuzamazama komhlaba okukhulu.” Lelo “hora” lixhumene ngokuqondile nofakazi ababili abanikeza ubufakazi beminyaka emithathu nengxenye. Ubufakazi babo buphela ngokufa kwabo nangokuvuka kwabo.</w:t>
      </w:r>
    </w:p>
    <w:p>
      <w:pPr>
        <w:pStyle w:val="ArticleBody"/>
        <w:jc w:val="left"/>
      </w:pPr>
      <w:r>
        <w:rPr>
          <w:rFonts w:ascii="Times New Roman" w:hAnsi="Times New Roman" w:eastAsia="Times New Roman" w:cs="Times New Roman"/>
        </w:rPr>
        <w:t>Bopaki jwa bone jwa dingwaga tse tharo le seripa, jo bo latetsweng ke loso le tsogo ya bone, bo emetswe ke loso le tsogo ya ga Jesu le ga Setefane ka bobedi, gonne “mola mo godimo ga mola,” Setefane o emelwa jaaka yo o tsositsweng le Keresete. Mo moletlong wa Dithakangwaga tsa Ntlha, go ne go tlhagisiwa ditlhabelo tse pedi tse dikgolo.</w:t>
      </w:r>
    </w:p>
    <w:p>
      <w:pPr>
        <w:pStyle w:val="ArticleBody"/>
        <w:jc w:val="left"/>
      </w:pPr>
      <w:r>
        <w:rPr>
          <w:rFonts w:ascii="Times New Roman" w:hAnsi="Times New Roman" w:eastAsia="Times New Roman" w:cs="Times New Roman"/>
        </w:rPr>
        <w:t>Salah sahiji éta nyaéta anak domba anu taya cacadna, sedengkeun anu séjénna nyaéta kurban sa’ir. Sa’ir éta ngagambarkeun hasil panén anu bakal nuturkeun, jeung anak domba éta ngagambarkeun Kristus. Kristus dihirupkeun deui dina poé katilu, jeung Stefanus ngagambarkeun jalma-jalma anu nuturkeun, sarta sa’ir éta ngagambarkeun hasil panén anu bakal nuturkeun. Dua saksi dina Wahyu pasal sabelas méré kasaksian salila tilu satengah taun, sanggeus éta maranéhna dipaéhan, tuluy dihirupkeun deui tilu satengah poé ti harita. Dua saksi éta geus dilambangkeun ku Kristus, anu mangrupa Buah Sulung, sabab maranéhna ngagambarkeun saratus opat puluh opat rébu, anu ogé mangrupa buah sulung.</w:t>
      </w:r>
    </w:p>
    <w:p>
      <w:pPr>
        <w:pStyle w:val="ArticleScripture"/>
        <w:jc w:val="left"/>
      </w:pPr>
      <w:r>
        <w:rPr>
          <w:rFonts w:ascii="Times New Roman" w:hAnsi="Times New Roman" w:eastAsia="Times New Roman" w:cs="Times New Roman"/>
        </w:rPr>
        <w:t>Lalu aku melihat, dan tampaklah seekor Anak Domba berdiri di atas gunung Sion, dan bersama-sama dengan-Nya seratus empat puluh empat ribu orang, yang pada dahi mereka tertulis nama Bapa-Nya. Dan aku mendengar suatu suara dari surga, seperti deru air yang banyak, dan seperti bunyi guruh yang dahsyat; dan aku mendengar bunyi para pemain kecapi yang memainkan kecapi mereka. Dan mereka menyanyikan seolah-olah suatu nyanyian baru di hadapan takhta, dan di hadapan keempat makhluk hidup itu, dan para tua-tua; dan tidak seorang pun dapat mempelajari nyanyian itu selain seratus empat puluh empat ribu orang itu, yang telah ditebus dari bumi. Mereka inilah orang-orang yang tidak mencemarkan dirinya dengan perempuan-perempuan, karena mereka adalah perawan. Mereka inilah yang mengikuti Anak Domba itu ke mana pun Ia pergi. Mereka telah ditebus dari antara manusia, sebagai buah sulung bagi Allah dan bagi Anak Domba. Dan di dalam mulut mereka tidak didapati tipu; karena mereka tidak bercacat di hadapan takhta Allah. Wahyu 14:1–5.</w:t>
      </w:r>
    </w:p>
    <w:p>
      <w:pPr>
        <w:pStyle w:val="ArticleBody"/>
        <w:jc w:val="left"/>
      </w:pPr>
      <w:r>
        <w:rPr>
          <w:rFonts w:ascii="Times New Roman" w:hAnsi="Times New Roman" w:eastAsia="Times New Roman" w:cs="Times New Roman"/>
        </w:rPr>
        <w:t>Majinika ya shayiri katika Sikukuu ya Malimbuko yaliwakilisha mavuno yaliyopaswa kufuata, na Stefano katika mwaka 34 alifuata kifo cha Kristo katika mwaka 31, ingawa “mstari juu ya mstari,” walikufa katika alama ile ile ya wakati. Kuhusiana na matoleo ya malimbuko, Kristo alikuwa mwana-kondoo aliyechinjwa na Stefano alikuwa shayiri. Kulingana na Paulo, “Kristo” ni “malimbuko ya hao waliolala usingizi,” kisha “baadaye ni wale walio wa Kristo wakati wa kuja kwake.” Wale mia moja arobaini na nne elfu ni malimbuko, nao ndio “wamfuatao Mwana-Kondoo kila aendako.”</w:t>
      </w:r>
    </w:p>
    <w:p>
      <w:pPr>
        <w:pStyle w:val="ArticleBody"/>
        <w:jc w:val="left"/>
      </w:pPr>
      <w:r>
        <w:rPr>
          <w:rFonts w:ascii="Times New Roman" w:hAnsi="Times New Roman" w:eastAsia="Times New Roman" w:cs="Times New Roman"/>
        </w:rPr>
        <w:t>Dalam “jam” “gempa bumi yang besar” dalam Wahyu pasal sebelas, dua saksi yang telah bernubuat selama tiga setengah tahun, hanya untuk dibunuh dan terbaring di jalan-jalan selama tiga setengah hari, dibangkitkan. Mereka adalah orang-orang yang dilambangkan oleh Stefanus yang secara nubuat dibangkitkan bersama Yesus, tetapi juga sesudah Yesus. Oleh sebab itu mereka dibangkitkan “tiga setengah hari” sesudah mereka dibunuh oleh binatang yang naik dari jurang maut. Pada “jam” yang sama, ketika mereka dibangkitkan, mereka naik ke surga sebagai suatu panji. Proses kebangkitan dan kenaikan mereka diuraikan dengan saksama dalam Firman nubuat Allah, dan itu mencakup bahwa mereka ditipologikan oleh kematian Stefanus yang harfiah, dengan demikian melambangkan suatu kematian rohani yang dikerjakan atas dua saksi itu ketika mereka diubahkan dari pergerakan Laodikia dari malaikat yang ketiga kepada pergerakan Filadelfia dari malaikat yang ketiga.</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“Бір нәрсе анық: Шайтанның туы астында тұруды таңдаған Жетінші күн адвентистері ең алдымен Құдай Рухының куәліктеріндегі ескертулер мен әшкерелеулерге деген сенімінен бас тартады.</w:t>
      </w:r>
    </w:p>
    <w:p>
      <w:pPr>
        <w:pStyle w:val="ArticleScripture"/>
        <w:jc w:val="left"/>
      </w:pPr>
      <w:r>
        <w:rPr>
          <w:rFonts w:ascii="Times New Roman" w:hAnsi="Times New Roman" w:eastAsia="Times New Roman" w:cs="Times New Roman"/>
        </w:rPr>
        <w:t>“Panggero tuju panguduson na umbalga jala tu parhobasion na umbadia dope dipajongjong, jala naeng tongtong dipajongjong. Adong pigapiga na saonari manggoari usul ni Satanas na ro tu rohana muse. Adong do angka na marpangkat penting di bagasan haporseaon na so umbotosa hasintongan tu partingkian on. Tu nasida dope ingkon dipasahat barita i. Molo dijalo nasida, Kristus naeng manjalo nasida, jala naeng mambahen nasida gabe sisean rap dohot Ibana. Alai molo nasida manolak manangihon barita i, nasida naeng maridi tu toru ni panji na lomlom ni Raja ni Haholomon.”</w:t>
      </w:r>
    </w:p>
    <w:p>
      <w:pPr>
        <w:pStyle w:val="ArticleScripture"/>
        <w:jc w:val="left"/>
      </w:pPr>
      <w:r>
        <w:rPr>
          <w:rFonts w:ascii="Times New Roman" w:hAnsi="Times New Roman" w:eastAsia="Times New Roman" w:cs="Times New Roman"/>
        </w:rPr>
        <w:t>“Ndzi lerisiwe ku vula leswaku ntiyiso wa nkoka wa nkarhi lowu wu ya wu pfulekela miehleketo ya vanhu hi ku vonakala loku engetelekeke. Hi ndlela yo hlawuleka, vavanuna ni vavasati va fanele ku dya nyama ya Kriste ni ku nwa ngati yakwe. Ku ta va ni ku kula ka ku twisisa, hikuva ntiyiso wu kota ku andza nkarhi hinkwawo. Muqambi wa ntiyiso wa vukwembu u ta nghena eka vun’we byo tshinana swinene, ni byo ya byi tshinana swinene, ni lava va hambetaka ku n’wi tiva. Loko vanhu va Xikwembu va amukela rito rakwe tanihi vuswa bya le tilweni, va ta swi tiva leswaku ku huma kakwe ku lulamisiwile kukota nimixo. Va ta amukela matimba ya moya, hilaha miri wu amukelaka matimba ya nyama loko swakudya swi dyiwa.”</w:t>
      </w:r>
    </w:p>
    <w:p>
      <w:pPr>
        <w:pStyle w:val="ArticleScripture"/>
        <w:jc w:val="left"/>
      </w:pPr>
      <w:r>
        <w:rPr>
          <w:rFonts w:ascii="Times New Roman" w:hAnsi="Times New Roman" w:eastAsia="Times New Roman" w:cs="Times New Roman"/>
        </w:rPr>
        <w:t>“Kita tidak memahami sepenuhnya rencana Tuhan dalam membawa bani Israel keluar dari perbudakan Mesir, dan menuntun mereka melalui padang gurun ke Kanaan.</w:t>
      </w:r>
    </w:p>
    <w:p>
      <w:pPr>
        <w:pStyle w:val="ArticleScripture"/>
        <w:jc w:val="left"/>
      </w:pPr>
      <w:r>
        <w:rPr>
          <w:rFonts w:ascii="Times New Roman" w:hAnsi="Times New Roman" w:eastAsia="Times New Roman" w:cs="Times New Roman"/>
        </w:rPr>
        <w:t>“Apabila kita menghimpunkan sinar-sinar ilahi yang bercahaya daripada Injil, kita akan memperoleh pengertian yang lebih jelas tentang sistem keagamaan Yahudi, serta penghargaan yang lebih mendalam terhadap kebenaran-kebenarannya yang penting. Penyelidikan kita akan kebenaran masih belum lengkap. Kita baru menghimpunkan beberapa sinar terang sahaja. Mereka yang tidak setiap hari menjadi pelajar Firman tidak akan menyelesaikan persoalan-persoalan sistem keagamaan Yahudi. Mereka tidak akan memahami kebenaran-kebenaran yang diajarkan melalui pelayanan bait suci. Pekerjaan Allah terhalang oleh pemahaman duniawi terhadap rencana-Nya yang agung. Kehidupan yang akan datang akan menyingkapkan makna hukum-hukum yang Kristus, terselubung dalam tiang awan, berikan kepada umat-Nya.”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Bilangan Seratus Lima</dc:title>
  <dc:subject>Penolakan Progresif terhadap Injil: Dari Kelahiran Kristus hingga Perajaman Stefanus</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