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ya Daniele — Namba Lekgolo le Senyane le Robongwe</w:t>
      </w:r>
    </w:p>
    <w:p>
      <w:pPr>
        <w:pStyle w:val="ArticleSubtitle"/>
        <w:jc w:val="left"/>
      </w:pPr>
      <w:r>
        <w:rPr>
          <w:rFonts w:ascii="Arial" w:hAnsi="Arial" w:eastAsia="Arial" w:cs="Arial"/>
        </w:rPr>
        <w:t>Фош дэгдэлт зөгнөлийн гурван давхар хэрэгжилт: Илчлэл номын есдүгээр бүлгийн эш үзүүллэгийн ач холбогдол ба орчин үеийн шинэчлэлийн хөдөлгөөн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Bahagian pertama Wahyu pasal sembilan mengenal pasti sangkakala kelima, iaitu celaka yang pertama, dan bahagian kedua pasal itu mengenal pasti sangkakala keenam, iaitu celaka yang kedua. Kedua-dua sangkakala itu digambarkan dengan jelas pada carta perintis tahun 1843 dan 1850. Apabila enam ayat terakhir Daniel sebelas dibukakan meterainya pada waktu kesudahan pada tahun 1989 dengan keruntuhan Kesatuan Soviet, maka bermulalah pergerakan reformasi bagi seratus empat puluh empat ribu itu.</w:t>
      </w:r>
    </w:p>
    <w:p>
      <w:pPr>
        <w:pStyle w:val="ArticleBody"/>
        <w:jc w:val="left"/>
      </w:pPr>
      <w:r>
        <w:rPr>
          <w:rFonts w:ascii="Times New Roman" w:hAnsi="Times New Roman" w:eastAsia="Times New Roman" w:cs="Times New Roman"/>
        </w:rPr>
        <w:t>Di antara kebenaran-kebenaran yang diakui pada tahun 1989 ialah gerakan-gerakan reformasi besar dalam sejarah Alkitab, dan bahwa semuanya itu saling sejajar satu dengan yang lain. Semua nabi, dan oleh sebab itu setiap sejarah suci, termasuk gerakan-gerakan reformasi suci, menggambarkan gerakan reformasi besar yang terakhir dari seratus empat puluh empat ribu orang, yang juga merupakan gerakan perkasa dari malaikat ketiga. Ketika proses pemeteraian dimulai, demikian pula dimulailah pemercikan hujan akhir. Penyingkapan gerakan-gerakan reformasi pada tahun 1989, yang diikuti oleh penyingkapan enam ayat terakhir dari Daniel sebelas pada tahun 1992, menghasilkan suatu keadaan perlawanan, sebagaimana senantiasa terjadi ketika suatu kebenaran baru dan kini disingkapkan.</w:t>
      </w:r>
    </w:p>
    <w:p>
      <w:pPr>
        <w:pStyle w:val="ArticleBody"/>
        <w:jc w:val="left"/>
      </w:pPr>
      <w:r>
        <w:rPr>
          <w:rFonts w:ascii="Nirmala UI" w:hAnsi="Nirmala UI" w:eastAsia="Nirmala UI" w:cs="Nirmala UI"/>
        </w:rPr>
        <w:t>ओढ़ाम्नी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संयोजित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मान्यता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आधारशिला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पूर्वछायित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Tsʼííłtsoh bee beehazʼáanii tʼáá ajiłiiʼígíí, kʼad tʼáá ajiłiiʼígíí bee haneʼ bíhoołʼaahígíí, 144,000ígíí biniinaa yáʼátʼéehgo ályaa, hááláʼ atʼéego díí tʼáá ajiłiiʼígíí dahiitʼį́į́ʼígíí naashá, dóó áłtsé daahwiʼíí átʼéego tʼááłáʼí ako nídeeshʼááhígíí Islam, tʼáá ajiłiiʼígíí dahiitʼį́į́ʼígíí bizaad atʼé. Tsʼííłtsoh bee beehazʼáanii tʼáá ajiłiiʼígíí biyiʼ hazʼą́ągo naaki naaltsoos átʼéego baa naʼanishígíí, Judah biyiʼ Tłʼízí Yázhí bee hozhǫ́ǫgo bikʼehgo baa haneʼ ályaa, Islam, áłtsé daahwiʼíí átʼéego tʼááłáʼí ako nídeeshʼááhígíí, history góneʼ September 11, 2001 níyolgo ílį́įgo dah naaznilígíí biyiʼ yáʼátʼéehgo dooleeł da, hááláʼ éí Bił hazʼą́ągo tʼáá ajiłiiʼígíí bikáaʼgi baa nahatʼáahígíí bee, ákótʼéego Bizaad biyiʼígíí tʼáá ajiłiiʼígíí bizaad, áłtsé daahwiʼíí dah naaznilígíí bee naasháhgóó, doo yołíída bíkʼehgo dahaneʼłį́į́ʼgo nidaaníínishłį́į́ʼ dooleeł da, éí Jeremiah biyiʼ old paths góneʼ Haaʼaahjí sinilígíí baa naʼanishgo, Diné Bikéyahgóó nidaałʼaahgo.</w:t>
      </w:r>
    </w:p>
    <w:p>
      <w:pPr>
        <w:pStyle w:val="ArticleBody"/>
        <w:jc w:val="left"/>
      </w:pPr>
      <w:r>
        <w:rPr>
          <w:rFonts w:ascii="Times New Roman" w:hAnsi="Times New Roman" w:eastAsia="Times New Roman" w:cs="Times New Roman"/>
        </w:rPr>
        <w:t>Pamahaman para perintis mengenai trompet kelima dan keenam sebagaimana dikemukakan dalam Wahyu pasal sembilan dipahami sebagai bagian dalam kitab Wahyu yang paling teguh dan paling jelas didukung oleh sejarah. Uriah Smith memulai pemaparannya tentang Wahyu pasal sembilan dengan menggunakan kata-kata sejarawan Keith untuk menegaskan hal itu.</w:t>
      </w:r>
    </w:p>
    <w:p>
      <w:pPr>
        <w:pStyle w:val="ArticleScripture"/>
        <w:jc w:val="left"/>
      </w:pPr>
      <w:r>
        <w:rPr>
          <w:rFonts w:ascii="Times New Roman" w:hAnsi="Times New Roman" w:eastAsia="Times New Roman" w:cs="Times New Roman"/>
        </w:rPr>
        <w:t>“Untuk suatu uraian mengenai sangkakala ini, sekali lagi kita akan mengambil dari tulisan-tulisan Tn. Keith. Penulis ini dengan tepat berkata: ‘Hampir tidak ada kesepakatan yang begitu seragam di antara para penafsir mengenai bagian lain mana pun dari Wahyu seperti mengenai penerapan sangkakala kelima dan keenam, atau malapetaka pertama dan kedua, kepada orang-orang Saracen dan Turki. Hal itu begitu jelas sehingga hampir tidak mungkin disalahpahami. Gantinya satu atau dua ayat yang menunjuk masing-masing, seluruh pasal kesembilan kitab Wahyu, dalam bagian-bagian yang seimbang, dipakai untuk suatu uraian tentang keduanya.’” Uriah Smith, Daniel and Revelation, 495.</w:t>
      </w:r>
    </w:p>
    <w:p>
      <w:pPr>
        <w:pStyle w:val="ArticleBody"/>
        <w:jc w:val="left"/>
      </w:pPr>
      <w:r>
        <w:rPr>
          <w:rFonts w:ascii="Times New Roman" w:hAnsi="Times New Roman" w:eastAsia="Times New Roman" w:cs="Times New Roman"/>
        </w:rPr>
        <w:t>Pembahagian fasal bagi celaka yang pertama dan yang kedua membahagikan sejarah celaka yang pertama, yang dilambangkan oleh Mohammed. Secara geografi, hal itu terletak di wilayah yang oleh sejarawan Alexander Keith disebut sebagai bangsa Saracen, yang pada masa kini kita sebut Arabia. Sejarah celaka yang kedua, yang dilambangkan oleh Osman 1, secara geografi terletak di Turki, yang dikenal pasti oleh sejarawan itu sebagai bangsa Turki. Sejarah celaka yang pertama terletak dan digenapi di Arabia, tempat lahirnya Islam dan Mohammed. Sejarah celaka yang kedua terletak dan digenapi di Turki, tempat lahirnya Empayar Uthmaniyyah.</w:t>
      </w:r>
    </w:p>
    <w:p>
      <w:pPr>
        <w:pStyle w:val="ArticleBody"/>
        <w:jc w:val="left"/>
      </w:pPr>
      <w:r>
        <w:rPr>
          <w:rFonts w:ascii="Times New Roman" w:hAnsi="Times New Roman" w:eastAsia="Times New Roman" w:cs="Times New Roman"/>
        </w:rPr>
        <w:t>Lembali ya mahloko yo sungula, yi kombisa nyimpi leyi a yi kongomisiwe eRhoma hi vahlayi lava tiyimeleke hi voxe, lava ku hlangana ka vona ntsena a ku ri vukhongeri bya Vuislamu. Lembali ya khombo ra vumbirhi, yi kombisa nyimpi leyi a yi kongomisiwe eRhoma hi vukhongeri lebyi hleleke na matimba ya mfumo, lebyi vuriwaka Khilafati. Eka xiyimo xin’wana ni xin’wana, hambi ku ri nyimpi leyi tiyimeleke yi lwisana na Rhoma eka matimu lama fanekiseriwaka hi Mohammed, kumbe nyimpi leyi hlelekeke leyi fanekiseriwaka hi Ottman, kumbe Mfumo wa Ottoman, ndlela ya nyimpi a ku ri ku hlasela hi xitshuketa naswona hi ku nga languteriwi. A hi nyimpi leyi a yi endliwa hi ku ambexa masocha hinkwawo yunifomo ya muhlovo wun’we, kutani ku hlengeleta masocha hi muxaxa naswona ku va fambisa emahlweni va ya nghena endzilweni wa swibamu, hilaha a ku ri mukhuva wa vuswikoti bya nyimpi wa nkarhi wolowo. Rito leri nge “assassin” ri simekiwe eka ndlela ya Vuislamu ya nyimpi ya ku tlhava hi xitshuketa naswona hi ku nga languteriwi, naswona hi ntolovelo swi hetelela hi rifu ra muhleri na yena.</w:t>
      </w:r>
    </w:p>
    <w:p>
      <w:pPr>
        <w:pStyle w:val="ArticleBody"/>
        <w:jc w:val="left"/>
      </w:pPr>
      <w:r>
        <w:rPr>
          <w:rFonts w:ascii="Times New Roman" w:hAnsi="Times New Roman" w:eastAsia="Times New Roman" w:cs="Times New Roman"/>
        </w:rPr>
        <w:t>Kata “assassin” berasal daripada perkataan Arab “hashshashin,” yang berpunca daripada “hashish,” yang bererti “ganja” atau “kanabis.” Istilah itu pada asalnya digunakan untuk merujuk kepada suatu kumpulan rahsia dan fanatik Muslim Nizari Ismaili di Timur Tengah pada zaman pertengahan. Anggota kumpulan ini dikenali kerana kaedah mereka yang tidak konvensional dan sering kali ganas, termasuk penggunaan pembunuhan politik untuk mencapai matlamat mereka. Dikatakan bahawa mereka adakalanya mengambil hashish sebagai persediaan untuk misi mereka, yang membawa kepada penggunaan istilah “hashshashin” atau “assassins” di dunia Barat. Golongan Assassins aktif pada zaman pertengahan, terutamanya di Parsi dan Syria, dan mereka memainkan peranan yang penting dalam pelbagai konflik politik dan pembunuhan pada masa itu. Istilah “assassin” akhirnya memasuki bahasa-bahasa Eropah, lalu digunakan dengan pengertian yang lebih umum untuk merujuk kepada individu yang melaksanakan pembunuhan politik atau pembunuhan yang disasarkan.</w:t>
      </w:r>
    </w:p>
    <w:p>
      <w:pPr>
        <w:pStyle w:val="ArticleBody"/>
        <w:jc w:val="left"/>
      </w:pPr>
      <w:r>
        <w:rPr>
          <w:rFonts w:ascii="Times New Roman" w:hAnsi="Times New Roman" w:eastAsia="Times New Roman" w:cs="Times New Roman"/>
        </w:rPr>
        <w:t>Tsela ena ya ntwa ke semelo sa botlhokwa sa boporofeti sa diphiri tse tharo, gonne seabe sa boporofeti sa Boislamo ke go tlhagisa ntwa. Boislamo, jaaka sesupo, bo mabapi tsotlhe le ntwa, mme mo go Tshenolo kgaolo ya boferabongwe, Boislamo jwa phiri ya ntlha le ya bobedi ke setshwantsho sa ntwa ya bona. Ntwa ya bona e itsisiwe mo bukeng ya Tshenolo e le tiro e e galefisang ditšhaba, fela pele ga nako ya tshekatsheko e khutla.</w:t>
      </w:r>
    </w:p>
    <w:p>
      <w:pPr>
        <w:pStyle w:val="ArticleScripture"/>
        <w:jc w:val="left"/>
      </w:pPr>
      <w:r>
        <w:rPr>
          <w:rFonts w:ascii="Times New Roman" w:hAnsi="Times New Roman" w:eastAsia="Times New Roman" w:cs="Times New Roman"/>
        </w:rPr>
        <w:t>Dan bangsa-bangsa telah marah, dan murka-Mu telah datang, dan waktunya orang-orang mati, supaya mereka dihakimi, dan supaya Engkau memberikan upah kepada hamba-hamba-Mu, para nabi, dan kepada orang-orang kudus, dan kepada mereka yang takut akan nama-Mu, kecil dan besar; dan supaya Engkau membinasakan mereka yang membinasakan bumi. Wahyu 11:18.</w:t>
      </w:r>
    </w:p>
    <w:p>
      <w:pPr>
        <w:pStyle w:val="ArticleBody"/>
        <w:jc w:val="left"/>
      </w:pPr>
      <w:r>
        <w:rPr>
          <w:rFonts w:ascii="Times New Roman" w:hAnsi="Times New Roman" w:eastAsia="Times New Roman" w:cs="Times New Roman"/>
        </w:rPr>
        <w:t>“</w:t>
      </w:r>
      <w:r>
        <w:rPr>
          <w:rFonts w:ascii="Myanmar Text" w:hAnsi="Myanmar Text" w:eastAsia="Myanmar Text" w:cs="Myanmar Text"/>
        </w:rPr>
        <w:t>ဘုရားမဲ့သော</w:t>
      </w:r>
      <w:r>
        <w:rPr>
          <w:rFonts w:ascii="Times New Roman" w:hAnsi="Times New Roman" w:eastAsia="Times New Roman" w:cs="Times New Roman"/>
        </w:rPr>
        <w:t xml:space="preserve"> </w:t>
      </w:r>
      <w:r>
        <w:rPr>
          <w:rFonts w:ascii="Myanmar Text" w:hAnsi="Myanmar Text" w:eastAsia="Myanmar Text" w:cs="Myanmar Text"/>
        </w:rPr>
        <w:t>လူမျိုးအပေါင်း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ကျရောက်မလာမီ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အမျက်ထွက်</w:t>
      </w:r>
      <w:r>
        <w:rPr>
          <w:rFonts w:ascii="Times New Roman" w:hAnsi="Times New Roman" w:eastAsia="Times New Roman" w:cs="Times New Roman"/>
        </w:rPr>
        <w:t xml:space="preserve">” </w:t>
      </w:r>
      <w:r>
        <w:rPr>
          <w:rFonts w:ascii="Myanmar Text" w:hAnsi="Myanmar Text" w:eastAsia="Myanmar Text" w:cs="Myanmar Text"/>
        </w:rPr>
        <w:t>ကြပြီး၊</w:t>
      </w:r>
      <w:r>
        <w:rPr>
          <w:rFonts w:ascii="Times New Roman" w:hAnsi="Times New Roman" w:eastAsia="Times New Roman" w:cs="Times New Roman"/>
        </w:rPr>
        <w:t xml:space="preserve"> </w:t>
      </w:r>
      <w:r>
        <w:rPr>
          <w:rFonts w:ascii="Myanmar Text" w:hAnsi="Myanmar Text" w:eastAsia="Myanmar Text" w:cs="Myanmar Text"/>
        </w:rPr>
        <w:t>ဗျာဒိတ်ကျမ်းတွင်</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အမျက်တော်ဆိုသည်မှာ</w:t>
      </w:r>
      <w:r>
        <w:rPr>
          <w:rFonts w:ascii="Times New Roman" w:hAnsi="Times New Roman" w:eastAsia="Times New Roman" w:cs="Times New Roman"/>
        </w:rPr>
        <w:t xml:space="preserve"> </w:t>
      </w:r>
      <w:r>
        <w:rPr>
          <w:rFonts w:ascii="Myanmar Text" w:hAnsi="Myanmar Text" w:eastAsia="Myanmar Text" w:cs="Myanmar Text"/>
        </w:rPr>
        <w:t>လူသားတို့၏</w:t>
      </w:r>
      <w:r>
        <w:rPr>
          <w:rFonts w:ascii="Times New Roman" w:hAnsi="Times New Roman" w:eastAsia="Times New Roman" w:cs="Times New Roman"/>
        </w:rPr>
        <w:t xml:space="preserve"> </w:t>
      </w:r>
      <w:r>
        <w:rPr>
          <w:rFonts w:ascii="Myanmar Text" w:hAnsi="Myanmar Text" w:eastAsia="Myanmar Text" w:cs="Myanmar Text"/>
        </w:rPr>
        <w:t>စမ်းသပ်ခွင့်ကာလ</w:t>
      </w:r>
      <w:r>
        <w:rPr>
          <w:rFonts w:ascii="Times New Roman" w:hAnsi="Times New Roman" w:eastAsia="Times New Roman" w:cs="Times New Roman"/>
        </w:rPr>
        <w:t xml:space="preserve"> </w:t>
      </w:r>
      <w:r>
        <w:rPr>
          <w:rFonts w:ascii="Myanmar Text" w:hAnsi="Myanmar Text" w:eastAsia="Myanmar Text" w:cs="Myanmar Text"/>
        </w:rPr>
        <w:t>ပိတ်သိမ်းသည့်အခါ</w:t>
      </w:r>
      <w:r>
        <w:rPr>
          <w:rFonts w:ascii="Times New Roman" w:hAnsi="Times New Roman" w:eastAsia="Times New Roman" w:cs="Times New Roman"/>
        </w:rPr>
        <w:t xml:space="preserve"> </w:t>
      </w:r>
      <w:r>
        <w:rPr>
          <w:rFonts w:ascii="Myanmar Text" w:hAnsi="Myanmar Text" w:eastAsia="Myanmar Text" w:cs="Myanmar Text"/>
        </w:rPr>
        <w:t>ကျရောက်လာသော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ဘေးဒဏ်ကြီး</w:t>
      </w:r>
      <w:r>
        <w:rPr>
          <w:rFonts w:ascii="Times New Roman" w:hAnsi="Times New Roman" w:eastAsia="Times New Roman" w:cs="Times New Roman"/>
        </w:rPr>
        <w:t xml:space="preserve"> </w:t>
      </w:r>
      <w:r>
        <w:rPr>
          <w:rFonts w:ascii="Myanmar Text" w:hAnsi="Myanmar Text" w:eastAsia="Myanmar Text" w:cs="Myanmar Text"/>
        </w:rPr>
        <w:t>ခုနစ်ပါးပင်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ထိုကျမ်းပိုဒ်တွင်</w:t>
      </w:r>
      <w:r>
        <w:rPr>
          <w:rFonts w:ascii="Times New Roman" w:hAnsi="Times New Roman" w:eastAsia="Times New Roman" w:cs="Times New Roman"/>
        </w:rPr>
        <w:t xml:space="preserve"> </w:t>
      </w:r>
      <w:r>
        <w:rPr>
          <w:rFonts w:ascii="Myanmar Text" w:hAnsi="Myanmar Text" w:eastAsia="Myanmar Text" w:cs="Myanmar Text"/>
        </w:rPr>
        <w:t>အမှတ်အသားအဆင့်</w:t>
      </w:r>
      <w:r>
        <w:rPr>
          <w:rFonts w:ascii="Times New Roman" w:hAnsi="Times New Roman" w:eastAsia="Times New Roman" w:cs="Times New Roman"/>
        </w:rPr>
        <w:t xml:space="preserve"> </w:t>
      </w:r>
      <w:r>
        <w:rPr>
          <w:rFonts w:ascii="Myanmar Text" w:hAnsi="Myanmar Text" w:eastAsia="Myanmar Text" w:cs="Myanmar Text"/>
        </w:rPr>
        <w:t>သုံးရပ်</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လူမျိုးအပေါင်း</w:t>
      </w:r>
      <w:r>
        <w:rPr>
          <w:rFonts w:ascii="Times New Roman" w:hAnsi="Times New Roman" w:eastAsia="Times New Roman" w:cs="Times New Roman"/>
        </w:rPr>
        <w:t xml:space="preserve"> </w:t>
      </w:r>
      <w:r>
        <w:rPr>
          <w:rFonts w:ascii="Myanmar Text" w:hAnsi="Myanmar Text" w:eastAsia="Myanmar Text" w:cs="Myanmar Text"/>
        </w:rPr>
        <w:t>အမျက်ထွက်ခြင်း၊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သေသူတို့ကို</w:t>
      </w:r>
      <w:r>
        <w:rPr>
          <w:rFonts w:ascii="Times New Roman" w:hAnsi="Times New Roman" w:eastAsia="Times New Roman" w:cs="Times New Roman"/>
        </w:rPr>
        <w:t xml:space="preserve"> </w:t>
      </w:r>
      <w:r>
        <w:rPr>
          <w:rFonts w:ascii="Myanmar Text" w:hAnsi="Myanmar Text" w:eastAsia="Myanmar Text" w:cs="Myanmar Text"/>
        </w:rPr>
        <w:t>တရားစီရင်ရမည့်</w:t>
      </w:r>
      <w:r>
        <w:rPr>
          <w:rFonts w:ascii="Times New Roman" w:hAnsi="Times New Roman" w:eastAsia="Times New Roman" w:cs="Times New Roman"/>
        </w:rPr>
        <w:t xml:space="preserve"> </w:t>
      </w:r>
      <w:r>
        <w:rPr>
          <w:rFonts w:ascii="Myanmar Text" w:hAnsi="Myanmar Text" w:eastAsia="Myanmar Text" w:cs="Myanmar Text"/>
        </w:rPr>
        <w:t>အချိန်တို့</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ရည်ညွှန်းထားသော</w:t>
      </w:r>
      <w:r>
        <w:rPr>
          <w:rFonts w:ascii="Times New Roman" w:hAnsi="Times New Roman" w:eastAsia="Times New Roman" w:cs="Times New Roman"/>
        </w:rPr>
        <w:t xml:space="preserve"> </w:t>
      </w:r>
      <w:r>
        <w:rPr>
          <w:rFonts w:ascii="Myanmar Text" w:hAnsi="Myanmar Text" w:eastAsia="Myanmar Text" w:cs="Myanmar Text"/>
        </w:rPr>
        <w:t>သေသူတို့၏</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သေသူတို့၏</w:t>
      </w:r>
      <w:r>
        <w:rPr>
          <w:rFonts w:ascii="Times New Roman" w:hAnsi="Times New Roman" w:eastAsia="Times New Roman" w:cs="Times New Roman"/>
        </w:rPr>
        <w:t xml:space="preserve"> </w:t>
      </w:r>
      <w:r>
        <w:rPr>
          <w:rFonts w:ascii="Myanmar Text" w:hAnsi="Myanmar Text" w:eastAsia="Myanmar Text" w:cs="Myanmar Text"/>
        </w:rPr>
        <w:t>စုံစမ်းစစ်ဆေးရေး</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အနှစ်တစ်ထောင်</w:t>
      </w:r>
      <w:r>
        <w:rPr>
          <w:rFonts w:ascii="Times New Roman" w:hAnsi="Times New Roman" w:eastAsia="Times New Roman" w:cs="Times New Roman"/>
        </w:rPr>
        <w:t xml:space="preserve"> </w:t>
      </w:r>
      <w:r>
        <w:rPr>
          <w:rFonts w:ascii="Myanmar Text" w:hAnsi="Myanmar Text" w:eastAsia="Myanmar Text" w:cs="Myanmar Text"/>
        </w:rPr>
        <w:t>မီလီနီယမ်ကာလအတွင်း</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ဆိုးယုတ်သူ</w:t>
      </w:r>
      <w:r>
        <w:rPr>
          <w:rFonts w:ascii="Times New Roman" w:hAnsi="Times New Roman" w:eastAsia="Times New Roman" w:cs="Times New Roman"/>
        </w:rPr>
        <w:t xml:space="preserve"> </w:t>
      </w:r>
      <w:r>
        <w:rPr>
          <w:rFonts w:ascii="Myanmar Text" w:hAnsi="Myanmar Text" w:eastAsia="Myanmar Text" w:cs="Myanmar Text"/>
        </w:rPr>
        <w:t>သေသူတို့၏</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ညီအစ်မ</w:t>
      </w:r>
      <w:r>
        <w:rPr>
          <w:rFonts w:ascii="Times New Roman" w:hAnsi="Times New Roman" w:eastAsia="Times New Roman" w:cs="Times New Roman"/>
        </w:rPr>
        <w:t xml:space="preserve"> </w:t>
      </w:r>
      <w:r>
        <w:rPr>
          <w:rFonts w:ascii="Myanmar Text" w:hAnsi="Myanmar Text" w:eastAsia="Myanmar Text" w:cs="Myanmar Text"/>
        </w:rPr>
        <w:t>ဝှိုက်က</w:t>
      </w:r>
      <w:r>
        <w:rPr>
          <w:rFonts w:ascii="Times New Roman" w:hAnsi="Times New Roman" w:eastAsia="Times New Roman" w:cs="Times New Roman"/>
        </w:rPr>
        <w:t xml:space="preserve"> </w:t>
      </w:r>
      <w:r>
        <w:rPr>
          <w:rFonts w:ascii="Myanmar Text" w:hAnsi="Myanmar Text" w:eastAsia="Myanmar Text" w:cs="Myanmar Text"/>
        </w:rPr>
        <w:t>ဤကျမ်းပိုဒ်ရှိ</w:t>
      </w:r>
      <w:r>
        <w:rPr>
          <w:rFonts w:ascii="Times New Roman" w:hAnsi="Times New Roman" w:eastAsia="Times New Roman" w:cs="Times New Roman"/>
        </w:rPr>
        <w:t xml:space="preserve"> </w:t>
      </w:r>
      <w:r>
        <w:rPr>
          <w:rFonts w:ascii="Myanmar Text" w:hAnsi="Myanmar Text" w:eastAsia="Myanmar Text" w:cs="Myanmar Text"/>
        </w:rPr>
        <w:t>အမှတ်အသားအဆင့်</w:t>
      </w:r>
      <w:r>
        <w:rPr>
          <w:rFonts w:ascii="Times New Roman" w:hAnsi="Times New Roman" w:eastAsia="Times New Roman" w:cs="Times New Roman"/>
        </w:rPr>
        <w:t xml:space="preserve"> </w:t>
      </w:r>
      <w:r>
        <w:rPr>
          <w:rFonts w:ascii="Myanmar Text" w:hAnsi="Myanmar Text" w:eastAsia="Myanmar Text" w:cs="Myanmar Text"/>
        </w:rPr>
        <w:t>သုံးရပ်သည်</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ကွဲပြားသီးခြားကြောင်း၊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ကျမ်းပိုဒ်ထဲရှိ</w:t>
      </w:r>
      <w:r>
        <w:rPr>
          <w:rFonts w:ascii="Times New Roman" w:hAnsi="Times New Roman" w:eastAsia="Times New Roman" w:cs="Times New Roman"/>
        </w:rPr>
        <w:t xml:space="preserve"> </w:t>
      </w:r>
      <w:r>
        <w:rPr>
          <w:rFonts w:ascii="Myanmar Text" w:hAnsi="Myanmar Text" w:eastAsia="Myanmar Text" w:cs="Myanmar Text"/>
        </w:rPr>
        <w:t>အစီအစဉ်အတိုင်း</w:t>
      </w:r>
      <w:r>
        <w:rPr>
          <w:rFonts w:ascii="Times New Roman" w:hAnsi="Times New Roman" w:eastAsia="Times New Roman" w:cs="Times New Roman"/>
        </w:rPr>
        <w:t xml:space="preserve"> </w:t>
      </w:r>
      <w:r>
        <w:rPr>
          <w:rFonts w:ascii="Myanmar Text" w:hAnsi="Myanmar Text" w:eastAsia="Myanmar Text" w:cs="Myanmar Text"/>
        </w:rPr>
        <w:t>ဖြစ်ပေါ်ကြောင်းကို</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“Ndzi vone leswaku ku hlundzuka ka matiko, vukarhi bya Xikwembu, ni nkarhi wo avanyisa vafi a swi hambanile naswona a swi ri swilo leswi hambaneke, xin’we xi landzela xin’wana; ndzi tlhela ndzi vona leswaku Mikayele a nga si pfuka, naswona nkarhi wa maxangu, lama fanaka ni lama nga si tshamaka ma va kona, a wu nga si sungula. Matiko ma le ku hlundzukeni sweswi, kambe loko Muprista wa hina Lonkulu a hetile ntirho wa Yena evukwetsimelweni, U ta pfuka, a ambala tinguvu ta ku rihisela, kutani makhombo ya nkombo yo hetelela ma ta tlhela ma chuluriwa.”</w:t>
      </w:r>
    </w:p>
    <w:p>
      <w:pPr>
        <w:pStyle w:val="ArticleScripture"/>
        <w:jc w:val="left"/>
      </w:pPr>
      <w:r>
        <w:rPr>
          <w:rFonts w:ascii="Times New Roman" w:hAnsi="Times New Roman" w:eastAsia="Times New Roman" w:cs="Times New Roman"/>
        </w:rPr>
        <w:t>“Ndzi vone leswaku tintsumi ta mune a ti ta khoma mimoya ya mune ku fikela loko ntirho wa Yesu wu hetiwile exikwembeni xo kwetsima, kutani ku ta fika makhombo ya nkombo yo hetelela.” Early Writings, 36.</w:t>
      </w:r>
    </w:p>
    <w:p>
      <w:pPr>
        <w:pStyle w:val="ArticleBody"/>
        <w:jc w:val="left"/>
      </w:pPr>
      <w:r>
        <w:rPr>
          <w:rFonts w:ascii="Times New Roman" w:hAnsi="Times New Roman" w:eastAsia="Times New Roman" w:cs="Times New Roman"/>
        </w:rPr>
        <w:t>Peranan Islam dalam kitab terakhir Alkitab adalah untuk membangkitkan murka bangsa-bangsa, dan hal itu mereka lakukan melalui peperangan. Peranan Islam dalam kitab pertama Alkitab adalah untuk menghimpunkan tangan setiap orang di dunia melawan Islam, yang dilambangkan sebagai Ismael.</w:t>
      </w:r>
    </w:p>
    <w:p>
      <w:pPr>
        <w:pStyle w:val="ArticleScripture"/>
        <w:jc w:val="left"/>
      </w:pPr>
      <w:r>
        <w:rPr>
          <w:rFonts w:ascii="Times New Roman" w:hAnsi="Times New Roman" w:eastAsia="Times New Roman" w:cs="Times New Roman"/>
        </w:rPr>
        <w:t>Dan malaikat TUHAN berfirman kepadanya, “Sesungguhnya engkau mengandung dan akan melahirkan seorang anak laki-laki, dan engkau akan menamai dia Ismael, karena TUHAN telah mendengar penderitaanmu. Dan ia akan menjadi seorang manusia liar; tangannya akan melawan setiap orang, dan tangan setiap orang akan melawan dia; dan ia akan diam di hadapan semua saudaranya.” Kejadian 16:11, 12.</w:t>
      </w:r>
    </w:p>
    <w:p>
      <w:pPr>
        <w:pStyle w:val="ArticleBody"/>
        <w:jc w:val="left"/>
      </w:pPr>
      <w:r>
        <w:rPr>
          <w:rFonts w:ascii="Times New Roman" w:hAnsi="Times New Roman" w:eastAsia="Times New Roman" w:cs="Times New Roman"/>
        </w:rPr>
        <w:t>Kata “tangan” sebagai satu simbol adalah seperti semua simbol alkitabiah, dan ia boleh mempunyai lebih daripada satu makna bergantung pada konteks di mana ia digunakan. Jauh sekali, “tangan” sebagai simbol dalam nubuatan Alkitab ialah simbol peperangan. Perkataan Ibrani yang diterjemahkan sebagai “manusia liar” ialah perkataan bagi keldai liar Arab, yang memiliki beberapa implikasi nubuatan yang penting, salah satunya ialah bahawa keldai Arab itu ialah anggota keluarga haiwan Equidae, sebagaimana juga kuda. Dalam Wahyu pasal sembilan, dan pada kedua-dua carta suci Habakuk (carta perintis 1843 dan 1850), kuda digunakan sebagai simbol peperangan yang diwakili oleh Islam dalam tiga celaka itu. Penyebutan pertama dan terakhir tentang Islam, sebagaimana diwakili dalam kitab Kejadian dan kitab Wahyu, mengenal pasti Islam dengan simbol keluarga Equidae (keldai atau kuda), dan kedua-duanya menekankan peranan Islam sebagai membawa peperangan kepada “setiap orang” (bangsa-bangsa).</w:t>
      </w:r>
    </w:p>
    <w:p>
      <w:pPr>
        <w:pStyle w:val="ArticleBody"/>
        <w:jc w:val="left"/>
      </w:pPr>
      <w:r>
        <w:rPr>
          <w:rFonts w:ascii="Times New Roman" w:hAnsi="Times New Roman" w:eastAsia="Times New Roman" w:cs="Times New Roman"/>
        </w:rPr>
        <w:t>Di dalam kitab Wahyu, pasal SEMBILAN, ayat SEBELAS, watak Islam dikenal pasti, kerana secara nubuatan watak dilambangkan oleh suatu nama. Nama yang diberikan kepada raja yang memerintah atas Islam mencerminkan rujukan pertama kepada Islam dalam kitab Kejadian, di mana tertulis bahawa watak atau roh Ismael “akan tinggal di hadapan semua saudaranya.” Raja yang memerintah atas seluruh Islam ialah roh Ismael (raja mereka), yang tangannya “melawan setiap orang”.</w:t>
      </w:r>
    </w:p>
    <w:p>
      <w:pPr>
        <w:pStyle w:val="ArticleScripture"/>
        <w:jc w:val="left"/>
      </w:pPr>
      <w:r>
        <w:rPr>
          <w:rFonts w:ascii="Times New Roman" w:hAnsi="Times New Roman" w:eastAsia="Times New Roman" w:cs="Times New Roman"/>
        </w:rPr>
        <w:t>Mereka mempunyai seorang raja atas mereka, iaitu malaikat jurang yang tidak berdasar, yang namanya dalam bahasa Ibrani ialah Abaddon, tetapi dalam bahasa Yunani namanya Apollyon. Wahyu 9:11.</w:t>
      </w:r>
    </w:p>
    <w:p>
      <w:pPr>
        <w:pStyle w:val="ArticleBody"/>
        <w:jc w:val="left"/>
      </w:pPr>
      <w:r>
        <w:rPr>
          <w:rFonts w:ascii="Times New Roman" w:hAnsi="Times New Roman" w:eastAsia="Times New Roman" w:cs="Times New Roman"/>
        </w:rPr>
        <w:t>Dalam Perjanjian Lama, yang diwakili oleh bahasa Ibrani, atau dalam Perjanjian Baru, yang diwakili oleh bahasa Yunani, tabiat yang memerintah atas para penganut agama Islam dikenali sebagai sama ada Abaddon atau Apollyon, yang dalam kedua-duanya bererti “maut dan kebinasaan.” Maut dan kebinasaan ialah tabiat Islam, sama ada diwakili dalam Perjanjian Lama mahupun Perjanjian Baru. Ciri-ciri khusus roh yang memerintah dalam setiap penganut Islam, berkaitan dengan lambang keldai atau kuda, kedua-duanya merupakan unsur dalam rujukan yang pertama dan yang terakhir kepada Islam. Kedua-dua sifat kenabian ini memiliki tanda Alfa dan Omega. Apabila Sister White mengenal pasti pekhabaran yang menghidupkan seratus empat puluh empat ribu sebagai bala tentera perkasa malaikat ketiga, beliau menyatakan yang berikut:</w:t>
      </w:r>
    </w:p>
    <w:p>
      <w:pPr>
        <w:pStyle w:val="ArticleScripture"/>
        <w:jc w:val="left"/>
      </w:pPr>
      <w:r>
        <w:rPr>
          <w:rFonts w:ascii="Times New Roman" w:hAnsi="Times New Roman" w:eastAsia="Times New Roman" w:cs="Times New Roman"/>
        </w:rPr>
        <w:t>“Barongwa ba swere diphefo tse nne, tse di emetsweng e le pitse e e galefileng e e batlang go ikgagololela mme e taboge mo godimo ga lefatshe lotlhe, e tshotse tshenyo le loso mo tseleng ya yone.</w:t>
      </w:r>
    </w:p>
    <w:p>
      <w:pPr>
        <w:pStyle w:val="ArticleScripture"/>
        <w:jc w:val="left"/>
      </w:pPr>
      <w:r>
        <w:rPr>
          <w:rFonts w:ascii="Times New Roman" w:hAnsi="Times New Roman" w:eastAsia="Times New Roman" w:cs="Times New Roman"/>
        </w:rPr>
        <w:t>“Apakah kita akan terus tidur di ambang dunia kekal? Apakah kita akan menjadi tumpul, dingin, dan mati? Oh, kiranya di dalam jemaat-jemaat kita ada Roh dan napas Allah yang dihembuskan ke dalam umat-Nya, supaya mereka dapat berdiri di atas kaki mereka dan hidup. Kita perlu melihat bahwa jalannya sempit, dan pintunya sesak. Tetapi ketika kita melewati pintu yang sesak itu, keluasan di baliknya tidak terbatas.” Manuscript Releases, volume 20, 217.</w:t>
      </w:r>
    </w:p>
    <w:p>
      <w:pPr>
        <w:pStyle w:val="ArticleBody"/>
        <w:jc w:val="left"/>
      </w:pPr>
      <w:r>
        <w:rPr>
          <w:rFonts w:ascii="Times New Roman" w:hAnsi="Times New Roman" w:eastAsia="Times New Roman" w:cs="Times New Roman"/>
        </w:rPr>
        <w:t>Angin yang empat itu ditahan selama pemeteraian atas seratus empat puluh empat ribu, dan angin yang empat itu ialah seekor “kuda murka” yang membawa “kematian dan kebinasaan di sepanjang jalannya.” Pada 11 September 2001, celaka yang ketiga memasuki sejarah nubuatan dengan membawa “kematian dan kebinasaan,” dengan demikian “membangkitkan murka bangsa-bangsa,” ketika ia melanda tanah mulia rohani itu “secara tiba-tiba dan tidak terduga.” Pada 7 Oktober 2023, celaka yang ketiga itu meneruskan jalannya “kematian dan kebinasaan,” dengan demikian semakin “membangkitkan murka bangsa-bangsa,” ketika ia menyerang tanah mulia yang harfiah itu “secara tiba-tiba dan tidak terduga.” Serangan pertama yang tak terduga itu menandai permulaan masa pemeteraian atas seratus empat puluh empat ribu, dan serangan baru-baru ini pada 7 Oktober 2023 menandai permulaan masa pengakhiran atau “penyelesaian” dari pemeteraian atas seratus empat puluh empat ribu. Akankah kita tertidur di ambang dunia kekal itu?</w:t>
      </w:r>
    </w:p>
    <w:p>
      <w:pPr>
        <w:pStyle w:val="ArticleBody"/>
        <w:jc w:val="left"/>
      </w:pPr>
      <w:r>
        <w:rPr>
          <w:rFonts w:ascii="Times New Roman" w:hAnsi="Times New Roman" w:eastAsia="Times New Roman" w:cs="Times New Roman"/>
        </w:rPr>
        <w:t>Lefasung la bo-pula-maliboho ba mabedi a masaitseweng, Boislamo jwa pitlagano ya ntlha le ya bobedi bo supiwa ka setshwantsho ka batlhabani ba Maislamo ba pagame dipitse tsa bona tsa ntwa. Mopalami yo o mo pitse ya ntwa ya pitlagano ya ntlha mo ditshwantshong tsotlhe tse pedi o tshwere lerumo, mme mopalami wa pitse e e emelang pitlagano ya bobedi o thunya ka sethunya. Pharologanyo eno e supiwa sentle mo go Tshenolo kgaolo ya boferabongwe, gonne e ne e le mo hisitoring ya pitlagano ya bobedi mo go neng ga tlhamiwa lerole la dithunya, mme la dirisiwa la ntlha mo ntweng. Fa Uriah Smith a akgela ka ditemana tsa lesome le bosupa go ya go lesome le boferabongwe tsa Tshenolo kgaolo ya boferabongwe, o kwala jaana:</w:t>
      </w:r>
    </w:p>
    <w:p>
      <w:pPr>
        <w:pStyle w:val="ArticleScripture"/>
        <w:jc w:val="left"/>
      </w:pPr>
      <w:r>
        <w:rPr>
          <w:rFonts w:ascii="Times New Roman" w:hAnsi="Times New Roman" w:eastAsia="Times New Roman" w:cs="Times New Roman"/>
        </w:rPr>
        <w:t>“Bahagian pertama huraian ini mungkin merujuk kepada rupa para penunggang kuda ini. Api, yang melambangkan suatu warna, berdiri bagi merah, kerana ungkapan ‘semarah api’ kerap digunakan; yasinth, atau hyacinth, bagi biru; dan belerang bagi kuning. Dan warna-warna ini sangat mendominasi pakaian para pahlawan ini; sehingga huraian itu, menurut pandangan ini, akan dipenuhi dengan tepat dalam seragam Turki, yang sebahagian besarnya terdiri daripada merah, atau kirmizi, biru, dan kuning. Kepala-kepala kuda itu pada rupanya seperti kepala singa untuk menandakan kekuatan, keberanian, dan keganasan mereka; sementara bahagian terakhir ayat itu tanpa ragu-ragu merujuk kepada penggunaan ubat bedil dan senjata api bagi tujuan peperangan, yang pada waktu itu baru sahaja diperkenalkan. Oleh sebab orang Turki melepaskan tembakan senjata api mereka ketika menunggang kuda, maka kepada pemerhati dari kejauhan akan kelihatan seolah-olah api, asap, dan belerang keluar dari mulut kuda-kuda itu, sebagaimana digambarkan oleh ilustrasi yang disertakan.</w:t>
      </w:r>
    </w:p>
    <w:p>
      <w:pPr>
        <w:pStyle w:val="ArticleScripture"/>
        <w:jc w:val="left"/>
      </w:pPr>
      <w:r>
        <w:rPr>
          <w:rFonts w:ascii="Times New Roman" w:hAnsi="Times New Roman" w:eastAsia="Times New Roman" w:cs="Times New Roman"/>
        </w:rPr>
        <w:t>“Berkenaan dengan penggunaan senjata api oleh orang Turki dalam peperangan mereka menentang Konstantinopel, Elliott (Horae Apocalypticae, Jil. I, hlm. 482–484) berkata demikian:—‘Kepada “api dan asap dan belerang,” kepada artileri dan senjata api Mahomet, itulah terbawanya pembunuhan sepertiga daripada manusia, iaitu penaklukan Konstantinopel, dan sebagai akibatnya kebinasaan empayar Yunani. Seribu seratus tahun dan lebih telah pun berlalu sejak kota itu diasaskan oleh Constantine. Dalam sepanjang tempoh itu, orang Goth, Hun, Avar, Parsi, Bulgar, Saracen, Rusia, dan bahkan orang Turki Uthmaniyah sendiri, telah melancarkan serangan mereka yang bermusuhan, atau mengepungnya. Tetapi kubu pertahanannya tidak dapat ditembusi oleh mereka. Konstantinopel tetap bertahan, dan bersamanya empayar Yunani. Oleh itu, demikianlah kegelisahan Sultan Mahomet untuk menemukan sesuatu yang dapat melenyapkan halangan itu. “Dapatkah engkau menuang sebuah meriam,” demikianlah pertanyaannya kepada pembuat meriam yang berpaling tadah kepadanya, “yang cukup besar untuk merobohkan tembok Konstantinopel?” Maka didirikanlah tempat peleburan di Adrianople, meriam itu pun dituangkan, artileri disiapkan, dan pengepungan pun dimulakan.’”</w:t>
      </w:r>
    </w:p>
    <w:p>
      <w:pPr>
        <w:pStyle w:val="ArticleScripture"/>
        <w:jc w:val="left"/>
      </w:pPr>
      <w:r>
        <w:rPr>
          <w:rFonts w:ascii="Times New Roman" w:hAnsi="Times New Roman" w:eastAsia="Times New Roman" w:cs="Times New Roman"/>
        </w:rPr>
        <w:t>“Bingwa bate keba, ndenge Gibbon—oyo ntango nyonso azali mobongisi-malimboli ya esakweli ya Apokalipsi kozanga koyeba yango—azali kotia esaleli oyo ya sika ya bitumba liboso mpenza na elilingi na ye, kati na lisolo na ye ya monene mpe ya nguya na ntina ya libebi ya nsuka ya bokonzi ya Bagreki. Mpo na kobongisa yango, apesi lisolo ya bozwi ya sika ya poudre à canon, ‘mélange wana ya salpêtre, soufre, mpe makala;’ ayebisi ndenge Sultan Amurath asalelaki yango liboso, mpe lisusu, lokola elobamaki kala, ya esika ya kosala minene ya Mahomet mpo na kobimisa ba-canon ya monene na Adrianople; bongo, na bokendeleli ya kozinga engumba yango moko, alobeli ndenge ‘mbala na mbala ya makonga mpe ya matolotolo ezalaki kokende elongo na milinga, mongongo, mpe moto ya minduki mpe ya ba-canon;’ ndenge ‘molongo molai ya artillerie ya Batorki etalisamaki na bifelo, ba-batterie zomi na minei kobeta lokola nkake na mbala moko na bisika oyo ezalaki pete mingi mpo na kokota;’ ndenge ‘bikelo ya kobatela oyo etelemaki bankama ya bambula mpo na kotelemela mobulu ya banguna ebebisamaki ngambo nyonso na ba-canon ya Baottoman, bifongwami mingi bifungwamaki, mpe pene na ekuke ya Santu Romanus, bandako minene minei bakweyisamaki kino na mabele:’ ndenge, lokola ‘uta na milongo, na ba-galère, mpe na pont, artillerie ya Baottoman ezalaki kobeta lokola nkake ngambo nyonso, kaa mpe engumba, Bagreki mpe Batorki, bazindaki kati na lipata ya milinga, oyo ekokaki kaka kopanzana na lobiko ya nsuka to na libebi ya bokonzi ya Baroma:’ ndenge ‘bifelo mibale ekitisamaki na ba-canon kino kokoma liboke ya bitika ya mabanga:’ mpe ndenge na nsuka Batorki, ‘kotombwama na nzela ya bifongwami,’ ‘Constantinople elongamaki, bokonzi na yango ekweyisamaki, mpe lingomba na yango enyatamaki na putulu na balongi ya Bamizilma.’ Nazali koloba ete ebongi mpenza kotala ndenge ya polele mpe ya nguya Gibbon azali kokangisa bokangami ya engumba yango, mpe bongo libebi ya bokonzi yango, na artillerie ya Baottoman. Mpo ezali nini soki ezali te limboli moko ya maloba ya esakweli na biso? ‘Na misato oyo, eteni ya misato ya bato babomamaki, na moto, mpe na milinga, mpe na soufre, oyo ezalaki kobima na minoko na bango.’”</w:t>
      </w:r>
    </w:p>
    <w:p>
      <w:pPr>
        <w:pStyle w:val="ArticleScripture"/>
        <w:jc w:val="left"/>
      </w:pPr>
      <w:r>
        <w:rPr>
          <w:rFonts w:ascii="Times New Roman" w:hAnsi="Times New Roman" w:eastAsia="Times New Roman" w:cs="Times New Roman"/>
        </w:rPr>
        <w:t>“‘AYAT 18. Oleh ketiga-tiga ini terbunuhlah sepertiga daripada manusia, iaitu oleh api, dan oleh asap, dan oleh belerang, yang keluar dari mulut mereka. 19. Kerana kuasa mereka ada pada mulut mereka, dan pada ekor mereka; kerana ekor mereka adalah seperti ular, dan mempunyai kepala, dan dengannya mereka mendatangkan kecelakaan.’”</w:t>
      </w:r>
    </w:p>
    <w:p>
      <w:pPr>
        <w:pStyle w:val="ArticleScripture"/>
        <w:jc w:val="left"/>
      </w:pPr>
      <w:r>
        <w:rPr>
          <w:rFonts w:ascii="Times New Roman" w:hAnsi="Times New Roman" w:eastAsia="Times New Roman" w:cs="Times New Roman"/>
        </w:rPr>
        <w:t>“Ayat-ayat ini menyatakan dampak mematikan daripada cara peperangan baru yang diperkenalkan itu. Dengan perantaraan alat-alat inilah,—serbuk bedil, senjata api, dan meriam,—Konstantinopel akhirnya ditaklukkan, dan diserahkan ke dalam tangan orang Turki.” Uriah Smith, Daniel and Revelation, 510–514.</w:t>
      </w:r>
    </w:p>
    <w:p>
      <w:pPr>
        <w:pStyle w:val="ArticleBody"/>
        <w:jc w:val="left"/>
      </w:pPr>
      <w:r>
        <w:rPr>
          <w:rFonts w:ascii="Times New Roman" w:hAnsi="Times New Roman" w:eastAsia="Times New Roman" w:cs="Times New Roman"/>
        </w:rPr>
        <w:t>Re tla tswelela ka thuto ya madimabe a boraro, mo setlhogong se se latelang.</w:t>
      </w:r>
    </w:p>
    <w:p>
      <w:pPr>
        <w:pStyle w:val="ArticleScripture"/>
        <w:jc w:val="left"/>
      </w:pPr>
      <w:r>
        <w:rPr>
          <w:rFonts w:ascii="Times New Roman" w:hAnsi="Times New Roman" w:eastAsia="Times New Roman" w:cs="Times New Roman"/>
        </w:rPr>
        <w:t>“Ndzi pfukile evurhongweni bya mina vusiku byo hetelela ndzi ri ni ndzhwalo lowukulu emiehleketweni ya mina. A ndzi ri karhi ndzi humesa rungula eka vamakwerhu va hina va xinuna ni va xisati, naswona a ku ri rungula ra xitsundzuxo ni dyondzo malunghana ni ntirho wa van’wana lava seketelaka tidyondzo leti hoxeke mayelana ni ku amukeriwa ka Moya lowo Kwetsima, ni matirhelo ya wona hi ku tirhisa switirhisiwa swa vanhu.</w:t>
      </w:r>
    </w:p>
    <w:p>
      <w:pPr>
        <w:pStyle w:val="ArticleScripture"/>
        <w:jc w:val="left"/>
      </w:pPr>
      <w:r>
        <w:rPr>
          <w:rFonts w:ascii="Times New Roman" w:hAnsi="Times New Roman" w:eastAsia="Times New Roman" w:cs="Times New Roman"/>
        </w:rPr>
        <w:t>“Ndzi lerisiwe leswaku vukhongoteri bya ku tluriwa hi ku hiseka loku fanaka ni lebyi hi vitaniweke ku hlangana na byona endzhaku ka ku hundza ka nkarhi hi 1844, byi ta tlhela byi nghena exikarhi ka hina enkarhini wo hetelela wa rungula, naswona hi fanele ku langutana ni vubihi lebyi hi ku tiyimisela loku fanaka sweswi hilaha hi byi langutaneke hakona eka ntokoto wa hina wa le ku sunguleni.</w:t>
      </w:r>
    </w:p>
    <w:p>
      <w:pPr>
        <w:pStyle w:val="ArticleScripture"/>
        <w:jc w:val="left"/>
      </w:pPr>
      <w:r>
        <w:rPr>
          <w:rFonts w:ascii="Times New Roman" w:hAnsi="Times New Roman" w:eastAsia="Times New Roman" w:cs="Times New Roman"/>
        </w:rPr>
        <w:t>“Ka emekha ka thabang ya ditiragalo tse dikgolo le tse di masisi. Diporofeto di a diragadiwa. Histori e e gakgamatsang le e e tletseng ditiragalo e a kwalwa mo dibukeng tsa legodimo—ditiragalo tse go neng ga bolelwa gore di tla diragala ka bonako pele ga letsatsi le legolo la Modimo. Selo sengwe le sengwe mo lefatsheng se mo seemong se se sa tlhomamang. Ditšhaba di galefile, mme go dirwa dipaakanyo tse dikgolo tsa ntwa. Setšhaba se logela setšhaba, mme bogosi bo logela bogosi. Letsatsi le legolo la Modimo le potlakela thata. Mme le fa ditšhaba di kokoanya mephato ya tsona bakeng sa ntwa le tshololo ya madi, taelo e e neilweng baengele e sa ntse e eme, gore ba tshware diphefo tse nne go fitlha batlhanka ba Modimo ba tshwaiwa mo diphatleng tsa bona.” Selected Messages, buka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ya Daniele — Namba Lekgolo le Senyane le Robongwe</dc:title>
  <dc:subject>Фош дэгдэлт зөгнөлийн гурван давхар хэрэгжилт: Илчлэл номын есдүгээр бүлгийн эш үзүүллэгийн ач холбогдол ба орчин үеийн шинэчлэлийн хөдөлгөөн</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