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Kumi</w:t>
      </w:r>
    </w:p>
    <w:p>
      <w:pPr>
        <w:pStyle w:val="ArticleSubtitle"/>
        <w:jc w:val="left"/>
      </w:pPr>
      <w:r>
        <w:rPr>
          <w:rFonts w:ascii="Arial" w:hAnsi="Arial" w:eastAsia="Arial" w:cs="Arial"/>
        </w:rPr>
        <w:t>Proses itu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Dalam pasal satu kitab Daniel, Daniel dibawa ke dalam pembuangan selama tujuh puluh tahun yang telah dinubuatkan oleh Yeremia, dan tetap berlangsung sampai tahun pertama pemerintahan Koresy.</w:t>
      </w:r>
    </w:p>
    <w:p>
      <w:pPr>
        <w:pStyle w:val="ArticleScripture"/>
        <w:jc w:val="left"/>
      </w:pPr>
      <w:r>
        <w:rPr>
          <w:rFonts w:ascii="Times New Roman" w:hAnsi="Times New Roman" w:eastAsia="Times New Roman" w:cs="Times New Roman"/>
        </w:rPr>
        <w:t>I Daniyelu a tshoela pele go fihlela ngwaga wa ntlha wa kgosi Kurose. Daniele 1:21.</w:t>
      </w:r>
    </w:p>
    <w:p>
      <w:pPr>
        <w:pStyle w:val="ArticleBody"/>
        <w:jc w:val="left"/>
      </w:pPr>
      <w:r>
        <w:rPr>
          <w:rFonts w:ascii="Times New Roman" w:hAnsi="Times New Roman" w:eastAsia="Times New Roman" w:cs="Times New Roman"/>
        </w:rPr>
        <w:t>Ke fa, Daniele o phetse ho pholletsa le histori eohle ea lilemo tse mashome a supileng tsa botlamuoa, ho fihlela taelo e ileng ea lumella ho khutla ha Iseraele ea boholo-holo hore e hahe bocha le ho tsosolosa Jerusalema.</w:t>
      </w:r>
    </w:p>
    <w:p>
      <w:pPr>
        <w:pStyle w:val="ArticleScripture"/>
        <w:jc w:val="left"/>
      </w:pPr>
      <w:r>
        <w:rPr>
          <w:rFonts w:ascii="Times New Roman" w:hAnsi="Times New Roman" w:eastAsia="Times New Roman" w:cs="Times New Roman"/>
        </w:rPr>
        <w:t>1 Taon bereng e te baĩoreng le Kyruse, kgosi ya Peresia, gore lefoko la Morena ka molomo wa Jeremia le tle le diragale, Morena a rotloetsa moya wa ga Kyruse, kgosi ya Peresia, gore a tle a dire kitsiso mo bogosing jotlhe jwa gagwe, a bo a e kwala, a re. Esera 1:1.</w:t>
      </w:r>
    </w:p>
    <w:p>
      <w:pPr>
        <w:pStyle w:val="ArticleBody"/>
        <w:jc w:val="left"/>
      </w:pPr>
      <w:r>
        <w:rPr>
          <w:rFonts w:ascii="Times New Roman" w:hAnsi="Times New Roman" w:eastAsia="Times New Roman" w:cs="Times New Roman"/>
        </w:rPr>
        <w:t>Maka Daniel ialah lambang proses ujian bagi seratus empat puluh empat ribu yang bermula pada 11 September 2001, dan berterusan hingga “dekri” itu, yang menandakan panggilan keluar dari Babilon.</w:t>
      </w:r>
    </w:p>
    <w:p>
      <w:pPr>
        <w:pStyle w:val="ArticleScripture"/>
        <w:jc w:val="left"/>
      </w:pPr>
      <w:r>
        <w:rPr>
          <w:rFonts w:ascii="Times New Roman" w:hAnsi="Times New Roman" w:eastAsia="Times New Roman" w:cs="Times New Roman"/>
        </w:rPr>
        <w:t>Aku mendengar suatu suara lain dari syurga, yang berkata, “Keluarlah daripadanya, hai umat-Ku, supaya kamu jangan mengambil bahagian dalam dosa-dosanya, dan supaya kamu jangan menerima tulah-tulahnya. Kerana dosa-dosanya telah mencapai langit, dan Allah telah mengingati kejahatan-kejahatannya.” Wahyu 18:4, 5.</w:t>
      </w:r>
    </w:p>
    <w:p>
      <w:pPr>
        <w:pStyle w:val="ArticleBody"/>
        <w:jc w:val="left"/>
      </w:pPr>
      <w:r>
        <w:rPr>
          <w:rFonts w:ascii="Times New Roman" w:hAnsi="Times New Roman" w:eastAsia="Times New Roman" w:cs="Times New Roman"/>
        </w:rPr>
        <w:t>Tahun pitumpuluh panyangsaraon i ma masa pangujian dohot pamurnian ni saratus opat puluh opat ribu i. Di tanggal 11 September 2001, datang ma Bala ni Hae Tolu sian Islam. On ma na diantusi holan oleh nasida na manjalo hasintongan-hasintongan dasar ni Adventisme. Bala ni Hae na parjolo dohot Bala ni Hae na paduahon, duaduana nunga diidentifikasi dohot sintong songon Islam oleh angka perintis. Di bagan perintis taon 1843 dohot 1850, na dipasahat Ellen White pangoluhonna, jala na diida songon panggonopi ni Habakuk pasal dua, Islam diidentifikasi songon Trompet na kalima dohot na kagenep. Tolu Trompet na parpudi i ma Trompet Bala ni Hae.</w:t>
      </w:r>
    </w:p>
    <w:p>
      <w:pPr>
        <w:pStyle w:val="ArticleScripture"/>
        <w:jc w:val="left"/>
      </w:pPr>
      <w:r>
        <w:rPr>
          <w:rFonts w:ascii="Times New Roman" w:hAnsi="Times New Roman" w:eastAsia="Times New Roman" w:cs="Times New Roman"/>
        </w:rPr>
        <w:t>Lalu aku melihat dan mendengar seorang malaikat terbang di tengah-tengah langit sambil berkata dengan suara nyaring, “Celaka, celaka, celakalah penghuni-penghuni bumi oleh sebab bunyi sangkakala yang lain dari ketiga malaikat yang masih akan meniup sangkakala mereka!” Wahyu 8:13.</w:t>
      </w:r>
    </w:p>
    <w:p>
      <w:pPr>
        <w:pStyle w:val="ArticleBody"/>
        <w:jc w:val="left"/>
      </w:pPr>
      <w:r>
        <w:rPr>
          <w:rFonts w:ascii="Leelawadee UI" w:hAnsi="Leelawadee UI" w:eastAsia="Leelawadee UI" w:cs="Leelawadee UI"/>
        </w:rPr>
        <w:t>យ៉ាងនេះ</w:t>
      </w:r>
      <w:r>
        <w:rPr>
          <w:rFonts w:ascii="Times New Roman" w:hAnsi="Times New Roman" w:eastAsia="Times New Roman" w:cs="Times New Roman"/>
        </w:rPr>
        <w:t xml:space="preserve"> </w:t>
      </w:r>
      <w:r>
        <w:rPr>
          <w:rFonts w:ascii="Leelawadee UI" w:hAnsi="Leelawadee UI" w:eastAsia="Leelawadee UI" w:cs="Leelawadee UI"/>
        </w:rPr>
        <w:t>បើមានត្រែ</w:t>
      </w:r>
      <w:r>
        <w:rPr>
          <w:rFonts w:ascii="Times New Roman" w:hAnsi="Times New Roman" w:eastAsia="Times New Roman" w:cs="Times New Roman"/>
        </w:rPr>
        <w:t xml:space="preserve"> «</w:t>
      </w:r>
      <w:r>
        <w:rPr>
          <w:rFonts w:ascii="Leelawadee UI" w:hAnsi="Leelawadee UI" w:eastAsia="Leelawadee UI" w:cs="Leelawadee UI"/>
        </w:rPr>
        <w:t>វេទនា</w:t>
      </w:r>
      <w:r>
        <w:rPr>
          <w:rFonts w:ascii="Times New Roman" w:hAnsi="Times New Roman" w:eastAsia="Times New Roman" w:cs="Times New Roman"/>
        </w:rPr>
        <w:t xml:space="preserve">» </w:t>
      </w:r>
      <w:r>
        <w:rPr>
          <w:rFonts w:ascii="Leelawadee UI" w:hAnsi="Leelawadee UI" w:eastAsia="Leelawadee UI" w:cs="Leelawadee UI"/>
        </w:rPr>
        <w:t>បី</w:t>
      </w:r>
      <w:r>
        <w:rPr>
          <w:rFonts w:ascii="Times New Roman" w:hAnsi="Times New Roman" w:eastAsia="Times New Roman" w:cs="Times New Roman"/>
        </w:rPr>
        <w:t xml:space="preserve"> </w:t>
      </w:r>
      <w:r>
        <w:rPr>
          <w:rFonts w:ascii="Leelawadee UI" w:hAnsi="Leelawadee UI" w:eastAsia="Leelawadee UI" w:cs="Leelawadee UI"/>
        </w:rPr>
        <w:t>ហើយត្រែ</w:t>
      </w:r>
      <w:r>
        <w:rPr>
          <w:rFonts w:ascii="Times New Roman" w:hAnsi="Times New Roman" w:eastAsia="Times New Roman" w:cs="Times New Roman"/>
        </w:rPr>
        <w:t xml:space="preserve"> «</w:t>
      </w:r>
      <w:r>
        <w:rPr>
          <w:rFonts w:ascii="Leelawadee UI" w:hAnsi="Leelawadee UI" w:eastAsia="Leelawadee UI" w:cs="Leelawadee UI"/>
        </w:rPr>
        <w:t>វេទនា</w:t>
      </w:r>
      <w:r>
        <w:rPr>
          <w:rFonts w:ascii="Times New Roman" w:hAnsi="Times New Roman" w:eastAsia="Times New Roman" w:cs="Times New Roman"/>
        </w:rPr>
        <w:t xml:space="preserve">» </w:t>
      </w:r>
      <w:r>
        <w:rPr>
          <w:rFonts w:ascii="Leelawadee UI" w:hAnsi="Leelawadee UI" w:eastAsia="Leelawadee UI" w:cs="Leelawadee UI"/>
        </w:rPr>
        <w:t>ទីមួយ</w:t>
      </w:r>
      <w:r>
        <w:rPr>
          <w:rFonts w:ascii="Times New Roman" w:hAnsi="Times New Roman" w:eastAsia="Times New Roman" w:cs="Times New Roman"/>
        </w:rPr>
        <w:t xml:space="preserve"> </w:t>
      </w:r>
      <w:r>
        <w:rPr>
          <w:rFonts w:ascii="Leelawadee UI" w:hAnsi="Leelawadee UI" w:eastAsia="Leelawadee UI" w:cs="Leelawadee UI"/>
        </w:rPr>
        <w:t>និងទីពីរគឺអ៊ីស្លាម</w:t>
      </w:r>
      <w:r>
        <w:rPr>
          <w:rFonts w:ascii="Times New Roman" w:hAnsi="Times New Roman" w:eastAsia="Times New Roman" w:cs="Times New Roman"/>
        </w:rPr>
        <w:t xml:space="preserve"> </w:t>
      </w:r>
      <w:r>
        <w:rPr>
          <w:rFonts w:ascii="Leelawadee UI" w:hAnsi="Leelawadee UI" w:eastAsia="Leelawadee UI" w:cs="Leelawadee UI"/>
        </w:rPr>
        <w:t>នោះវាងាយស្រួលណាស់ក្នុងការសម្គាល់ថា</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វេទនា</w:t>
      </w:r>
      <w:r>
        <w:rPr>
          <w:rFonts w:ascii="Times New Roman" w:hAnsi="Times New Roman" w:eastAsia="Times New Roman" w:cs="Times New Roman"/>
        </w:rPr>
        <w:t xml:space="preserve">» </w:t>
      </w:r>
      <w:r>
        <w:rPr>
          <w:rFonts w:ascii="Leelawadee UI" w:hAnsi="Leelawadee UI" w:eastAsia="Leelawadee UI" w:cs="Leelawadee UI"/>
        </w:rPr>
        <w:t>ទីបីក៏ជាអ៊ីស្លាមដែរ។</w:t>
      </w:r>
      <w:r>
        <w:rPr>
          <w:rFonts w:ascii="Times New Roman" w:hAnsi="Times New Roman" w:eastAsia="Times New Roman" w:cs="Times New Roman"/>
        </w:rPr>
        <w:t xml:space="preserve"> </w:t>
      </w:r>
      <w:r>
        <w:rPr>
          <w:rFonts w:ascii="Leelawadee UI" w:hAnsi="Leelawadee UI" w:eastAsia="Leelawadee UI" w:cs="Leelawadee UI"/>
        </w:rPr>
        <w:t>ធាតុមួយនៃនិមិត្តសញ្ញាដែលបង្ហាញអ៊ីស្លាមជាត្រែ</w:t>
      </w:r>
      <w:r>
        <w:rPr>
          <w:rFonts w:ascii="Times New Roman" w:hAnsi="Times New Roman" w:eastAsia="Times New Roman" w:cs="Times New Roman"/>
        </w:rPr>
        <w:t xml:space="preserve"> «</w:t>
      </w:r>
      <w:r>
        <w:rPr>
          <w:rFonts w:ascii="Leelawadee UI" w:hAnsi="Leelawadee UI" w:eastAsia="Leelawadee UI" w:cs="Leelawadee UI"/>
        </w:rPr>
        <w:t>វេទនា</w:t>
      </w:r>
      <w:r>
        <w:rPr>
          <w:rFonts w:ascii="Times New Roman" w:hAnsi="Times New Roman" w:eastAsia="Times New Roman" w:cs="Times New Roman"/>
        </w:rPr>
        <w:t xml:space="preserve">» </w:t>
      </w:r>
      <w:r>
        <w:rPr>
          <w:rFonts w:ascii="Leelawadee UI" w:hAnsi="Leelawadee UI" w:eastAsia="Leelawadee UI" w:cs="Leelawadee UI"/>
        </w:rPr>
        <w:t>គឺការត្រូវបានឃាត់ទប់</w:t>
      </w:r>
      <w:r>
        <w:rPr>
          <w:rFonts w:ascii="Times New Roman" w:hAnsi="Times New Roman" w:eastAsia="Times New Roman" w:cs="Times New Roman"/>
        </w:rPr>
        <w:t xml:space="preserve"> </w:t>
      </w:r>
      <w:r>
        <w:rPr>
          <w:rFonts w:ascii="Leelawadee UI" w:hAnsi="Leelawadee UI" w:eastAsia="Leelawadee UI" w:cs="Leelawadee UI"/>
        </w:rPr>
        <w:t>ហើយបន្ទាប់មកពេលដែលវាត្រូវបានដោះលែង។</w:t>
      </w:r>
      <w:r>
        <w:rPr>
          <w:rFonts w:ascii="Times New Roman" w:hAnsi="Times New Roman" w:eastAsia="Times New Roman" w:cs="Times New Roman"/>
        </w:rPr>
        <w:t xml:space="preserve"> Sister White </w:t>
      </w:r>
      <w:r>
        <w:rPr>
          <w:rFonts w:ascii="Leelawadee UI" w:hAnsi="Leelawadee UI" w:eastAsia="Leelawadee UI" w:cs="Leelawadee UI"/>
        </w:rPr>
        <w:t>កំណត់អត្តសញ្ញាណខ្យល់ទាំងបួននៃវិវរណៈជំពូក</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ថាជា</w:t>
      </w:r>
      <w:r>
        <w:rPr>
          <w:rFonts w:ascii="Times New Roman" w:hAnsi="Times New Roman" w:eastAsia="Times New Roman" w:cs="Times New Roman"/>
        </w:rPr>
        <w:t xml:space="preserve"> «</w:t>
      </w:r>
      <w:r>
        <w:rPr>
          <w:rFonts w:ascii="Leelawadee UI" w:hAnsi="Leelawadee UI" w:eastAsia="Leelawadee UI" w:cs="Leelawadee UI"/>
        </w:rPr>
        <w:t>សេះកំពុងខឹង</w:t>
      </w:r>
      <w:r>
        <w:rPr>
          <w:rFonts w:ascii="Times New Roman" w:hAnsi="Times New Roman" w:eastAsia="Times New Roman" w:cs="Times New Roman"/>
        </w:rPr>
        <w:t xml:space="preserve">» </w:t>
      </w:r>
      <w:r>
        <w:rPr>
          <w:rFonts w:ascii="Leelawadee UI" w:hAnsi="Leelawadee UI" w:eastAsia="Leelawadee UI" w:cs="Leelawadee UI"/>
        </w:rPr>
        <w:t>ដែលកំពុងស្វែងរក</w:t>
      </w:r>
      <w:r>
        <w:rPr>
          <w:rFonts w:ascii="Times New Roman" w:hAnsi="Times New Roman" w:eastAsia="Times New Roman" w:cs="Times New Roman"/>
        </w:rPr>
        <w:t xml:space="preserve"> «</w:t>
      </w:r>
      <w:r>
        <w:rPr>
          <w:rFonts w:ascii="Leelawadee UI" w:hAnsi="Leelawadee UI" w:eastAsia="Leelawadee UI" w:cs="Leelawadee UI"/>
        </w:rPr>
        <w:t>រួចផុតចេញ</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នាំមកនូវសេចក្តីស្លាប់</w:t>
      </w:r>
      <w:r>
        <w:rPr>
          <w:rFonts w:ascii="Times New Roman" w:hAnsi="Times New Roman" w:eastAsia="Times New Roman" w:cs="Times New Roman"/>
        </w:rPr>
        <w:t xml:space="preserve"> </w:t>
      </w:r>
      <w:r>
        <w:rPr>
          <w:rFonts w:ascii="Leelawadee UI" w:hAnsi="Leelawadee UI" w:eastAsia="Leelawadee UI" w:cs="Leelawadee UI"/>
        </w:rPr>
        <w:t>និងសេចក្តីវិនាស</w:t>
      </w:r>
      <w:r>
        <w:rPr>
          <w:rFonts w:ascii="Times New Roman" w:hAnsi="Times New Roman" w:eastAsia="Times New Roman" w:cs="Times New Roman"/>
        </w:rPr>
        <w:t xml:space="preserve">» </w:t>
      </w:r>
      <w:r>
        <w:rPr>
          <w:rFonts w:ascii="Leelawadee UI" w:hAnsi="Leelawadee UI" w:eastAsia="Leelawadee UI" w:cs="Leelawadee UI"/>
        </w:rPr>
        <w:t>នៅតាមផ្លូវរបស់វា។</w:t>
      </w:r>
    </w:p>
    <w:p>
      <w:pPr>
        <w:pStyle w:val="ArticleScripture"/>
        <w:jc w:val="left"/>
      </w:pPr>
      <w:r>
        <w:rPr>
          <w:rFonts w:ascii="Times New Roman" w:hAnsi="Times New Roman" w:eastAsia="Times New Roman" w:cs="Times New Roman"/>
        </w:rPr>
        <w:t>“Malaika ba tshwere meya e mene, e emetsweng e le pitse e e galefileng e e batlang go ikgolaganya e bo e tabogela godimo ga lefatshe lotlhe, e rwele tshenyo le loso mo tseleng ya yone.</w:t>
      </w:r>
    </w:p>
    <w:p>
      <w:pPr>
        <w:pStyle w:val="ArticleScripture"/>
        <w:jc w:val="left"/>
      </w:pPr>
      <w:r>
        <w:rPr>
          <w:rFonts w:ascii="Times New Roman" w:hAnsi="Times New Roman" w:eastAsia="Times New Roman" w:cs="Times New Roman"/>
        </w:rPr>
        <w:t>“Adakah kita akan terus tertidur di ambang dunia yang kekal? Adakah kita akan tumpul dan dingin serta mati? Oh, alangkah baiknya jika di dalam gereja-gereja kita ada Roh dan nafas Allah yang dihembuskan ke dalam umat-Nya, supaya mereka dapat berdiri di atas kaki mereka dan hidup. Kita perlu melihat bahawa jalannya sempit, dan pintunya sesak. Tetapi apabila kita masuk melalui pintu yang sesak itu, keluasannya tidak terbatas.” Manuscript Releases, jilid 20, 217.</w:t>
      </w:r>
    </w:p>
    <w:p>
      <w:pPr>
        <w:pStyle w:val="ArticleBody"/>
        <w:jc w:val="left"/>
      </w:pPr>
      <w:r>
        <w:rPr>
          <w:rFonts w:ascii="Times New Roman" w:hAnsi="Times New Roman" w:eastAsia="Times New Roman" w:cs="Times New Roman"/>
        </w:rPr>
        <w:t>Malaikat empat yang menahan empat angin itu sedang menahan “kuda amarah” dalam nubuat Alkitab yang mendatangkan maut dan kebinasaan. Dalam Wahyu pasal sembilan, tempat sangkakala Celaka pertama dan kedua dikenal pasti, terdapat seorang raja yang dikenal pasti. Dia dikenal pasti dalam Wahyu “sembilan-sebelas”.</w:t>
      </w:r>
    </w:p>
    <w:p>
      <w:pPr>
        <w:pStyle w:val="ArticleScripture"/>
        <w:jc w:val="left"/>
      </w:pPr>
      <w:r>
        <w:rPr>
          <w:rFonts w:ascii="Times New Roman" w:hAnsi="Times New Roman" w:eastAsia="Times New Roman" w:cs="Times New Roman"/>
        </w:rPr>
        <w:t>Mereka mempunyai seorang raja atas mereka, yaitu malaikat jurang maut, yang namanya dalam bahasa Ibrani ialah Abadon, tetapi dalam bahasa Yunani namanya Apolion, sebagai yang berkuasa atas mereka. Wahyu 9:11.</w:t>
      </w:r>
    </w:p>
    <w:p>
      <w:pPr>
        <w:pStyle w:val="ArticleBody"/>
        <w:jc w:val="left"/>
      </w:pPr>
      <w:r>
        <w:rPr>
          <w:rFonts w:ascii="Times New Roman" w:hAnsi="Times New Roman" w:eastAsia="Times New Roman" w:cs="Times New Roman"/>
        </w:rPr>
        <w:t>Gálgo, miáh wašíču núŋpa ómakȟa tȟokáhe yuŋkáŋ, Isláŋ oyáte kiŋ itȟáŋčhaŋ kiŋ oyás’iŋ waŋžíla etáŋhaŋ Abaddon héčha, yuŋkáŋ Grík owówašte kiŋ él Apollyon héčha. Tȟokáhe Owówašteyuha kiŋ na Owówašteyuha Iyáye kiŋ él, Hebru kiŋ na Grík kiŋ oyákihiŋhaŋ, Isláŋ oyáte kiŋ owíhaŋke waŋžíla waŋúŋspe kiŋ hé tȟaŋka iyéčheča kiŋ él waŋyáka. Itȟáŋčhaŋ yúta núŋpa kiŋ él, owíhaŋke kiŋ hé “waníyetu na waštéšniyela.” Sister White kin héčha ečhá, “šúŋkawakȟáŋ waŋkátu kiŋ” waŋží yútaŋhaŋpi kiŋ, akhé waŋží okíčhize tȟaŋka kiŋ él owaúŋspe waŋžíla 144,000 kiŋ iwáštegla waŋžíla šniyela kiŋ héčha, él waŋbláke kte na etáŋhaŋ “waníyetu na waštéšniyela” iyéčheča héčha.</w:t>
      </w:r>
    </w:p>
    <w:p>
      <w:pPr>
        <w:pStyle w:val="ArticleBody"/>
        <w:jc w:val="left"/>
      </w:pPr>
      <w:r>
        <w:rPr>
          <w:rFonts w:ascii="Times New Roman" w:hAnsi="Times New Roman" w:eastAsia="Times New Roman" w:cs="Times New Roman"/>
        </w:rPr>
        <w:t>Perujukan pertama dalam Kitab Suci kepada Islam ialah Ismael, bapa kepada mereka yang berpegang kepada agama Islam. Dalam perujukan pertama itu dia dikenalpasti sebagai seorang lelaki liar, dan perkataan yang diterjemahkan sebagai “liar” bermaksud “keldai liar Arabia”. Perujukan nubuat yang pertama kepada Islam ialah suatu lambang daripada keluarga kuda, dan seekor kuda ialah cara para perintis menggambarkan Islam bagi Sengsara pertama dan kedua pada dua carta suci itu. Keempat-empat angin dalam Wahyu pasal tujuh ditahan, atau “dikekang”, sehingga Allah memeteraikan umat-Nya. Proses pemeteraian bagi seratus empat puluh empat ribu itu juga merupakan proses pengujian dan proses penyucian.</w:t>
      </w:r>
    </w:p>
    <w:p>
      <w:pPr>
        <w:pStyle w:val="ArticleBody"/>
        <w:jc w:val="left"/>
      </w:pPr>
      <w:r>
        <w:rPr>
          <w:rFonts w:ascii="Times New Roman" w:hAnsi="Times New Roman" w:eastAsia="Times New Roman" w:cs="Times New Roman"/>
        </w:rPr>
        <w:t>Gambaran nubuatan ini semuanya dilambangkan oleh penawanan Daniel selama tujuh puluh tahun, bermula dengan Yoyakim, lambang pemberdayaan pekabaran pertama, sehingga “dekri” yang memanggil lelaki dan perempuan keluar dari Babel. Penahanan dan kemudian pelepasan Islam merupakan suatu ciri kenabian bagi Islam sebagai suatu lambang dalam nubuatan Alkitab.</w:t>
      </w:r>
    </w:p>
    <w:p>
      <w:pPr>
        <w:pStyle w:val="ArticleBody"/>
        <w:jc w:val="left"/>
      </w:pPr>
      <w:r>
        <w:rPr>
          <w:rFonts w:ascii="Times New Roman" w:hAnsi="Times New Roman" w:eastAsia="Times New Roman" w:cs="Times New Roman"/>
        </w:rPr>
        <w:t>Apabila mereka dirujuk sebagai “empat angin”, mereka ditahan sementara hamba-hamba Allah dimeteraikan. Pada permulaan Malapetaka kedua, dalam nubuatan masa selama tiga ratus sembilan puluh satu tahun dan lima belas hari yang digenapi pada 11 Ogos 1840, empat malaikat, yang melambangkan Islam dalam Malapetaka kedua, “dilepaskan.” Pada penghujung nubuatan itu, mereka “ditahan”.</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천사를</w:t>
      </w:r>
      <w:r>
        <w:rPr>
          <w:rFonts w:ascii="Times New Roman" w:hAnsi="Times New Roman" w:eastAsia="Times New Roman" w:cs="Times New Roman"/>
        </w:rPr>
        <w:t xml:space="preserve"> </w:t>
      </w:r>
      <w:r>
        <w:rPr>
          <w:rFonts w:ascii="Malgun Gothic" w:hAnsi="Malgun Gothic" w:eastAsia="Malgun Gothic" w:cs="Malgun Gothic"/>
        </w:rPr>
        <w:t>가지신</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천사에게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강</w:t>
      </w:r>
      <w:r>
        <w:rPr>
          <w:rFonts w:ascii="Times New Roman" w:hAnsi="Times New Roman" w:eastAsia="Times New Roman" w:cs="Times New Roman"/>
        </w:rPr>
        <w:t xml:space="preserve"> </w:t>
      </w:r>
      <w:r>
        <w:rPr>
          <w:rFonts w:ascii="Malgun Gothic" w:hAnsi="Malgun Gothic" w:eastAsia="Malgun Gothic" w:cs="Malgun Gothic"/>
        </w:rPr>
        <w:t>유브라데에</w:t>
      </w:r>
      <w:r>
        <w:rPr>
          <w:rFonts w:ascii="Times New Roman" w:hAnsi="Times New Roman" w:eastAsia="Times New Roman" w:cs="Times New Roman"/>
        </w:rPr>
        <w:t xml:space="preserve"> </w:t>
      </w:r>
      <w:r>
        <w:rPr>
          <w:rFonts w:ascii="Malgun Gothic" w:hAnsi="Malgun Gothic" w:eastAsia="Malgun Gothic" w:cs="Malgun Gothic"/>
        </w:rPr>
        <w:t>결박된</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천사를</w:t>
      </w:r>
      <w:r>
        <w:rPr>
          <w:rFonts w:ascii="Times New Roman" w:hAnsi="Times New Roman" w:eastAsia="Times New Roman" w:cs="Times New Roman"/>
        </w:rPr>
        <w:t xml:space="preserve"> </w:t>
      </w:r>
      <w:r>
        <w:rPr>
          <w:rFonts w:ascii="Malgun Gothic" w:hAnsi="Malgun Gothic" w:eastAsia="Malgun Gothic" w:cs="Malgun Gothic"/>
        </w:rPr>
        <w:t>놓아</w:t>
      </w:r>
      <w:r>
        <w:rPr>
          <w:rFonts w:ascii="Times New Roman" w:hAnsi="Times New Roman" w:eastAsia="Times New Roman" w:cs="Times New Roman"/>
        </w:rPr>
        <w:t xml:space="preserve"> </w:t>
      </w:r>
      <w:r>
        <w:rPr>
          <w:rFonts w:ascii="Malgun Gothic" w:hAnsi="Malgun Gothic" w:eastAsia="Malgun Gothic" w:cs="Malgun Gothic"/>
        </w:rPr>
        <w:t>주라</w:t>
      </w:r>
      <w:r>
        <w:rPr>
          <w:rFonts w:ascii="Times New Roman" w:hAnsi="Times New Roman" w:eastAsia="Times New Roman" w:cs="Times New Roman"/>
        </w:rPr>
        <w:t xml:space="preserve"> </w:t>
      </w:r>
      <w:r>
        <w:rPr>
          <w:rFonts w:ascii="Malgun Gothic" w:hAnsi="Malgun Gothic" w:eastAsia="Malgun Gothic" w:cs="Malgun Gothic"/>
        </w:rPr>
        <w:t>하매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놓였으니</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삼분의</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죽이기로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시와</w:t>
      </w:r>
      <w:r>
        <w:rPr>
          <w:rFonts w:ascii="Times New Roman" w:hAnsi="Times New Roman" w:eastAsia="Times New Roman" w:cs="Times New Roman"/>
        </w:rPr>
        <w:t xml:space="preserve"> </w:t>
      </w:r>
      <w:r>
        <w:rPr>
          <w:rFonts w:ascii="Malgun Gothic" w:hAnsi="Malgun Gothic" w:eastAsia="Malgun Gothic" w:cs="Malgun Gothic"/>
        </w:rPr>
        <w:t>날과</w:t>
      </w:r>
      <w:r>
        <w:rPr>
          <w:rFonts w:ascii="Times New Roman" w:hAnsi="Times New Roman" w:eastAsia="Times New Roman" w:cs="Times New Roman"/>
        </w:rPr>
        <w:t xml:space="preserve"> </w:t>
      </w:r>
      <w:r>
        <w:rPr>
          <w:rFonts w:ascii="Malgun Gothic" w:hAnsi="Malgun Gothic" w:eastAsia="Malgun Gothic" w:cs="Malgun Gothic"/>
        </w:rPr>
        <w:t>달과</w:t>
      </w:r>
      <w:r>
        <w:rPr>
          <w:rFonts w:ascii="Times New Roman" w:hAnsi="Times New Roman" w:eastAsia="Times New Roman" w:cs="Times New Roman"/>
        </w:rPr>
        <w:t xml:space="preserve"> </w:t>
      </w:r>
      <w:r>
        <w:rPr>
          <w:rFonts w:ascii="Malgun Gothic" w:hAnsi="Malgun Gothic" w:eastAsia="Malgun Gothic" w:cs="Malgun Gothic"/>
        </w:rPr>
        <w:t>해를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예비된</w:t>
      </w:r>
      <w:r>
        <w:rPr>
          <w:rFonts w:ascii="Times New Roman" w:hAnsi="Times New Roman" w:eastAsia="Times New Roman" w:cs="Times New Roman"/>
        </w:rPr>
        <w:t xml:space="preserve"> </w:t>
      </w:r>
      <w:r>
        <w:rPr>
          <w:rFonts w:ascii="Malgun Gothic" w:hAnsi="Malgun Gothic" w:eastAsia="Malgun Gothic" w:cs="Malgun Gothic"/>
        </w:rPr>
        <w:t>자들이더라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9:14, 15.</w:t>
      </w:r>
    </w:p>
    <w:p>
      <w:pPr>
        <w:pStyle w:val="ArticleBody"/>
        <w:jc w:val="left"/>
      </w:pPr>
      <w:r>
        <w:rPr>
          <w:rFonts w:ascii="Times New Roman" w:hAnsi="Times New Roman" w:eastAsia="Times New Roman" w:cs="Times New Roman"/>
        </w:rPr>
        <w:t>Nga la 11 Kylleiñ, 2001, ka khubor kaba nyngkong ha ka histori jong ki shi spah saw phew saw hajar la pynkup bor, haba la “pyllait” ia ka Islam jong ka Woe kaba lai. Hynrei mar-mar la “teh khum” ia ka. Ka Sister White ka batai balei kane ka la jia, hynrei nyngkong eh ngi dei ban kynmaw ba ka jingthmu jong ka Islam ha ka jingkdew ba nyngkong jong ka ha ka Baibl ka long ban pynbitar ia ki hima, namar ka kti jong u Ishmael kan long pyrshah ia uwei-pa-uwei u briew, bad ka kti jong uwei-pa-uwei u briew kan long pyrshah ia ka Islam.</w:t>
      </w:r>
    </w:p>
    <w:p>
      <w:pPr>
        <w:pStyle w:val="ArticleScripture"/>
        <w:jc w:val="left"/>
      </w:pPr>
      <w:r>
        <w:rPr>
          <w:rFonts w:ascii="Times New Roman" w:hAnsi="Times New Roman" w:eastAsia="Times New Roman" w:cs="Times New Roman"/>
        </w:rPr>
        <w:t>Lalu Malaikat TUHAN berfirman kepadanya, “Lihatlah, engkau sedang mengandung dan akan melahirkan seorang anak laki-laki, dan engkau harus menamai dia Ismael, sebab TUHAN telah mendengar penderitaanmu. Dan ia akan menjadi seorang manusia liar; tangannya akan melawan setiap orang, dan tangan setiap orang akan melawan dia; dan ia akan diam di hadapan semua saudara-saudaranya.” Kejadian 16:11, 12.</w:t>
      </w:r>
    </w:p>
    <w:p>
      <w:pPr>
        <w:pStyle w:val="ArticleBody"/>
        <w:jc w:val="left"/>
      </w:pPr>
      <w:r>
        <w:rPr>
          <w:rFonts w:ascii="Times New Roman" w:hAnsi="Times New Roman" w:eastAsia="Times New Roman" w:cs="Times New Roman"/>
        </w:rPr>
        <w:t>Boika bwa Islam mo porofetong ya Baebele ke go kopanya ditšhaba tsotlhe kgatlhanong le Islam, pele ga Ditšhaba Tse di Kopaneng di retololela balebedi ba Sabata bogale jwa tsone. Ka Lwetse 11, 2001 mongwe le mongwe yo o tlhaloganyang 9/11 e le go supa tshimologo ya phetapheto ya tatelano ya ditiragalo tsa Bamillerite o fetogile jaaka “Daniele” fa a ne a isitswe Babelona ka dingwaga di le masome a supa. Jehoiakime o kaya go simologa ga tsheko eo, mme Islam ya Tatlhego ya boraro e ne ya gololwa ka nako eo, mme ka bonako ya kganelwa gore e se ka ya tswelela, gore Modimo a kgone go tshwanetse batho ba Gagwe ka sekano.</w:t>
      </w:r>
    </w:p>
    <w:p>
      <w:pPr>
        <w:pStyle w:val="ArticleScripture"/>
        <w:jc w:val="left"/>
      </w:pPr>
      <w:r>
        <w:rPr>
          <w:rFonts w:ascii="Times New Roman" w:hAnsi="Times New Roman" w:eastAsia="Times New Roman" w:cs="Times New Roman"/>
        </w:rPr>
        <w:t>“Pandangan ini telah diberikan pada tahun 1847 ketika hanya ada sangat sedikit saudara Advent yang memelihara Sabat, dan dari antara mereka hanya sedikit yang menganggap bahwa pemeliharaannya cukup penting untuk menarik garis pemisah antara umat Allah dan orang-orang yang tidak percaya. Sekarang penggenapan pandangan itu mulai terlihat. ‘Permulaan masa kesusahan’ yang disebutkan di sini tidak menunjuk kepada waktu ketika malapetaka-malapetaka itu mulai dicurahkan, melainkan kepada suatu masa singkat tepat sebelum semuanya itu dicurahkan, sementara Kristus berada di dalam Bait Suci. Pada waktu itu, sementara pekerjaan keselamatan sedang berakhir, kesusahan akan datang ke atas bumi, dan bangsa-bangsa akan marah, namun tetap ditahan agar tidak menghalangi pekerjaan malaikat ketiga. Pada waktu itu ‘hujan akhir,’ atau penyegaran dari hadirat Tuhan, akan datang, untuk memberi kuasa kepada seruan nyaring malaikat ketiga, dan mempersiapkan orang-orang kudus untuk berdiri teguh pada masa ketika ketujuh malapetaka terakhir akan dicurahkan.” Early Writings, 85.</w:t>
      </w:r>
    </w:p>
    <w:p>
      <w:pPr>
        <w:pStyle w:val="ArticleBody"/>
        <w:jc w:val="left"/>
      </w:pPr>
      <w:r>
        <w:rPr>
          <w:rFonts w:ascii="Times New Roman" w:hAnsi="Times New Roman" w:eastAsia="Times New Roman" w:cs="Times New Roman"/>
        </w:rPr>
        <w:t>Seventy years of Daniel dimi September 11, 2001 i stat, taem Islam i fri mo i mekem ol nesen oli kros from se hem i kilim graon wael animol blong Revelesen japta 13 wetem noes mo long wan taem we i no man i ekspektem. Biaen oli putum restren long Islam, blong wok blong namba tri enjel i save finis. Wok blong namba tri enjel hemia, blong silim ol pipol blong God, mo taem wok ya i stat long September 11, 2001, Leta Reen i stat blong “sprinkel”. Daniel japta wan i stap soemaot proses blong tes blong wan handred mo foti-fo taosen, we i stat long September 11, 2001, mo i gohed kasem taem namba tu “voes” blong Revelesen 18 i singaotem aot narafala flak blong God i kamaot long Babilon. From samting ya, Daniel i stanap blong representem wan pipol we naoia oli stap long kalabus long saed blong spirit, kasem stret long las en blong proses blong tes. En blong taem blong tes long Daniel japta wan, oli makemaot hem olsem “en blong ol dei.”</w:t>
      </w:r>
    </w:p>
    <w:p>
      <w:pPr>
        <w:pStyle w:val="ArticleScripture"/>
        <w:jc w:val="left"/>
      </w:pPr>
      <w:r>
        <w:rPr>
          <w:rFonts w:ascii="Nirmala UI" w:hAnsi="Nirmala UI" w:eastAsia="Nirmala UI" w:cs="Nirmala UI"/>
        </w:rPr>
        <w:t>බිසරුන්ගේ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නියම</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දිනවල</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නෙබුකද්නෙශර්</w:t>
      </w:r>
      <w:r>
        <w:rPr>
          <w:rFonts w:ascii="Times New Roman" w:hAnsi="Times New Roman" w:eastAsia="Times New Roman" w:cs="Times New Roman"/>
        </w:rPr>
        <w:t xml:space="preserve"> </w:t>
      </w:r>
      <w:r>
        <w:rPr>
          <w:rFonts w:ascii="Nirmala UI" w:hAnsi="Nirmala UI" w:eastAsia="Nirmala UI" w:cs="Nirmala UI"/>
        </w:rPr>
        <w:t>ඉදිරියට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ආවේය</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සියල්ලන්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හනන්යා</w:t>
      </w:r>
      <w:r>
        <w:rPr>
          <w:rFonts w:ascii="Times New Roman" w:hAnsi="Times New Roman" w:eastAsia="Times New Roman" w:cs="Times New Roman"/>
        </w:rPr>
        <w:t xml:space="preserve">, </w:t>
      </w:r>
      <w:r>
        <w:rPr>
          <w:rFonts w:ascii="Nirmala UI" w:hAnsi="Nirmala UI" w:eastAsia="Nirmala UI" w:cs="Nirmala UI"/>
        </w:rPr>
        <w:t>මීෂායෙල්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අසර්යා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හමු</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ඉදිරියේ</w:t>
      </w:r>
      <w:r>
        <w:rPr>
          <w:rFonts w:ascii="Times New Roman" w:hAnsi="Times New Roman" w:eastAsia="Times New Roman" w:cs="Times New Roman"/>
        </w:rPr>
        <w:t xml:space="preserve"> </w:t>
      </w:r>
      <w:r>
        <w:rPr>
          <w:rFonts w:ascii="Nirmala UI" w:hAnsi="Nirmala UI" w:eastAsia="Nirmala UI" w:cs="Nirmala UI"/>
        </w:rPr>
        <w:t>සිටියහ</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අවබෝධය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ඔවුන්ගෙන්</w:t>
      </w:r>
      <w:r>
        <w:rPr>
          <w:rFonts w:ascii="Times New Roman" w:hAnsi="Times New Roman" w:eastAsia="Times New Roman" w:cs="Times New Roman"/>
        </w:rPr>
        <w:t xml:space="preserve"> </w:t>
      </w:r>
      <w:r>
        <w:rPr>
          <w:rFonts w:ascii="Nirmala UI" w:hAnsi="Nirmala UI" w:eastAsia="Nirmala UI" w:cs="Nirmala UI"/>
        </w:rPr>
        <w:t>විමසූ</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සම්බන්ධයෙන්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මාන්ත්</w:t>
      </w:r>
      <w:r>
        <w:rPr>
          <w:rFonts w:ascii="Times New Roman" w:hAnsi="Times New Roman" w:eastAsia="Times New Roman" w:cs="Times New Roman"/>
        </w:rPr>
        <w:t>‍</w:t>
      </w:r>
      <w:r>
        <w:rPr>
          <w:rFonts w:ascii="Nirmala UI" w:hAnsi="Nirmala UI" w:eastAsia="Nirmala UI" w:cs="Nirmala UI"/>
        </w:rPr>
        <w:t>රිකයන්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ජ්</w:t>
      </w:r>
      <w:r>
        <w:rPr>
          <w:rFonts w:ascii="Times New Roman" w:hAnsi="Times New Roman" w:eastAsia="Times New Roman" w:cs="Times New Roman"/>
        </w:rPr>
        <w:t>‍</w:t>
      </w:r>
      <w:r>
        <w:rPr>
          <w:rFonts w:ascii="Nirmala UI" w:hAnsi="Nirmala UI" w:eastAsia="Nirmala UI" w:cs="Nirmala UI"/>
        </w:rPr>
        <w:t>යෝතිෂීන්ට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ගුණයක්</w:t>
      </w:r>
      <w:r>
        <w:rPr>
          <w:rFonts w:ascii="Times New Roman" w:hAnsi="Times New Roman" w:eastAsia="Times New Roman" w:cs="Times New Roman"/>
        </w:rPr>
        <w:t xml:space="preserve"> </w:t>
      </w:r>
      <w:r>
        <w:rPr>
          <w:rFonts w:ascii="Nirmala UI" w:hAnsi="Nirmala UI" w:eastAsia="Nirmala UI" w:cs="Nirmala UI"/>
        </w:rPr>
        <w:t>උතුම්</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සොයාගත්තේය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1:18–20.</w:t>
      </w:r>
    </w:p>
    <w:p>
      <w:pPr>
        <w:pStyle w:val="ArticleBody"/>
        <w:jc w:val="left"/>
      </w:pPr>
      <w:r>
        <w:rPr>
          <w:rFonts w:ascii="Times New Roman" w:hAnsi="Times New Roman" w:eastAsia="Times New Roman" w:cs="Times New Roman"/>
        </w:rPr>
        <w:t>Matsapa ga boraro, yeo e emelago teko ya boporofeta ya go hlola Daniel le banna ba bararo ba ba hlomphegago, e bile ge ba ahlotšwe ke Nebukadinetsara, gomme ba hwetšwa ba le “ka makga a lesome ba feta dingaka ka moka tša mehlolo le dinaledi tšeo di bego di le mmušong wa gagwe ka moka.” Matsapa a boraro a emelwa ke kahlolo, gomme kahlolo e diregile “mafelelong a matšatši.” Pukung ya Daniele, “mafelelo a matšatši,” ke moo Daniele a emago kabelong ya gagwe.</w:t>
      </w:r>
    </w:p>
    <w:p>
      <w:pPr>
        <w:pStyle w:val="ArticleScripture"/>
        <w:jc w:val="left"/>
      </w:pPr>
      <w:r>
        <w:rPr>
          <w:rFonts w:ascii="Times New Roman" w:hAnsi="Times New Roman" w:eastAsia="Times New Roman" w:cs="Times New Roman"/>
        </w:rPr>
        <w:t>“‘Ramai orang akan disucikan, dan dibuat putih, dan diuji; tetapi orang fasik akan terus berbuat fasik: dan tidak seorang pun daripada orang fasik akan memahami; tetapi orang bijaksana akan memahami…. Berbahagialah dia yang menantikan, dan sampai kepada seribu tiga ratus tiga puluh lima hari. Tetapi engkau (Daniel), pergilah meneruskan jalanmu sampai kepada akhir: kerana engkau akan beristirahat, dan akan berdiri dalam bahagianmu pada akhir zaman.’”</w:t>
      </w:r>
    </w:p>
    <w:p>
      <w:pPr>
        <w:pStyle w:val="ArticleScripture"/>
        <w:jc w:val="left"/>
      </w:pPr>
      <w:r>
        <w:rPr>
          <w:rFonts w:ascii="Times New Roman" w:hAnsi="Times New Roman" w:eastAsia="Times New Roman" w:cs="Times New Roman"/>
        </w:rPr>
        <w:t>“Masanya telah tiba bagi Daniel untuk berdiri dalam bahagiannya. Masanya telah tiba bagi terang yang diberikan kepadanya untuk pergi kepada dunia seperti tidak pernah sebelumnya. Jika mereka yang untuknya Tuhan telah berbuat begitu banyak akan berjalan dalam terang itu, pengetahuan mereka tentang Kristus dan nubuatan-nubuatan yang berhubungan dengan-Nya akan sangat bertambah ketika mereka menghampiri penutupan sejarah bumi ini.” The Seventh-day Adventist Bible Commentary, jilid 4, 1174.</w:t>
      </w:r>
    </w:p>
    <w:p>
      <w:pPr>
        <w:pStyle w:val="ArticleBody"/>
        <w:jc w:val="left"/>
      </w:pPr>
      <w:r>
        <w:rPr>
          <w:rFonts w:ascii="Times New Roman" w:hAnsi="Times New Roman" w:eastAsia="Times New Roman" w:cs="Times New Roman"/>
        </w:rPr>
        <w:t>Kgaitsedi White o supa “bofelo jwa malatsi” bo amanngwa le thulaganyo ya go itshekisa ya temana ya bolesome ya Daniele kgaolo ya bolesome le bobedi. Gantsi o dirisa temana ya bolesome, mmogo le ya temana ya bolesome le boraro, “bofelo jwa malatsi.”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អស់ពីមនុស្សជាច្រើននឹងត្រូវបានបរិសុទ្ធ</w:t>
      </w:r>
      <w:r>
        <w:rPr>
          <w:rFonts w:ascii="Times New Roman" w:hAnsi="Times New Roman" w:eastAsia="Times New Roman" w:cs="Times New Roman"/>
        </w:rPr>
        <w:t xml:space="preserve"> </w:t>
      </w:r>
      <w:r>
        <w:rPr>
          <w:rFonts w:ascii="Leelawadee UI" w:hAnsi="Leelawadee UI" w:eastAsia="Leelawadee UI" w:cs="Leelawadee UI"/>
        </w:rPr>
        <w:t>ហើយបានធ្វើឲ្យស</w:t>
      </w:r>
      <w:r>
        <w:rPr>
          <w:rFonts w:ascii="Times New Roman" w:hAnsi="Times New Roman" w:eastAsia="Times New Roman" w:cs="Times New Roman"/>
        </w:rPr>
        <w:t xml:space="preserve"> </w:t>
      </w:r>
      <w:r>
        <w:rPr>
          <w:rFonts w:ascii="Leelawadee UI" w:hAnsi="Leelawadee UI" w:eastAsia="Leelawadee UI" w:cs="Leelawadee UI"/>
        </w:rPr>
        <w:t>ហើយត្រូវបានសាកល្បង</w:t>
      </w:r>
      <w:r>
        <w:rPr>
          <w:rFonts w:ascii="Times New Roman" w:hAnsi="Times New Roman" w:eastAsia="Times New Roman" w:cs="Times New Roman"/>
        </w:rPr>
        <w:t xml:space="preserve"> </w:t>
      </w:r>
      <w:r>
        <w:rPr>
          <w:rFonts w:ascii="Leelawadee UI" w:hAnsi="Leelawadee UI" w:eastAsia="Leelawadee UI" w:cs="Leelawadee UI"/>
        </w:rPr>
        <w:t>ប៉ុន្តែមនុស្សអាក្រក់នឹងប្រព្រឹត្តអំពើអាក្រក់</w:t>
      </w:r>
      <w:r>
        <w:rPr>
          <w:rFonts w:ascii="Times New Roman" w:hAnsi="Times New Roman" w:eastAsia="Times New Roman" w:cs="Times New Roman"/>
        </w:rPr>
        <w:t xml:space="preserve"> </w:t>
      </w:r>
      <w:r>
        <w:rPr>
          <w:rFonts w:ascii="Leelawadee UI" w:hAnsi="Leelawadee UI" w:eastAsia="Leelawadee UI" w:cs="Leelawadee UI"/>
        </w:rPr>
        <w:t>ហើយគ្មានអ្នកអាក្រក់ណាម្នាក់នឹងយល់ឡើយ</w:t>
      </w:r>
      <w:r>
        <w:rPr>
          <w:rFonts w:ascii="Times New Roman" w:hAnsi="Times New Roman" w:eastAsia="Times New Roman" w:cs="Times New Roman"/>
        </w:rPr>
        <w:t xml:space="preserve"> </w:t>
      </w:r>
      <w:r>
        <w:rPr>
          <w:rFonts w:ascii="Leelawadee UI" w:hAnsi="Leelawadee UI" w:eastAsia="Leelawadee UI" w:cs="Leelawadee UI"/>
        </w:rPr>
        <w:t>ប៉ុន្តែមនុស្សប្រាជ្ញានឹងយល់</w:t>
      </w:r>
      <w:r>
        <w:rPr>
          <w:rFonts w:ascii="Times New Roman" w:hAnsi="Times New Roman" w:eastAsia="Times New Roman" w:cs="Times New Roman"/>
        </w:rPr>
        <w:t xml:space="preserve">…. </w:t>
      </w:r>
      <w:r>
        <w:rPr>
          <w:rFonts w:ascii="Leelawadee UI" w:hAnsi="Leelawadee UI" w:eastAsia="Leelawadee UI" w:cs="Leelawadee UI"/>
        </w:rPr>
        <w:t>មានពរហើយ</w:t>
      </w:r>
      <w:r>
        <w:rPr>
          <w:rFonts w:ascii="Times New Roman" w:hAnsi="Times New Roman" w:eastAsia="Times New Roman" w:cs="Times New Roman"/>
        </w:rPr>
        <w:t xml:space="preserve"> </w:t>
      </w:r>
      <w:r>
        <w:rPr>
          <w:rFonts w:ascii="Leelawadee UI" w:hAnsi="Leelawadee UI" w:eastAsia="Leelawadee UI" w:cs="Leelawadee UI"/>
        </w:rPr>
        <w:t>អ្នកណាដែលរង់ចាំ</w:t>
      </w:r>
      <w:r>
        <w:rPr>
          <w:rFonts w:ascii="Times New Roman" w:hAnsi="Times New Roman" w:eastAsia="Times New Roman" w:cs="Times New Roman"/>
        </w:rPr>
        <w:t xml:space="preserve"> </w:t>
      </w:r>
      <w:r>
        <w:rPr>
          <w:rFonts w:ascii="Leelawadee UI" w:hAnsi="Leelawadee UI" w:eastAsia="Leelawadee UI" w:cs="Leelawadee UI"/>
        </w:rPr>
        <w:t>ហើយមកដល់មួយពាន់បីរយសាមសិបប្រាំថ្ងៃ។</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ចូរអ្នក</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ទៅតាមផ្លូវរបស់អ្នករហូតដល់ទីបញ្ចប់</w:t>
      </w:r>
      <w:r>
        <w:rPr>
          <w:rFonts w:ascii="Times New Roman" w:hAnsi="Times New Roman" w:eastAsia="Times New Roman" w:cs="Times New Roman"/>
        </w:rPr>
        <w:t xml:space="preserve"> </w:t>
      </w:r>
      <w:r>
        <w:rPr>
          <w:rFonts w:ascii="Leelawadee UI" w:hAnsi="Leelawadee UI" w:eastAsia="Leelawadee UI" w:cs="Leelawadee UI"/>
        </w:rPr>
        <w:t>ដ្បិតអ្នកនឹងសម្រាក</w:t>
      </w:r>
      <w:r>
        <w:rPr>
          <w:rFonts w:ascii="Times New Roman" w:hAnsi="Times New Roman" w:eastAsia="Times New Roman" w:cs="Times New Roman"/>
        </w:rPr>
        <w:t xml:space="preserve"> </w:t>
      </w:r>
      <w:r>
        <w:rPr>
          <w:rFonts w:ascii="Leelawadee UI" w:hAnsi="Leelawadee UI" w:eastAsia="Leelawadee UI" w:cs="Leelawadee UI"/>
        </w:rPr>
        <w:t>ហើយឈរនៅក្នុងចំណែករបស់អ្នក</w:t>
      </w:r>
      <w:r>
        <w:rPr>
          <w:rFonts w:ascii="Times New Roman" w:hAnsi="Times New Roman" w:eastAsia="Times New Roman" w:cs="Times New Roman"/>
        </w:rPr>
        <w:t xml:space="preserve"> </w:t>
      </w:r>
      <w:r>
        <w:rPr>
          <w:rFonts w:ascii="Leelawadee UI" w:hAnsi="Leelawadee UI" w:eastAsia="Leelawadee UI" w:cs="Leelawadee UI"/>
        </w:rPr>
        <w:t>នៅចុងបញ្ចប់នៃថ្ងៃទាំងឡាយ។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“Daniel hari ini sedang berdiri dalam bahagiannya, dan kita harus memberinya tempat untuk berbicara kepada umat. Pekabaran kita harus maju bagaikan pelita yang menyala. ‘Pada waktu itu juga Mikhael akan bangkit, penghulu besar yang akan mendampingi anak-anak bangsamu; dan akan ada suatu masa kesesakan, seperti yang belum pernah terjadi sejak ada bangsa sampai pada waktu itu. Tetapi pada waktu itu bangsamu akan terluput, yakni setiap orang yang didapati namanya tertulis dalam kitab itu. Dan banyak dari antara orang-orang yang tidur di dalam debu tanah akan bangun, sebagian untuk mendapat hidup yang kekal, sebagian untuk mengalami kehinaan dan kengerian yang kekal. Dan orang-orang bijaksana akan bercahaya seperti cahaya cakrawala, dan mereka yang menuntun banyak orang kepada kebenaran seperti bintang-bintang, tetap untuk selama-lamanya.’”</w:t>
      </w:r>
    </w:p>
    <w:p>
      <w:pPr>
        <w:pStyle w:val="ArticleScripture"/>
        <w:jc w:val="left"/>
      </w:pPr>
      <w:r>
        <w:rPr>
          <w:rFonts w:ascii="Times New Roman" w:hAnsi="Times New Roman" w:eastAsia="Times New Roman" w:cs="Times New Roman"/>
        </w:rPr>
        <w:t>“Óikhan pe dolsaha ongˈgipa somoirango anˈchingni dakna nanggipa kamko mesokaha. Anˈching gisik rakmananiko nanggipa kamko dakna nanggipa bilko manˈjaha. Anˈching janggiona napna nanga, bakrimanio napna nanga. Daˈalo, ia somoio anˈching gisik dakatani aro kema kaˈaniko anˈchingni kame mongsonggipa cholonrang ongˈatna nanggipa biapo chadengna nanga. Mitelgrikani dongja nanga. Satanni miksonggrikani kamko dakgipa ongˈe mikrako andalatanio bakko raˈna ian bilsi ongˈjaha. Tol·e dakgipa gisikrangna aro diabolo rangni skianirangna jakkalna ian bilsi ongˈjaha.</w:t>
      </w:r>
    </w:p>
    <w:p>
      <w:pPr>
        <w:pStyle w:val="ArticleScripture"/>
        <w:jc w:val="left"/>
      </w:pPr>
      <w:r>
        <w:rPr>
          <w:rFonts w:ascii="Times New Roman" w:hAnsi="Times New Roman" w:eastAsia="Times New Roman" w:cs="Times New Roman"/>
        </w:rPr>
        <w:t>“Saya diperintahkan untuk mengatakan bahawa apabila Roh Kudus mengurniakan lidah dan ujaran, kita akan melihat suatu pekerjaan dilakukan yang serupa dengan yang dilakukan pada hari Pentakosta. Para wakil Kristus akan bekerja dengan penuh pengertian. Tidak akan didapati seorang di sini dan seorang lagi di sana yang berusaha merobohkan dan membinasakan.</w:t>
      </w:r>
    </w:p>
    <w:p>
      <w:pPr>
        <w:pStyle w:val="ArticleScripture"/>
        <w:jc w:val="left"/>
      </w:pPr>
      <w:r>
        <w:rPr>
          <w:rFonts w:ascii="Times New Roman" w:hAnsi="Times New Roman" w:eastAsia="Times New Roman" w:cs="Times New Roman"/>
        </w:rPr>
        <w:t>“‘Bele ketetapan itu berlaku, sebelum hari itu berlalu seperti sekam, sebelum murka TUHAN yang bernyala-nyala datang menimpa kamu, sebelum hari murka TUHAN datang menimpa kamu, carilah TUHAN, hai semua orang yang lemah lembut di bumi, yang telah melakukan hukum-Nya; carilah kebenaran, carilah kelemahlembutan: barangkali kamu akan terlindung pada hari murka TUHAN.’” Australian Union Conference Record, 11 Maret 1907.</w:t>
      </w:r>
    </w:p>
    <w:p>
      <w:pPr>
        <w:pStyle w:val="ArticleBody"/>
        <w:jc w:val="left"/>
      </w:pPr>
      <w:r>
        <w:rPr>
          <w:rFonts w:ascii="Nirmala UI" w:hAnsi="Nirmala UI" w:eastAsia="Nirmala UI" w:cs="Nirmala UI"/>
        </w:rPr>
        <w:t>ମେସୋପୋଟାମିଆର</w:t>
      </w:r>
      <w:r>
        <w:rPr>
          <w:rFonts w:ascii="Times New Roman" w:hAnsi="Times New Roman" w:eastAsia="Times New Roman" w:cs="Times New Roman"/>
        </w:rPr>
        <w:t xml:space="preserve"> </w:t>
      </w:r>
      <w:r>
        <w:rPr>
          <w:rFonts w:ascii="Nirmala UI" w:hAnsi="Nirmala UI" w:eastAsia="Nirmala UI" w:cs="Nirmala UI"/>
        </w:rPr>
        <w:t>ବାବିଲୋନ୍</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ବନ୍ଦୀଜୀବନର</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ଲକ୍ଷ</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ହଜାରଙ୍କର</w:t>
      </w:r>
      <w:r>
        <w:rPr>
          <w:rFonts w:ascii="Times New Roman" w:hAnsi="Times New Roman" w:eastAsia="Times New Roman" w:cs="Times New Roman"/>
        </w:rPr>
        <w:t xml:space="preserve"> </w:t>
      </w:r>
      <w:r>
        <w:rPr>
          <w:rFonts w:ascii="Nirmala UI" w:hAnsi="Nirmala UI" w:eastAsia="Nirmala UI" w:cs="Nirmala UI"/>
        </w:rPr>
        <w:t>ମୋହରାଙ୍କନ</w:t>
      </w:r>
      <w:r>
        <w:rPr>
          <w:rFonts w:ascii="Times New Roman" w:hAnsi="Times New Roman" w:eastAsia="Times New Roman" w:cs="Times New Roman"/>
        </w:rPr>
        <w:t xml:space="preserve"> </w:t>
      </w:r>
      <w:r>
        <w:rPr>
          <w:rFonts w:ascii="Nirmala UI" w:hAnsi="Nirmala UI" w:eastAsia="Nirmala UI" w:cs="Nirmala UI"/>
        </w:rPr>
        <w:t>ଚିତ୍ରିତ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ଗ୍ରନ୍ଥର</w:t>
      </w:r>
      <w:r>
        <w:rPr>
          <w:rFonts w:ascii="Times New Roman" w:hAnsi="Times New Roman" w:eastAsia="Times New Roman" w:cs="Times New Roman"/>
        </w:rPr>
        <w:t xml:space="preserve"> </w:t>
      </w:r>
      <w:r>
        <w:rPr>
          <w:rFonts w:ascii="Nirmala UI" w:hAnsi="Nirmala UI" w:eastAsia="Nirmala UI" w:cs="Nirmala UI"/>
        </w:rPr>
        <w:t>ଦ୍ୱାଦଶ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ଶବ୍ଦର</w:t>
      </w:r>
      <w:r>
        <w:rPr>
          <w:rFonts w:ascii="Times New Roman" w:hAnsi="Times New Roman" w:eastAsia="Times New Roman" w:cs="Times New Roman"/>
        </w:rPr>
        <w:t xml:space="preserve"> </w:t>
      </w:r>
      <w:r>
        <w:rPr>
          <w:rFonts w:ascii="Nirmala UI" w:hAnsi="Nirmala UI" w:eastAsia="Nirmala UI" w:cs="Nirmala UI"/>
        </w:rPr>
        <w:t>ବୈଶିଷ୍ଟ୍ୟ</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ପଦକ୍ରମକୁ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ଶ୍ୱେତ</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ପରୀକ୍ଷିତ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ତିନିଜଣ</w:t>
      </w:r>
      <w:r>
        <w:rPr>
          <w:rFonts w:ascii="Times New Roman" w:hAnsi="Times New Roman" w:eastAsia="Times New Roman" w:cs="Times New Roman"/>
        </w:rPr>
        <w:t xml:space="preserve"> </w:t>
      </w:r>
      <w:r>
        <w:rPr>
          <w:rFonts w:ascii="Nirmala UI" w:hAnsi="Nirmala UI" w:eastAsia="Nirmala UI" w:cs="Nirmala UI"/>
        </w:rPr>
        <w:t>ଶ୍ରେଷ୍ଠ</w:t>
      </w:r>
      <w:r>
        <w:rPr>
          <w:rFonts w:ascii="Times New Roman" w:hAnsi="Times New Roman" w:eastAsia="Times New Roman" w:cs="Times New Roman"/>
        </w:rPr>
        <w:t xml:space="preserve"> </w:t>
      </w:r>
      <w:r>
        <w:rPr>
          <w:rFonts w:ascii="Nirmala UI" w:hAnsi="Nirmala UI" w:eastAsia="Nirmala UI" w:cs="Nirmala UI"/>
        </w:rPr>
        <w:t>ପୁରୁଷ</w:t>
      </w:r>
      <w:r>
        <w:rPr>
          <w:rFonts w:ascii="Times New Roman" w:hAnsi="Times New Roman" w:eastAsia="Times New Roman" w:cs="Times New Roman"/>
        </w:rPr>
        <w:t xml:space="preserve"> </w:t>
      </w:r>
      <w:r>
        <w:rPr>
          <w:rFonts w:ascii="Nirmala UI" w:hAnsi="Nirmala UI" w:eastAsia="Nirmala UI" w:cs="Nirmala UI"/>
        </w:rPr>
        <w:t>ଈଶ୍ୱରଭୟ</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ବାବିଲୋନୀୟ</w:t>
      </w:r>
      <w:r>
        <w:rPr>
          <w:rFonts w:ascii="Times New Roman" w:hAnsi="Times New Roman" w:eastAsia="Times New Roman" w:cs="Times New Roman"/>
        </w:rPr>
        <w:t xml:space="preserve"> </w:t>
      </w:r>
      <w:r>
        <w:rPr>
          <w:rFonts w:ascii="Nirmala UI" w:hAnsi="Nirmala UI" w:eastAsia="Nirmala UI" w:cs="Nirmala UI"/>
        </w:rPr>
        <w:t>ଖାଦ୍ୟ</w:t>
      </w:r>
      <w:r>
        <w:rPr>
          <w:rFonts w:ascii="Times New Roman" w:hAnsi="Times New Roman" w:eastAsia="Times New Roman" w:cs="Times New Roman"/>
        </w:rPr>
        <w:t xml:space="preserve"> </w:t>
      </w:r>
      <w:r>
        <w:rPr>
          <w:rFonts w:ascii="Nirmala UI" w:hAnsi="Nirmala UI" w:eastAsia="Nirmala UI" w:cs="Nirmala UI"/>
        </w:rPr>
        <w:t>ଭୋଜନ</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ଦୃଢ଼</w:t>
      </w:r>
      <w:r>
        <w:rPr>
          <w:rFonts w:ascii="Times New Roman" w:hAnsi="Times New Roman" w:eastAsia="Times New Roman" w:cs="Times New Roman"/>
        </w:rPr>
        <w:t xml:space="preserve"> </w:t>
      </w:r>
      <w:r>
        <w:rPr>
          <w:rFonts w:ascii="Nirmala UI" w:hAnsi="Nirmala UI" w:eastAsia="Nirmala UI" w:cs="Nirmala UI"/>
        </w:rPr>
        <w:t>ସଙ୍କଳ୍ପ</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ମୁଖମଣ୍ଡଳ</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ବାବିଲୋନୀୟ</w:t>
      </w:r>
      <w:r>
        <w:rPr>
          <w:rFonts w:ascii="Times New Roman" w:hAnsi="Times New Roman" w:eastAsia="Times New Roman" w:cs="Times New Roman"/>
        </w:rPr>
        <w:t xml:space="preserve"> </w:t>
      </w:r>
      <w:r>
        <w:rPr>
          <w:rFonts w:ascii="Nirmala UI" w:hAnsi="Nirmala UI" w:eastAsia="Nirmala UI" w:cs="Nirmala UI"/>
        </w:rPr>
        <w:t>ଖାଦ୍ୟ</w:t>
      </w:r>
      <w:r>
        <w:rPr>
          <w:rFonts w:ascii="Times New Roman" w:hAnsi="Times New Roman" w:eastAsia="Times New Roman" w:cs="Times New Roman"/>
        </w:rPr>
        <w:t xml:space="preserve"> </w:t>
      </w:r>
      <w:r>
        <w:rPr>
          <w:rFonts w:ascii="Nirmala UI" w:hAnsi="Nirmala UI" w:eastAsia="Nirmala UI" w:cs="Nirmala UI"/>
        </w:rPr>
        <w:t>ଭୋଜନ</w:t>
      </w:r>
      <w:r>
        <w:rPr>
          <w:rFonts w:ascii="Times New Roman" w:hAnsi="Times New Roman" w:eastAsia="Times New Roman" w:cs="Times New Roman"/>
        </w:rPr>
        <w:t xml:space="preserve"> </w:t>
      </w:r>
      <w:r>
        <w:rPr>
          <w:rFonts w:ascii="Nirmala UI" w:hAnsi="Nirmala UI" w:eastAsia="Nirmala UI" w:cs="Nirmala UI"/>
        </w:rPr>
        <w:t>କରୁଥିବାମାନଙ୍କଠାରୁ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ସୁନ୍ଦର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ପୁଷ୍ଟ</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ମୁଖମଣ୍ଡଳ</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ଧର୍ମିକତା</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ଶ୍ୱେତ</w:t>
      </w:r>
      <w:r>
        <w:rPr>
          <w:rFonts w:ascii="Times New Roman" w:hAnsi="Times New Roman" w:eastAsia="Times New Roman" w:cs="Times New Roman"/>
        </w:rPr>
        <w:t xml:space="preserve"> </w:t>
      </w:r>
      <w:r>
        <w:rPr>
          <w:rFonts w:ascii="Nirmala UI" w:hAnsi="Nirmala UI" w:eastAsia="Nirmala UI" w:cs="Nirmala UI"/>
        </w:rPr>
        <w:t>ବସ୍ତ୍ର।</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ଦିନମାନଙ୍କର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ନେବୁଖଦ୍ନେଜରଙ୍କ</w:t>
      </w:r>
      <w:r>
        <w:rPr>
          <w:rFonts w:ascii="Times New Roman" w:hAnsi="Times New Roman" w:eastAsia="Times New Roman" w:cs="Times New Roman"/>
        </w:rPr>
        <w:t xml:space="preserve"> </w:t>
      </w:r>
      <w:r>
        <w:rPr>
          <w:rFonts w:ascii="Nirmala UI" w:hAnsi="Nirmala UI" w:eastAsia="Nirmala UI" w:cs="Nirmala UI"/>
        </w:rPr>
        <w:t>ବିଚାରରେ</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କଲାବେଳେ</w:t>
      </w:r>
      <w:r>
        <w:rPr>
          <w:rFonts w:ascii="Times New Roman" w:hAnsi="Times New Roman" w:eastAsia="Times New Roman" w:cs="Times New Roman"/>
        </w:rPr>
        <w:t xml:space="preserve">, </w:t>
      </w:r>
      <w:r>
        <w:rPr>
          <w:rFonts w:ascii="Nirmala UI" w:hAnsi="Nirmala UI" w:eastAsia="Nirmala UI" w:cs="Nirmala UI"/>
        </w:rPr>
        <w:t>ପରୀକ୍ଷିତ</w:t>
      </w:r>
      <w:r>
        <w:rPr>
          <w:rFonts w:ascii="Times New Roman" w:hAnsi="Times New Roman" w:eastAsia="Times New Roman" w:cs="Times New Roman"/>
        </w:rPr>
        <w:t xml:space="preserve"> </w:t>
      </w:r>
      <w:r>
        <w:rPr>
          <w:rFonts w:ascii="Nirmala UI" w:hAnsi="Nirmala UI" w:eastAsia="Nirmala UI" w:cs="Nirmala UI"/>
        </w:rPr>
        <w:t>ହୋଇଥିଲେ।</w:t>
      </w:r>
    </w:p>
    <w:p>
      <w:pPr>
        <w:pStyle w:val="ArticleBody"/>
        <w:jc w:val="left"/>
      </w:pPr>
      <w:r>
        <w:rPr>
          <w:rFonts w:ascii="Times New Roman" w:hAnsi="Times New Roman" w:eastAsia="Times New Roman" w:cs="Times New Roman"/>
        </w:rPr>
        <w:t>“Ta mwisho wa siku,” Danieli atakaposimama “katika kura yake,” “maarifa ya Kristo na unabii unaomhusu yataongezeka sana” kwa watu wa Mungu. Nebukadneza alitambua kwamba katika “mambo yote ya hekima na ufahamu,” Danieli na wale watatu wenye ustahili “walionekana” kuwa “bora mara kumi kuliko waganga wote na wanajimu wote waliokuwa katika ufalme wake wote.”</w:t>
      </w:r>
    </w:p>
    <w:p>
      <w:pPr>
        <w:pStyle w:val="ArticleBody"/>
        <w:jc w:val="left"/>
      </w:pPr>
      <w:r>
        <w:rPr>
          <w:rFonts w:ascii="Times New Roman" w:hAnsi="Times New Roman" w:eastAsia="Times New Roman" w:cs="Times New Roman"/>
        </w:rPr>
        <w:t>Daniel bab satu menggambarkan pengalaman seratus empat puluh empat ribu orang, yang melalui suatu proses ujian tiga langkah. Mengulas proses itu, Sister White berkata, “Kata-kata ini menyatakan pekerjaan yang harus kita lakukan pada hari-hari terakhir ini. Kita belum setengah sedar. Kita tidak mempunyai kuasa yang penting bagi pelaksanaan pekerjaan yang mesti dilakukan. Kita mesti masuk ke dalam kehidupan, masuk ke dalam kesatuan. Sekarang, tepat sekarang, kita mesti berdiri dalam kedudukan di mana pertobatan dan pengampunan menjadi ciri yang paling menonjol dalam pekerjaan kita. Tidak boleh ada pertengkaran.”</w:t>
      </w:r>
    </w:p>
    <w:p>
      <w:pPr>
        <w:pStyle w:val="ArticleBody"/>
        <w:jc w:val="left"/>
      </w:pPr>
      <w:r>
        <w:rPr>
          <w:rFonts w:ascii="Times New Roman" w:hAnsi="Times New Roman" w:eastAsia="Times New Roman" w:cs="Times New Roman"/>
        </w:rPr>
        <w:t>Ubujaribio unaoongoza kwenye “mwisho wa siku” unaongoza kwenye ufufuo wa mashahidi wawili katika Ufunuo sura ya kumi na moja. Kazi tunayopaswa kufanya sasa ni kuukubali ujumbe wa Septemba 11, 2001 na kuamka, kama inavyowakilishwa na mifupa mikavu iliyokufa. “Lazima tuje katika uzima, tuje katika umoja.” Tunapofanya hivyo, sifa kuu za kazi yetu zitakuwa “toba na msamaha.” Sifa kuu ya kazi yetu inawakilishwa na Danieli katika sura ya tisa, anapoomba sala ya Mambo ya Walawi ishirini na sita, akiomba msamaha wa dhambi zake, na dhambi za baba zake, huku pia akikiri kwamba alikuwa ametembea kinyume na Mungu tangu wakati wa kuvunjika moyo uliotia alama mwanzo wa wakati wa kukawia mnamo Julai 18, 2020. Ni lazima pia akiri kwamba Mungu alikuwa ametembea kinyume naye katika kipindi hicho hicho. Danieli anawakilisha wale ambao wamepitia utumwa wa “miaka sabini”, tangu Julai 18, 2020.</w:t>
      </w:r>
    </w:p>
    <w:p>
      <w:pPr>
        <w:pStyle w:val="ArticleBody"/>
        <w:jc w:val="left"/>
      </w:pPr>
      <w:r>
        <w:rPr>
          <w:rFonts w:ascii="Times New Roman" w:hAnsi="Times New Roman" w:eastAsia="Times New Roman" w:cs="Times New Roman"/>
        </w:rPr>
        <w:t>Tau kum ni cuai thuthlung palik-nih ah a um “vei sarih” tih entîrtu a ni. Chronicles cabuin min hrilh a ni a, tau sawmsarih chu hman lai Isuarael hnam hmasa ziaza sual avângin Leviticus sawm-hnih pannga thuthlung an pawi loh avâng a, ram chu a hman theih loh sabbath-te “nuam takin a hmang” theih hun chu a ni.</w:t>
      </w:r>
    </w:p>
    <w:p>
      <w:pPr>
        <w:pStyle w:val="ArticleScripture"/>
        <w:jc w:val="left"/>
      </w:pPr>
      <w:r>
        <w:rPr>
          <w:rFonts w:ascii="Times New Roman" w:hAnsi="Times New Roman" w:eastAsia="Times New Roman" w:cs="Times New Roman"/>
        </w:rPr>
        <w:t>Bagi menggenapi firman TUHAN yang disampaikan dengan perantaraan Yeremia, sampai negeri itu menikmati hari-hari Sabatnya; karena selama negeri itu menjadi sunyi sepi, ia tetap merayakan Sabat, hingga genap tujuh puluh tahun. 2 Tawarikh 36:21.</w:t>
      </w:r>
    </w:p>
    <w:p>
      <w:pPr>
        <w:pStyle w:val="ArticleBody"/>
        <w:jc w:val="left"/>
      </w:pPr>
      <w:r>
        <w:rPr>
          <w:rFonts w:ascii="Times New Roman" w:hAnsi="Times New Roman" w:eastAsia="Times New Roman" w:cs="Times New Roman"/>
        </w:rPr>
        <w:t>E le sesupo sa “lešoka” sa boporofeta, “matšatši a mararo le seripa” ao dihlatse tše pedi tša Kutollo 11 di bego di hwile mo setarateng ka morago ga la 18 Phupu 2020 ke sesupo sa “mengwaga ye masome a šupago”, gape e le sesupo sa “dinako tše šupago”. “Mafelelong a matšatši,” ke sesupo sa bofelo bja matšatši a boporofeta ao a bego a tswaletšwe ka gare ga puku ya Daniele.</w:t>
      </w:r>
    </w:p>
    <w:p>
      <w:pPr>
        <w:pStyle w:val="ArticleBody"/>
        <w:jc w:val="left"/>
      </w:pPr>
      <w:r>
        <w:rPr>
          <w:rFonts w:ascii="Times New Roman" w:hAnsi="Times New Roman" w:eastAsia="Times New Roman" w:cs="Times New Roman"/>
        </w:rPr>
        <w:t>Ka 1798, buka ea Daniele e ile ea phetlolloa, ’me Daniele a ema kabelong ea hae, a itokiselitse ho phetha morero oa hae.</w:t>
      </w:r>
    </w:p>
    <w:p>
      <w:pPr>
        <w:pStyle w:val="ArticleScripture"/>
        <w:jc w:val="left"/>
      </w:pPr>
      <w:r>
        <w:rPr>
          <w:rFonts w:ascii="Times New Roman" w:hAnsi="Times New Roman" w:eastAsia="Times New Roman" w:cs="Times New Roman"/>
        </w:rPr>
        <w:t>“Bila Modimo a naya motho tiro e e kgethegileng gore a e dire, o tshwanetse go ema mo kabelong le mo maemong a gagwe jaaka Daniele a ne a dira, a iketleeleditse go araba pitso ya Modimo, a iketleeleditse go diragatsa maikaelelo a Gagwe.” Manuscript Releases, volume 6, 108.</w:t>
      </w:r>
    </w:p>
    <w:p>
      <w:pPr>
        <w:pStyle w:val="ArticleBody"/>
        <w:jc w:val="left"/>
      </w:pPr>
      <w:r>
        <w:rPr>
          <w:rFonts w:ascii="Times New Roman" w:hAnsi="Times New Roman" w:eastAsia="Times New Roman" w:cs="Times New Roman"/>
        </w:rPr>
        <w:t>Pada 22 Oktober 1844, sebagai penggenapan Daniel pasal delapan, ayat empat belas, kitab Daniel sekali lagi berdiri pada bagiannya. Tahun 1798 dan 1844 adalah penutup dari murka yang pertama dan kedua, dan karena itu menandai berakhirnya “tujuh masa.” “Akhir dari hari-hari” dalam kitab Daniel adalah lambang dari berakhirnya suatu penawanan yang dilukiskan oleh “tujuh masa.” Dalam Daniel pasal empat, Nebukadnezar hidup seperti seekor binatang sementara “tujuh masa” berlalu atasnya. Pada “akhir dari hari-hari,” kerajaan dan akal budinya dipulihkan kepadanya.</w:t>
      </w:r>
    </w:p>
    <w:p>
      <w:pPr>
        <w:pStyle w:val="ArticleScripture"/>
        <w:jc w:val="left"/>
      </w:pPr>
      <w:r>
        <w:rPr>
          <w:rFonts w:ascii="Times New Roman" w:hAnsi="Times New Roman" w:eastAsia="Times New Roman" w:cs="Times New Roman"/>
        </w:rPr>
        <w:t>“Dan pada akhir segala hari itu aku, Nebukadnezar, menengadah ke langit, lalu akal budiku kembali kepadaku, dan aku memuji Yang Mahatinggi; aku memuliakan dan menghormati Dia yang hidup untuk selama-lamanya, yang pemerintahan-Nya adalah pemerintahan yang kekal, dan kerajaan-Nya turun-temurun. Dan semua penduduk bumi dianggap tidak berarti; Ia bertindak menurut kehendak-Nya di antara bala tentara langit dan di antara penduduk bumi; dan tidak seorang pun dapat menahan tangan-Nya atau berkata kepada-Nya: Apa yang Kaulakukan? Pada saat itu juga akal budiku kembali kepadaku; dan demi kemuliaan kerajaanku, kehormatanku dan semarakku kembali kepadaku; para penasihatku dan para pembesarku datang mencariku; dan aku ditegakkan kembali dalam kerajaanku, dan keagungan yang sangat besar ditambahkan kepadaku.” Daniel 4:34–36.</w:t>
      </w:r>
    </w:p>
    <w:p>
      <w:pPr>
        <w:pStyle w:val="ArticleBody"/>
        <w:jc w:val="left"/>
      </w:pPr>
      <w:r>
        <w:rPr>
          <w:rFonts w:ascii="Times New Roman" w:hAnsi="Times New Roman" w:eastAsia="Times New Roman" w:cs="Times New Roman"/>
        </w:rPr>
        <w:t>Panghabîs na panahon sang pagtatak sa isa ka gatos kag apat ka pulo kag apat ka libo ginarepresentar bilang ang “katapusan sang mga adlaw,” kag gani ginarepresentar man sini ang simboliko nga pagtapos sang “kapitoan ka tuig” kag man sang “pito ka tinion.” Sa amo nga tion, ang “paghinulsol kag kapatawaran” amo ang mga kinaiya nga magarepresentar sang buluhaton sang sadtong mga anay patay sa dalan nga nagaagi sa walog sang mga patay nga mamala nga mga tul-an.</w:t>
      </w:r>
    </w:p>
    <w:p>
      <w:pPr>
        <w:pStyle w:val="ArticleBody"/>
        <w:jc w:val="left"/>
      </w:pPr>
      <w:r>
        <w:rPr>
          <w:rFonts w:ascii="Myanmar Text" w:hAnsi="Myanmar Text" w:eastAsia="Myanmar Text" w:cs="Myanmar Text"/>
        </w:rPr>
        <w:t>အမြင်အားဖြင့်</w:t>
      </w:r>
      <w:r>
        <w:rPr>
          <w:rFonts w:ascii="Times New Roman" w:hAnsi="Times New Roman" w:eastAsia="Times New Roman" w:cs="Times New Roman"/>
        </w:rPr>
        <w:t xml:space="preserve"> </w:t>
      </w:r>
      <w:r>
        <w:rPr>
          <w:rFonts w:ascii="Myanmar Text" w:hAnsi="Myanmar Text" w:eastAsia="Myanmar Text" w:cs="Myanmar Text"/>
        </w:rPr>
        <w:t>ထင်ရှားသော</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နောင်တပြုပြင်ခြင်းအမှုကို</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ညည်းတွား၍</w:t>
      </w:r>
      <w:r>
        <w:rPr>
          <w:rFonts w:ascii="Times New Roman" w:hAnsi="Times New Roman" w:eastAsia="Times New Roman" w:cs="Times New Roman"/>
        </w:rPr>
        <w:t xml:space="preserve"> </w:t>
      </w:r>
      <w:r>
        <w:rPr>
          <w:rFonts w:ascii="Myanmar Text" w:hAnsi="Myanmar Text" w:eastAsia="Myanmar Text" w:cs="Myanmar Text"/>
        </w:rPr>
        <w:t>အော်ဟစ်ခြင်း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ကိုယ်ပိုင်အပြစ်များကို</w:t>
      </w:r>
      <w:r>
        <w:rPr>
          <w:rFonts w:ascii="Times New Roman" w:hAnsi="Times New Roman" w:eastAsia="Times New Roman" w:cs="Times New Roman"/>
        </w:rPr>
        <w:t xml:space="preserve"> </w:t>
      </w:r>
      <w:r>
        <w:rPr>
          <w:rFonts w:ascii="Myanmar Text" w:hAnsi="Myanmar Text" w:eastAsia="Myanmar Text" w:cs="Myanmar Text"/>
        </w:rPr>
        <w:t>ဝန်ခံ၍</w:t>
      </w:r>
      <w:r>
        <w:rPr>
          <w:rFonts w:ascii="Times New Roman" w:hAnsi="Times New Roman" w:eastAsia="Times New Roman" w:cs="Times New Roman"/>
        </w:rPr>
        <w:t xml:space="preserve"> </w:t>
      </w:r>
      <w:r>
        <w:rPr>
          <w:rFonts w:ascii="Myanmar Text" w:hAnsi="Myanmar Text" w:eastAsia="Myanmar Text" w:cs="Myanmar Text"/>
        </w:rPr>
        <w:t>စွန့်ပယ်ကြသောအခါ၊</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မိမိတို့ဘိုးဘေးတို့၏</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ထပ်မံကျူးလွန်ခဲ့ကြောင်း</w:t>
      </w:r>
      <w:r>
        <w:rPr>
          <w:rFonts w:ascii="Times New Roman" w:hAnsi="Times New Roman" w:eastAsia="Times New Roman" w:cs="Times New Roman"/>
        </w:rPr>
        <w:t xml:space="preserve"> </w:t>
      </w:r>
      <w:r>
        <w:rPr>
          <w:rFonts w:ascii="Myanmar Text" w:hAnsi="Myanmar Text" w:eastAsia="Myanmar Text" w:cs="Myanmar Text"/>
        </w:rPr>
        <w:t>အသိအမှတ်ပြုကြသောအခါ၊</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အယူအဆမာနကို</w:t>
      </w:r>
      <w:r>
        <w:rPr>
          <w:rFonts w:ascii="Times New Roman" w:hAnsi="Times New Roman" w:eastAsia="Times New Roman" w:cs="Times New Roman"/>
        </w:rPr>
        <w:t xml:space="preserve"> </w:t>
      </w:r>
      <w:r>
        <w:rPr>
          <w:rFonts w:ascii="Myanmar Text" w:hAnsi="Myanmar Text" w:eastAsia="Myanmar Text" w:cs="Myanmar Text"/>
        </w:rPr>
        <w:t>ဘေးဖယ်ထား၍</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ဆန့်ကျင်လျက်</w:t>
      </w:r>
      <w:r>
        <w:rPr>
          <w:rFonts w:ascii="Times New Roman" w:hAnsi="Times New Roman" w:eastAsia="Times New Roman" w:cs="Times New Roman"/>
        </w:rPr>
        <w:t xml:space="preserve"> </w:t>
      </w:r>
      <w:r>
        <w:rPr>
          <w:rFonts w:ascii="Myanmar Text" w:hAnsi="Myanmar Text" w:eastAsia="Myanmar Text" w:cs="Myanmar Text"/>
        </w:rPr>
        <w:t>လျှောက်လှမ်းနေခဲ့ကြောင်း၊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ရက်တွင်</w:t>
      </w:r>
      <w:r>
        <w:rPr>
          <w:rFonts w:ascii="Times New Roman" w:hAnsi="Times New Roman" w:eastAsia="Times New Roman" w:cs="Times New Roman"/>
        </w:rPr>
        <w:t xml:space="preserve"> </w:t>
      </w:r>
      <w:r>
        <w:rPr>
          <w:rFonts w:ascii="Myanmar Text" w:hAnsi="Myanmar Text" w:eastAsia="Myanmar Text" w:cs="Myanmar Text"/>
        </w:rPr>
        <w:t>ကြန့်ကြာသည့်အချိန်</w:t>
      </w:r>
      <w:r>
        <w:rPr>
          <w:rFonts w:ascii="Times New Roman" w:hAnsi="Times New Roman" w:eastAsia="Times New Roman" w:cs="Times New Roman"/>
        </w:rPr>
        <w:t xml:space="preserve"> </w:t>
      </w:r>
      <w:r>
        <w:rPr>
          <w:rFonts w:ascii="Myanmar Text" w:hAnsi="Myanmar Text" w:eastAsia="Myanmar Text" w:cs="Myanmar Text"/>
        </w:rPr>
        <w:t>ရောက်ရှိလာကတည်းက</w:t>
      </w:r>
      <w:r>
        <w:rPr>
          <w:rFonts w:ascii="Times New Roman" w:hAnsi="Times New Roman" w:eastAsia="Times New Roman" w:cs="Times New Roman"/>
        </w:rPr>
        <w:t xml:space="preserve"> </w:t>
      </w:r>
      <w:r>
        <w:rPr>
          <w:rFonts w:ascii="Myanmar Text" w:hAnsi="Myanmar Text" w:eastAsia="Myanmar Text" w:cs="Myanmar Text"/>
        </w:rPr>
        <w:t>ကိုယ်တော်လည်း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ဆန့်ကျင်လျက်</w:t>
      </w:r>
      <w:r>
        <w:rPr>
          <w:rFonts w:ascii="Times New Roman" w:hAnsi="Times New Roman" w:eastAsia="Times New Roman" w:cs="Times New Roman"/>
        </w:rPr>
        <w:t xml:space="preserve"> </w:t>
      </w:r>
      <w:r>
        <w:rPr>
          <w:rFonts w:ascii="Myanmar Text" w:hAnsi="Myanmar Text" w:eastAsia="Myanmar Text" w:cs="Myanmar Text"/>
        </w:rPr>
        <w:t>လျှောက်လှမ်းနေခဲ့ကြောင်းကိုလည်း</w:t>
      </w:r>
      <w:r>
        <w:rPr>
          <w:rFonts w:ascii="Times New Roman" w:hAnsi="Times New Roman" w:eastAsia="Times New Roman" w:cs="Times New Roman"/>
        </w:rPr>
        <w:t xml:space="preserve"> </w:t>
      </w:r>
      <w:r>
        <w:rPr>
          <w:rFonts w:ascii="Myanmar Text" w:hAnsi="Myanmar Text" w:eastAsia="Myanmar Text" w:cs="Myanmar Text"/>
        </w:rPr>
        <w:t>ဝန်ခံကြသောအခါ၊</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နိုင်ငံတော်အတွင်းရှိ</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ပညာရှိဟု</w:t>
      </w:r>
      <w:r>
        <w:rPr>
          <w:rFonts w:ascii="Times New Roman" w:hAnsi="Times New Roman" w:eastAsia="Times New Roman" w:cs="Times New Roman"/>
        </w:rPr>
        <w:t xml:space="preserve"> </w:t>
      </w:r>
      <w:r>
        <w:rPr>
          <w:rFonts w:ascii="Myanmar Text" w:hAnsi="Myanmar Text" w:eastAsia="Myanmar Text" w:cs="Myanmar Text"/>
        </w:rPr>
        <w:t>ဝန်ခံပြောဆိုသူအပေါင်းတို့ထက်</w:t>
      </w:r>
      <w:r>
        <w:rPr>
          <w:rFonts w:ascii="Times New Roman" w:hAnsi="Times New Roman" w:eastAsia="Times New Roman" w:cs="Times New Roman"/>
        </w:rPr>
        <w:t xml:space="preserve"> “</w:t>
      </w:r>
      <w:r>
        <w:rPr>
          <w:rFonts w:ascii="Myanmar Text" w:hAnsi="Myanmar Text" w:eastAsia="Myanmar Text" w:cs="Myanmar Text"/>
        </w:rPr>
        <w:t>ဆယ်ဆ</w:t>
      </w:r>
      <w:r>
        <w:rPr>
          <w:rFonts w:ascii="Times New Roman" w:hAnsi="Times New Roman" w:eastAsia="Times New Roman" w:cs="Times New Roman"/>
        </w:rPr>
        <w:t xml:space="preserve">” </w:t>
      </w:r>
      <w:r>
        <w:rPr>
          <w:rFonts w:ascii="Myanmar Text" w:hAnsi="Myanmar Text" w:eastAsia="Myanmar Text" w:cs="Myanmar Text"/>
        </w:rPr>
        <w:t>ပိုမိုသော</w:t>
      </w:r>
      <w:r>
        <w:rPr>
          <w:rFonts w:ascii="Times New Roman" w:hAnsi="Times New Roman" w:eastAsia="Times New Roman" w:cs="Times New Roman"/>
        </w:rPr>
        <w:t xml:space="preserve"> </w:t>
      </w:r>
      <w:r>
        <w:rPr>
          <w:rFonts w:ascii="Myanmar Text" w:hAnsi="Myanmar Text" w:eastAsia="Myanmar Text" w:cs="Myanmar Text"/>
        </w:rPr>
        <w:t>ပရောဖက်ပြုတန်ခိုးကို</w:t>
      </w:r>
      <w:r>
        <w:rPr>
          <w:rFonts w:ascii="Times New Roman" w:hAnsi="Times New Roman" w:eastAsia="Times New Roman" w:cs="Times New Roman"/>
        </w:rPr>
        <w:t xml:space="preserve"> </w:t>
      </w:r>
      <w:r>
        <w:rPr>
          <w:rFonts w:ascii="Myanmar Text" w:hAnsi="Myanmar Text" w:eastAsia="Myanmar Text" w:cs="Myanmar Text"/>
        </w:rPr>
        <w:t>ပိုင်ဆိုင်သူများဖြစ်ကြောင်း</w:t>
      </w:r>
      <w:r>
        <w:rPr>
          <w:rFonts w:ascii="Times New Roman" w:hAnsi="Times New Roman" w:eastAsia="Times New Roman" w:cs="Times New Roman"/>
        </w:rPr>
        <w:t xml:space="preserve"> </w:t>
      </w:r>
      <w:r>
        <w:rPr>
          <w:rFonts w:ascii="Myanmar Text" w:hAnsi="Myanmar Text" w:eastAsia="Myanmar Text" w:cs="Myanmar Text"/>
        </w:rPr>
        <w:t>တွေ့ရှိခြင်းခံရလိမ့်မည်။</w:t>
      </w:r>
    </w:p>
    <w:p>
      <w:pPr>
        <w:pStyle w:val="ArticleBody"/>
        <w:jc w:val="left"/>
      </w:pPr>
      <w:r>
        <w:rPr>
          <w:rFonts w:ascii="Times New Roman" w:hAnsi="Times New Roman" w:eastAsia="Times New Roman" w:cs="Times New Roman"/>
        </w:rPr>
        <w:t>Tsela ya go swaya e simolotse ka go gololwa ga Islama, mme morago ga moo ya thibelwa. Tsela eo e fela jaaka e simolotse, fa Islama e gololwa gape. E gololwa kwa bokhutlong jwa malatsi a nako ya go swaya, ao mo go Daniele e neng e le taelo ya ga Kurose e e neng ya bitsa batho gore ba tswe mo Babilona. Ke gone koo, kwa bokhutlong jwa malatsi a go itshekisiwa, mo katlholong ya “taelo” ya molao wa Tshipi mo United States, fa ba ba ikanyegang ba tla fitlhelwa ba na le maatla a boperofeti a a fetang “ga lesome.”</w:t>
      </w:r>
    </w:p>
    <w:p>
      <w:pPr>
        <w:pStyle w:val="ArticleScripture"/>
        <w:jc w:val="left"/>
      </w:pPr>
      <w:r>
        <w:rPr>
          <w:rFonts w:ascii="Times New Roman" w:hAnsi="Times New Roman" w:eastAsia="Times New Roman" w:cs="Times New Roman"/>
        </w:rPr>
        <w:t>“Re keno ya Morena e sa le kgakala kudu. Ke bone gore pula ya ka morago e be e etla ka [go tšhoga bjalo ka] mokgoši wa bošego-gare, e bile ka maatla a fetago ga lesome.” Spalding and Magan, 5.</w:t>
      </w:r>
    </w:p>
    <w:p>
      <w:pPr>
        <w:pStyle w:val="ArticleBody"/>
        <w:jc w:val="left"/>
      </w:pPr>
      <w:r>
        <w:rPr>
          <w:rFonts w:ascii="Times New Roman" w:hAnsi="Times New Roman" w:eastAsia="Times New Roman" w:cs="Times New Roman"/>
        </w:rPr>
        <w:t>Ndzi ta sungula ku kambisisa Daniel ndzima ya vumbirhi exihlokweni lexi landzelaka.</w:t>
      </w:r>
    </w:p>
    <w:p>
      <w:pPr>
        <w:pStyle w:val="ArticleScripture"/>
        <w:jc w:val="left"/>
      </w:pPr>
      <w:r>
        <w:rPr>
          <w:rFonts w:ascii="Times New Roman" w:hAnsi="Times New Roman" w:eastAsia="Times New Roman" w:cs="Times New Roman"/>
        </w:rPr>
        <w:t>“Ii e ne e le mokgoši wa bošego-gare, wo o bego o tla nea maatla molaetšeng wa morongwa wa bobedi. Barongwa ba ile ba romelwa go tšwa legodimong go tsoša bakgethwa ba ba nyamilego moko le go ba lokišetša modiro o mogolo wo o bego o le pele ga bona. Banna ba ba nago le bokgoni bjo bogolo e se bona ba ilego ba amogela molaetša wo pele. Barongwa ba ile ba romelwa go ba boleta, ba ba ineetšego, gomme ba ba gapeletša go godiša mokgoši, ‘Bonang, Monyadi o etla; tšwang le yo gahlanetša!’ Bao ba neilwego boikarabelo bja mokgoši ba ile ba akgofa, gomme ka maatla a Moya o Mokgethwa ba goeletša molaetša, ba ba ba tsoša bana babo bona ba ba nyamilego moko. Modiro wo o be o sa thewa bohlaleng le thutong ya batho, eupša o be o le matleng a Modimo, gomme bakgethwa ba Gagwe bao ba kwelego mokgoši ba be ba sa kgone go o ganetša. Ba semoya kudu ba ile ba amogela molaetša wo pele, gomme bao pele ba kilego ba eta pele modirong e bile bona ba mafelelo go o amogela le go thuša go godiša mokgoši, ‘Bonang, Monyadi o etla; tšwang le yo gahlanetša!’”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Kumi</dc:title>
  <dc:subject>Proses itu</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