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Satu Ratus Tiga Belas</w:t>
      </w:r>
    </w:p>
    <w:p>
      <w:pPr>
        <w:pStyle w:val="ArticleSubtitle"/>
        <w:jc w:val="left"/>
      </w:pPr>
      <w:r>
        <w:rPr>
          <w:rFonts w:ascii="Arial" w:hAnsi="Arial" w:eastAsia="Arial" w:cs="Arial"/>
        </w:rPr>
        <w:t>Ukutyhilwa Kokusetyenziswa Kathathu Kwesiprofeto: Ukuqonda Intsingiselo kaSeptemba 11, 2001, Kumxholo WeBhayibhile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Bana ba Hae ba matsatsi a bofelo ba etselletšwego ke Morena ba boela “ditseleng tša kgale” tša Jeremia ka la 11 September 2001, O be a šetše a hlaotše molao wa tiragatšo ya boporofeta ka makga a mararo.</w:t>
      </w:r>
    </w:p>
    <w:p>
      <w:pPr>
        <w:pStyle w:val="ArticleScripture"/>
        <w:jc w:val="left"/>
      </w:pPr>
      <w:r>
        <w:rPr>
          <w:rFonts w:ascii="Times New Roman" w:hAnsi="Times New Roman" w:eastAsia="Times New Roman" w:cs="Times New Roman"/>
        </w:rPr>
        <w:t>Keshi uswi Bꞌáhigoii, Dóógo nítózhí bikááꞌgi nilį́įgo, nihá shikaadééł, dóó íhoołꞌaahgo nihá daꞌałtsoh bee haneꞌígíí, háádę́ę́ꞌ éí atah nizhónígo, dóó yikááꞌgo deeshnííł, dóó niyolgo ałdóꞌ nihíjiꞌígíí tꞌáá shoodí yee nidáhwiilnih. Tꞌáá áko tꞌéiyá łaꞌ daaníłtaꞌ, Díí bikááꞌgi doo deeshááł da. Ałk'idáágo ałtsé nihá naatꞌáanii yishą́ągo nihá bikáaꞌgi yáhootꞌééł, Tłꞌóół łikanígíí bił haneꞌgo shił bééhózin. Tꞌáá áko tꞌéiyá łaꞌ daaníłtaꞌ, Doo shił bééhózin da. Jeremiah 6:16, 17.</w:t>
      </w:r>
    </w:p>
    <w:p>
      <w:pPr>
        <w:pStyle w:val="ArticleBody"/>
        <w:jc w:val="left"/>
      </w:pPr>
      <w:r>
        <w:rPr>
          <w:rFonts w:ascii="Times New Roman" w:hAnsi="Times New Roman" w:eastAsia="Times New Roman" w:cs="Times New Roman"/>
        </w:rPr>
        <w:t>Tatkala Tuhan memulangkan umat-Nya ke jalan-jalan yang lama, mereka akan mendapat perhentian (hujan akhir), dan kepada para penjaga kemudian diberikan suatu pekabaran sangkakala. Semua nabi dengan sangat sempurna menandai penutup zaman akhir, maka pekabaran sangkakala pada akhir zaman itu ialah sangkakala yang terakhir, yaitu sangkakala yang ketujuh, yakni malapetaka yang ketiga.</w:t>
      </w:r>
    </w:p>
    <w:p>
      <w:pPr>
        <w:pStyle w:val="ArticleBody"/>
        <w:jc w:val="left"/>
      </w:pPr>
      <w:r>
        <w:rPr>
          <w:rFonts w:ascii="Times New Roman" w:hAnsi="Times New Roman" w:eastAsia="Times New Roman" w:cs="Times New Roman"/>
        </w:rPr>
        <w:t>Bila umat-Nya pada akhir zaman mulai berjalan di dalam jalan-jalan yang lama, disadari bahwa ciri-ciri malapetaka yang pertama menunjuk kepada seorang pemimpin historis simbolis tertentu (Mohammed), dan bahwa malapetaka yang kedua melakukan hal yang sama (Osman). Ditemukan bahwa masing-masing dari keempat sangkakala yang pertama juga memiliki pemimpin-pemimpin simbolis tertentu untuk mengidentifikasi sangkakala itu, dan kemudian disadari bahwa Osama bin Laden adalah pemimpin simbolis dari malapetaka yang ketiga.</w:t>
      </w:r>
    </w:p>
    <w:p>
      <w:pPr>
        <w:pStyle w:val="ArticleBody"/>
        <w:jc w:val="left"/>
      </w:pPr>
      <w:r>
        <w:rPr>
          <w:rFonts w:ascii="Times New Roman" w:hAnsi="Times New Roman" w:eastAsia="Times New Roman" w:cs="Times New Roman"/>
        </w:rPr>
        <w:t>Mohammed o ne a amahanngwa le Arabia, mme Osman e ne e le sesupo sa Mmusomogolo wa Ottoman kwa Turkey, mme Osama bin Laden o ne a emela botlhokotsebe jwa Boislamo jwa lefatshe lotlhe, le fa ene, jaaka go ntse ka Mohammed, e ne e le Moarabia.</w:t>
      </w:r>
    </w:p>
    <w:p>
      <w:pPr>
        <w:pStyle w:val="ArticleBody"/>
        <w:jc w:val="left"/>
      </w:pPr>
      <w:r>
        <w:rPr>
          <w:rFonts w:ascii="Times New Roman" w:hAnsi="Times New Roman" w:eastAsia="Times New Roman" w:cs="Times New Roman"/>
        </w:rPr>
        <w:t>Ia juga diakui bahwa celaka yang pertama melukai bala tentara Roma dan bahwa celaka yang kedua membunuh bala tentara Roma. 11 September 2001 kemudian diakui sebagai saat ketika Islam dari celaka yang ketiga melukai bala tentara Roma (Amerika Serikat), tetapi bahwa pada hukum hari Minggu, ia akan membunuh bala tentara Roma, ketika Amerika Serikat sampai pada kesudahannya sebagai kerajaan keenam dari nubuatan Alkitab, dan menyerahkan kedaulatan nasionalnya kepada persatuan tiga serangkai dari naga, binatang, dan nabi palsu.</w:t>
      </w:r>
    </w:p>
    <w:p>
      <w:pPr>
        <w:pStyle w:val="ArticleBody"/>
        <w:jc w:val="left"/>
      </w:pPr>
      <w:r>
        <w:rPr>
          <w:rFonts w:ascii="Times New Roman" w:hAnsi="Times New Roman" w:eastAsia="Times New Roman" w:cs="Times New Roman"/>
        </w:rPr>
        <w:t>Ho ile ha hlokomeloa hore United States e ne e le sebata sa lefatše se nang le manaka a mabeli a matla. Tšobotsi e ka sehloohong ea boporofeta ea sebata sa lefatše ke hore se fetoha ho tloha ho konyana ho ea ho drakone. Ka boporofeta, manaka a emela matla, ’me matla a sebata sa lefatše e ne e le Republicanism le Protestantism, tse emetsoeng e le manaka a mabeli a sebata sa lefatše. Empa joale matsatsing a ho qetela, matla ana a mabeli a sebata sa lefatše a fetohile matla a sesole le a moruo. Ka la 11 Loetse, 2001, Boislamo ba bomalimabe ba boraro bo ile ba hlasela lefatše, e leng letšoao la sebata sa lefatše, Pentagon, e leng letšoao la bonatla ba sona ba sesole, le Twin Towers tsa New York City, e leng letšoao la matla a sona a moruo.</w:t>
      </w:r>
    </w:p>
    <w:p>
      <w:pPr>
        <w:pStyle w:val="ArticleBody"/>
        <w:jc w:val="left"/>
      </w:pPr>
      <w:r>
        <w:rPr>
          <w:rFonts w:ascii="Times New Roman" w:hAnsi="Times New Roman" w:eastAsia="Times New Roman" w:cs="Times New Roman"/>
        </w:rPr>
        <w:t>Apabila juga diakui bahawa sejarah permulaan malapetaka pertama, dan sejarah pengakhiran malapetaka kedua, kedua-duanya mempersembahkan suatu gambaran tentang pemeteraian seratus empat puluh empat ribu itu, maka pada ketibaan malapetaka ketiga, ketika bangunan-bangunan besar di New York dijatuhkan, telah dikenal pasti bahawa proses pemeteraian seratus empat puluh empat ribu itu telah bermula.</w:t>
      </w:r>
    </w:p>
    <w:p>
      <w:pPr>
        <w:pStyle w:val="ArticleScripture"/>
        <w:jc w:val="left"/>
      </w:pPr>
      <w:r>
        <w:rPr>
          <w:rFonts w:ascii="Times New Roman" w:hAnsi="Times New Roman" w:eastAsia="Times New Roman" w:cs="Times New Roman"/>
        </w:rPr>
        <w:t>“Ukufika manje yini izwi engilimemezele lokuthi i-New York iyakukhukhulwa igagasi elikhulu lolwandle? Lokhu angikaze ngikusho. Engakusho yilokhu: njengoba ngangibuka izakhiwo ezinkulu zakhiwa lapho, isitezi phezu kwesitezi, ngathi, ‘Yeka izigcawu ezesabekayo eziyakwenzeka lapho iNkosi isukuma ukuzamazamisa umhlaba ngokwesabekayo! Khona-ke amazwi eSambulo 18:1–3 ayakugcwaliseka.’ Sonke isahluko seshumi nesishiyagalombili seSambulo siyisexwayiso ngalokho okuzofika emhlabeni. Kodwa anginakho ukukhanya okuqondile ngokuphathelene nalokho okuzofika e-New York, ngaphandle kokuthi ngiyazi ukuthi ngolunye usuku izakhiwo ezinkulu zalapho ziyakuwiswa phansi ngokuphendulwa nangokuphenywa kwamandla kaNkulunkulu. Ngokukhanya engikunikiweyo, ngiyazi ukuthi ukubhujiswa kusemhlabeni. Izwi elilodwa elivela eNkosini, ukuthinta okukodwa kwamandla ayo amakhulu, futhi lezi zakhiwo ezinkulu ziyakuwa. Kuyokwenzeka izigcawu ezinokwesabeka esingeke sikwazi ukukucabanga.” Review and Herald, July 5, 1906.</w:t>
      </w:r>
    </w:p>
    <w:p>
      <w:pPr>
        <w:pStyle w:val="ArticleBody"/>
        <w:jc w:val="left"/>
      </w:pPr>
      <w:r>
        <w:rPr>
          <w:rFonts w:ascii="Times New Roman" w:hAnsi="Times New Roman" w:eastAsia="Times New Roman" w:cs="Times New Roman"/>
        </w:rPr>
        <w:t>“Permusnahan yang ada di dalam dunia” ialah watak Islam, kerana wataknya digambarkan sebagai Apollyon dan Abaddon dalam Wahyu fasal sembilan, ayat sebelas.</w:t>
      </w:r>
    </w:p>
    <w:p>
      <w:pPr>
        <w:pStyle w:val="ArticleScripture"/>
        <w:jc w:val="left"/>
      </w:pPr>
      <w:r>
        <w:rPr>
          <w:rFonts w:ascii="Times New Roman" w:hAnsi="Times New Roman" w:eastAsia="Times New Roman" w:cs="Times New Roman"/>
        </w:rPr>
        <w:t>Na ba ne ba e-na le morena holim’a bona, e leng lengeloi la mohohlo o se nang sekoti, leo lebitso la lona ka puo ea Seheberu e leng Abaddon, empa ka puo ea Segerike lebitso la lona ke Apollyon. Tšenolo 9:11 (ROBEDI LE MOTSO O MONG).</w:t>
      </w:r>
    </w:p>
    <w:p>
      <w:pPr>
        <w:pStyle w:val="ArticleBody"/>
        <w:jc w:val="left"/>
      </w:pPr>
      <w:r>
        <w:rPr>
          <w:rFonts w:ascii="Times New Roman" w:hAnsi="Times New Roman" w:eastAsia="Times New Roman" w:cs="Times New Roman"/>
        </w:rPr>
        <w:t>Maksud nama, atau watak, raja yang memerintah Islam, baik dalam bahasa Ibrani mahupun Yunani, sebagaimana diwakili oleh dua nama itu, ialah “maut” dan “kebinasaan,” yang datang pada 11 September 2001, apabila bangunan-bangunan besar di New York dijatuhkan. Pada ketika itu, Wahyu fasal lapan belas, ayat satu hingga tiga mula digenapi.</w:t>
      </w:r>
    </w:p>
    <w:p>
      <w:pPr>
        <w:pStyle w:val="ArticleBody"/>
        <w:jc w:val="left"/>
      </w:pPr>
      <w:r>
        <w:rPr>
          <w:rFonts w:ascii="Times New Roman" w:hAnsi="Times New Roman" w:eastAsia="Times New Roman" w:cs="Times New Roman"/>
        </w:rPr>
        <w:t>Disadari bahwa penyebutan pertama tentang manusia liar Islam dalam kitab Kejadian menggunakan kata Ibrani untuk “keledai liar Arab,” yang dalam ayat itu diterjemahkan sebagai “manusia liar.” Lambang Islam ialah keluarga kuda, dan dalam Wahyu pasal sembilan, Islam juga dilambangkan sebagai kuda perang. Pada bagan-bagan suci Habakuk, yang umat Allah telah diberi tahu “tidak boleh diubah,” Islam juga dilambangkan oleh kuda-kuda perang.</w:t>
      </w:r>
    </w:p>
    <w:p>
      <w:pPr>
        <w:pStyle w:val="ArticleScripture"/>
        <w:jc w:val="left"/>
      </w:pPr>
      <w:r>
        <w:rPr>
          <w:rFonts w:ascii="Leelawadee UI" w:hAnsi="Leelawadee UI" w:eastAsia="Leelawadee UI" w:cs="Leelawadee UI"/>
        </w:rPr>
        <w:t>នោះទេវតារបស់ព្រះអម្ចាស់បានមានបន្ទូលមកនាងថា៖</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អ្នកមានផ្ទៃពោះ</w:t>
      </w:r>
      <w:r>
        <w:rPr>
          <w:rFonts w:ascii="Times New Roman" w:hAnsi="Times New Roman" w:eastAsia="Times New Roman" w:cs="Times New Roman"/>
        </w:rPr>
        <w:t xml:space="preserve"> </w:t>
      </w:r>
      <w:r>
        <w:rPr>
          <w:rFonts w:ascii="Leelawadee UI" w:hAnsi="Leelawadee UI" w:eastAsia="Leelawadee UI" w:cs="Leelawadee UI"/>
        </w:rPr>
        <w:t>ហើយនឹងសម្រាលបានកូនប្រុសម្នាក់</w:t>
      </w:r>
      <w:r>
        <w:rPr>
          <w:rFonts w:ascii="Times New Roman" w:hAnsi="Times New Roman" w:eastAsia="Times New Roman" w:cs="Times New Roman"/>
        </w:rPr>
        <w:t xml:space="preserve"> </w:t>
      </w:r>
      <w:r>
        <w:rPr>
          <w:rFonts w:ascii="Leelawadee UI" w:hAnsi="Leelawadee UI" w:eastAsia="Leelawadee UI" w:cs="Leelawadee UI"/>
        </w:rPr>
        <w:t>ហើយត្រូវដាក់ឈ្មោះគាត់ថា</w:t>
      </w:r>
      <w:r>
        <w:rPr>
          <w:rFonts w:ascii="Times New Roman" w:hAnsi="Times New Roman" w:eastAsia="Times New Roman" w:cs="Times New Roman"/>
        </w:rPr>
        <w:t xml:space="preserve"> </w:t>
      </w:r>
      <w:r>
        <w:rPr>
          <w:rFonts w:ascii="Leelawadee UI" w:hAnsi="Leelawadee UI" w:eastAsia="Leelawadee UI" w:cs="Leelawadee UI"/>
        </w:rPr>
        <w:t>អ៊ីស្មាអែល</w:t>
      </w:r>
      <w:r>
        <w:rPr>
          <w:rFonts w:ascii="Times New Roman" w:hAnsi="Times New Roman" w:eastAsia="Times New Roman" w:cs="Times New Roman"/>
        </w:rPr>
        <w:t xml:space="preserve"> </w:t>
      </w:r>
      <w:r>
        <w:rPr>
          <w:rFonts w:ascii="Leelawadee UI" w:hAnsi="Leelawadee UI" w:eastAsia="Leelawadee UI" w:cs="Leelawadee UI"/>
        </w:rPr>
        <w:t>ពីព្រោះព្រះអម្ចាស់បានឮទុក្ខវេទនារបស់អ្នក។</w:t>
      </w:r>
      <w:r>
        <w:rPr>
          <w:rFonts w:ascii="Times New Roman" w:hAnsi="Times New Roman" w:eastAsia="Times New Roman" w:cs="Times New Roman"/>
        </w:rPr>
        <w:t xml:space="preserve"> </w:t>
      </w:r>
      <w:r>
        <w:rPr>
          <w:rFonts w:ascii="Leelawadee UI" w:hAnsi="Leelawadee UI" w:eastAsia="Leelawadee UI" w:cs="Leelawadee UI"/>
        </w:rPr>
        <w:t>ហើយគាត់នឹងជាមនុស្សព្រៃ</w:t>
      </w:r>
      <w:r>
        <w:rPr>
          <w:rFonts w:ascii="Times New Roman" w:hAnsi="Times New Roman" w:eastAsia="Times New Roman" w:cs="Times New Roman"/>
        </w:rPr>
        <w:t xml:space="preserve">; </w:t>
      </w:r>
      <w:r>
        <w:rPr>
          <w:rFonts w:ascii="Leelawadee UI" w:hAnsi="Leelawadee UI" w:eastAsia="Leelawadee UI" w:cs="Leelawadee UI"/>
        </w:rPr>
        <w:t>ដៃរបស់គាត់នឹងប្រឆាំងនឹងមនុស្សគ្រប់គ្នា</w:t>
      </w:r>
      <w:r>
        <w:rPr>
          <w:rFonts w:ascii="Times New Roman" w:hAnsi="Times New Roman" w:eastAsia="Times New Roman" w:cs="Times New Roman"/>
        </w:rPr>
        <w:t xml:space="preserve"> </w:t>
      </w:r>
      <w:r>
        <w:rPr>
          <w:rFonts w:ascii="Leelawadee UI" w:hAnsi="Leelawadee UI" w:eastAsia="Leelawadee UI" w:cs="Leelawadee UI"/>
        </w:rPr>
        <w:t>ហើយដៃរបស់មនុស្សគ្រប់គ្នាក៏នឹងប្រឆាំងនឹងគាត់ដែរ</w:t>
      </w:r>
      <w:r>
        <w:rPr>
          <w:rFonts w:ascii="Times New Roman" w:hAnsi="Times New Roman" w:eastAsia="Times New Roman" w:cs="Times New Roman"/>
        </w:rPr>
        <w:t xml:space="preserve">; </w:t>
      </w:r>
      <w:r>
        <w:rPr>
          <w:rFonts w:ascii="Leelawadee UI" w:hAnsi="Leelawadee UI" w:eastAsia="Leelawadee UI" w:cs="Leelawadee UI"/>
        </w:rPr>
        <w:t>ហើយគាត់នឹងរស់នៅចំពោះមុខបងប្អូនទាំងអស់របស់គាត់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16:11, 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Kenyelletso ea pele ea tsoalo ea Ishmaele e ne e amahanngoa le “thibelo,” e ileng ea fetoha letšoao le ka sehloohong le amanang le Boislamo.</w:t>
      </w:r>
    </w:p>
    <w:p>
      <w:pPr>
        <w:pStyle w:val="ArticleScripture"/>
        <w:jc w:val="left"/>
      </w:pPr>
      <w:r>
        <w:rPr>
          <w:rFonts w:ascii="Times New Roman" w:hAnsi="Times New Roman" w:eastAsia="Times New Roman" w:cs="Times New Roman"/>
        </w:rPr>
        <w:t>Béhla zîngawm Sarai chuan a pasal Abram hrangah fa a nei lo va; a hnenah salnu pakhat, Aigupta hmeichhia, a hming chu Hagar a ni. Tichuan Sarai chuan Abram hnenah, “Ngai teh, Lalpa chuan fa ka neih loh tûrin min khap a ni; ka ngen che, ka salnu hnenah lût rawh; a hmang hian kei hian fa ka neih theih ang tih a ni maw,” a ti. Tin, Abram chuan Sarai aw a ngaihsak a. Genesis 16:1, 2.</w:t>
      </w:r>
    </w:p>
    <w:p>
      <w:pPr>
        <w:pStyle w:val="ArticleBody"/>
        <w:jc w:val="left"/>
      </w:pPr>
      <w:r>
        <w:rPr>
          <w:rFonts w:ascii="Times New Roman" w:hAnsi="Times New Roman" w:eastAsia="Times New Roman" w:cs="Times New Roman"/>
        </w:rPr>
        <w:t>Mo go bolelo bjo bo swanago le bjona bja pele bja Islamo, bjalo ka ge bo emetšwe ke tswalo ya Ishmaele, go gatelelwa boikokobetšo. Kgopolo ya boikokobetšo ke motheo wa bodumedi bja Islamo. Lentšu “Islamo” le tšwa mantšung a mabedi a Searabia, “salaam,” ao a bolelago “khutšo”, le “aslama,” leo le bolelago “go ikokobetša” goba “go ineela”. Islamo e ruta gore badumedi ba swanetše go ikokobeletša thato ya bona thatong ya Allah (Modimo) dikarolong tšohle tša bophelo. Ge Sara a šetše a lemogile gore o dirile sephetho se sebe ka go hlohleletša Aborahama go tšea Hagara le go belega Ishmaele, o ile a hwetša tumelelo go tšwa go Aborahama ya gore a swere Hagara gampe, gomme seo sa dira gore Hagara a tšhabe legaeng la Aborahama. Ke moo a ilego a amogela molaetša go tšwa go morongwa.</w:t>
      </w:r>
    </w:p>
    <w:p>
      <w:pPr>
        <w:pStyle w:val="ArticleScripture"/>
        <w:jc w:val="left"/>
      </w:pPr>
      <w:r>
        <w:rPr>
          <w:rFonts w:ascii="Times New Roman" w:hAnsi="Times New Roman" w:eastAsia="Times New Roman" w:cs="Times New Roman"/>
        </w:rPr>
        <w:t>Tetapi Abram berkata kepada Sarai, “Lihatlah, hambamu itu ada dalam tanganmu; perbuatlah kepadanya menurut apa yang baik dalam pandanganmu.” Dan ketika Sarai memperlakukannya dengan keras, larilah Hagar dari hadapannya. Lalu malaikat Tuhan mendapati dia di dekat sebuah mata air di padang gurun, yakni mata air di jalan menuju Syur. Dan Ia berkata, “Hagar, hamba Sarai, dari manakah engkau datang, dan ke manakah engkau hendak pergi?” Jawabnya, “Aku lari dari hadapan nyonyaku, Sarai.” Maka malaikat Tuhan berkata kepadanya, “Kembalilah kepada nyonyamu dan taklukkanlah dirimu di bawah tangannya.” Lagi malaikat Tuhan berkata kepadanya, “Aku akan membuat keturunanmu sangat banyak, sehingga tidak akan dapat dihitung karena banyaknya.” Dan malaikat Tuhan berkata kepadanya, “Sesungguhnya, engkau sedang mengandung dan akan melahirkan seorang anak laki-laki, dan engkau akan menamai dia Ismael; sebab Tuhan telah mendengar penderitaanmu. Dan ia akan menjadi seperti keledai liar di antara manusia; tangannya akan melawan setiap orang, dan tangan setiap orang akan melawan dia; dan ia akan diam di hadapan semua saudaranya.” Kejadian 16:6–12.</w:t>
      </w:r>
    </w:p>
    <w:p>
      <w:pPr>
        <w:pStyle w:val="ArticleBody"/>
        <w:jc w:val="left"/>
      </w:pPr>
      <w:r>
        <w:rPr>
          <w:rFonts w:ascii="Times New Roman" w:hAnsi="Times New Roman" w:eastAsia="Times New Roman" w:cs="Times New Roman"/>
        </w:rPr>
        <w:t>Penganan Islam, “penyerahan” yang melambangkan watak agama Islam, dan peranan Islam semuanya terdapat dalam penyebutan pertama tentang Ismael, dan melambangkan DNA kenabian Islam yang diwakili oleh tiga malapetaka dalam Wahyu. Setelah Tuhan membawa umat-Nya kepada jalan-jalan lama Yeremia, mereka juga menyedari bahawa “empat angin” yang ditahan oleh empat malaikat dalam Wahyu fasal tujuh, secara khusus ialah empat angin Islam.</w:t>
      </w:r>
    </w:p>
    <w:p>
      <w:pPr>
        <w:pStyle w:val="ArticleScripture"/>
        <w:jc w:val="left"/>
      </w:pPr>
      <w:r>
        <w:rPr>
          <w:rFonts w:ascii="Times New Roman" w:hAnsi="Times New Roman" w:eastAsia="Times New Roman" w:cs="Times New Roman"/>
        </w:rPr>
        <w:t>“Malaika ba tshwere diphefo tse nne, tse di emetsweng jaaka pitse e e galefileng e e batlang go itlhatlosa e bo e tabogela godimo ga lefatshe lotlhe, e rwetse tshenyo le loso mo tseleng ya yone.” Manuscript Releases, bolumo 20, 217.</w:t>
      </w:r>
    </w:p>
    <w:p>
      <w:pPr>
        <w:pStyle w:val="ArticleBody"/>
        <w:jc w:val="left"/>
      </w:pPr>
      <w:r>
        <w:rPr>
          <w:rFonts w:ascii="Times New Roman" w:hAnsi="Times New Roman" w:eastAsia="Times New Roman" w:cs="Times New Roman"/>
        </w:rPr>
        <w:t>“Kuda marah” Islam yang juga merupakan “empat angin” yang “ditahan” sementara pemeteraian atas seratus empat puluh empat ribu sedang dilaksanakan, membawa “maut dan kebinasaan” (Abaddon dan Apollyon) di “jalannya.” Sebagaimana penahanan yang dikenakan atas Hagar menempatkan sifat kenabian itu ke dalam lambang Islam, demikian pula empat angin dan kuda marah itu sama-sama ditahan, dan dengan kenyataan itu ditegakkan, dikenali bahwa permulaan celaka yang pertama menandai suatu penahanan atas Islam sebagaimana diwakili oleh perintah historis Abu Bakar.</w:t>
      </w:r>
    </w:p>
    <w:p>
      <w:pPr>
        <w:pStyle w:val="ArticleScripture"/>
        <w:jc w:val="left"/>
      </w:pPr>
      <w:r>
        <w:rPr>
          <w:rFonts w:ascii="Times New Roman" w:hAnsi="Times New Roman" w:eastAsia="Times New Roman" w:cs="Times New Roman"/>
        </w:rPr>
        <w:t>Na ba laela hore ba se ke ba senya joang ba lefatše, leha e le ntho efe kapa efe e tala, leha e le sefate sefe kapa sefe; empa e be batho bao feela ba se nang tiiso ea Molimo liphatleng tsa bona. Tšenolo 9:4.</w:t>
      </w:r>
    </w:p>
    <w:p>
      <w:pPr>
        <w:pStyle w:val="ArticleBody"/>
        <w:jc w:val="left"/>
      </w:pPr>
      <w:r>
        <w:rPr>
          <w:rFonts w:ascii="Times New Roman" w:hAnsi="Times New Roman" w:eastAsia="Times New Roman" w:cs="Times New Roman"/>
        </w:rPr>
        <w:t>Moleng ka moleng, tshimologo ya madimabe a bobedi, eo mo tirisong e e menagane gararo ya madimabe a mararo e beilweng godimo ga tshimologo ya madimabe a ntlha, e supa go gololwa ga baengele ba bane, ba mo temaneng ba emelang go gololwa ga jihad ya bobedi e kgolo ya Boislamo.</w:t>
      </w:r>
    </w:p>
    <w:p>
      <w:pPr>
        <w:pStyle w:val="ArticleScripture"/>
        <w:jc w:val="left"/>
      </w:pPr>
      <w:r>
        <w:rPr>
          <w:rFonts w:ascii="Times New Roman" w:hAnsi="Times New Roman" w:eastAsia="Times New Roman" w:cs="Times New Roman"/>
        </w:rPr>
        <w:t>Berfirman kepada malaikat yang keenam yang memegang sangkakala itu, “Lepaskanlah keempat malaikat yang terikat pada sungai besar Efrat.” Wahyu 9:14.</w:t>
      </w:r>
    </w:p>
    <w:p>
      <w:pPr>
        <w:pStyle w:val="ArticleBody"/>
        <w:jc w:val="left"/>
      </w:pPr>
      <w:r>
        <w:rPr>
          <w:rFonts w:ascii="Times New Roman" w:hAnsi="Times New Roman" w:eastAsia="Times New Roman" w:cs="Times New Roman"/>
        </w:rPr>
        <w:t>Ohoole mo go ne ga tlhaloganngwa gore kwa tshimologong ya tatlhego ya boraro, Boiselamo bo ne bo tla gololwa e bile bo tla thibelwa, e leng bosupi jo bo tletseng jwa Kgaitsadi White.</w:t>
      </w:r>
    </w:p>
    <w:p>
      <w:pPr>
        <w:pStyle w:val="ArticleScripture"/>
        <w:jc w:val="left"/>
      </w:pPr>
      <w:r>
        <w:rPr>
          <w:rFonts w:ascii="Times New Roman" w:hAnsi="Times New Roman" w:eastAsia="Times New Roman" w:cs="Times New Roman"/>
        </w:rPr>
        <w:t>“Waktu itu, sementara pekerjaan keselamatan sedang mendekati penutupannya, kesusahan akan datang atas bumi, dan bangsa-bangsa akan menjadi marah, namun tetap ditahan agar tidak menghalangi pekerjaan malaikat ketiga. Pada waktu itu ‘hujan akhir,’ atau penyegaran dari hadirat Tuhan, akan datang untuk memberikan kuasa kepada seruan nyaring malaikat ketiga, dan mempersiapkan orang-orang kudus untuk berdiri teguh pada masa ketika ketujuh malapetaka terakhir akan dicurahkan.” Early Writings, 85.</w:t>
      </w:r>
    </w:p>
    <w:p>
      <w:pPr>
        <w:pStyle w:val="ArticleBody"/>
        <w:jc w:val="left"/>
      </w:pPr>
      <w:r>
        <w:rPr>
          <w:rFonts w:ascii="Times New Roman" w:hAnsi="Times New Roman" w:eastAsia="Times New Roman" w:cs="Times New Roman"/>
        </w:rPr>
        <w:t>Apabila catatan sejarah Islam diteliti, didapati bahawa peperangan dan pencapaian Islam Arab bagi celaka pertama difahami oleh Islam sebagai “jihad besar yang pertama”, dan bahawa peperangan Empayar Uthmaniyyah yang bermula apabila keempat-empat malaikat itu dilepaskan difahami oleh Islam sebagai “jihad besar yang kedua”. Selaras dengan penerapan rangkap tiga itu, Islam percaya bahawa jihad besar yang ketiga dan terakhir bermula pada 11 September 2001. Seperti yang pernah ditulis oleh William Miller, “Sejarah dan nubuat, memanglah sehaluan.”</w:t>
      </w:r>
    </w:p>
    <w:p>
      <w:pPr>
        <w:pStyle w:val="ArticleBody"/>
        <w:jc w:val="left"/>
      </w:pPr>
      <w:r>
        <w:rPr>
          <w:rFonts w:ascii="Times New Roman" w:hAnsi="Times New Roman" w:eastAsia="Times New Roman" w:cs="Times New Roman"/>
        </w:rPr>
        <w:t>Ukusetjenziswa kwe-“line upon line” kokukhululwa nokubanjelwa kanyekanye, njengokumelwa kukubeka ndawonye umugqa wokuprofetha wokuthoma wemayezo wokuthoma newesibili, kwaqinisekiswa ngokuphelele nguMoya wesiPhrofetho; begodu msinyana ngemva kobana i-Islam ihlasele ngoSeptemba 11, 2001, uMongameli George W. Bush wabeka ukubanjelwa komhlaba woke phezu kwe-Islam ngokusungula ipi yakhe emelene netwetwe. Ukukhululwa nokubanjelwa kanyekanye kwe-“bhiza elithukutheleko” le-Islam kwaqinisekiswa liBhayibheli, nguMoya wesiPhrofetho, begodu nangokomlando.</w:t>
      </w:r>
    </w:p>
    <w:p>
      <w:pPr>
        <w:pStyle w:val="ArticleBody"/>
        <w:jc w:val="left"/>
      </w:pPr>
      <w:r>
        <w:rPr>
          <w:rFonts w:ascii="Times New Roman" w:hAnsi="Times New Roman" w:eastAsia="Times New Roman" w:cs="Times New Roman"/>
        </w:rPr>
        <w:t>Ariëte ya “late Lamb” umuleko ku ngwata za kale za ba-Millerite, ba fumana “phomolo,” e leng pula ya morago, yeo Kgaetšedi White a e hlaolago gore e thoma ge ditšhaba di befetšwe, eupša di sa swarwa, bjalo ka ge go bile ka la 11 September 2001.</w:t>
      </w:r>
    </w:p>
    <w:p>
      <w:pPr>
        <w:pStyle w:val="ArticleScripture"/>
        <w:jc w:val="left"/>
      </w:pPr>
      <w:r>
        <w:rPr>
          <w:rFonts w:ascii="Times New Roman" w:hAnsi="Times New Roman" w:eastAsia="Times New Roman" w:cs="Times New Roman"/>
        </w:rPr>
        <w:t>“Ka nako eo, ha mosebetsi oa pholoho o se o atamela qetellong, matšoenyeho a tla be a tla holim’a lefatše, ’me lichaba li tla halefa, empa li ntse li thibetsoe hore li se ke tsa sitisa mosebetsi oa lengeloi la boraro. Ka nako eo, ‘pula ea morao,’ kapa khatholoho e tsoang boteng ba Morena, e tla tla, ho nea lentsoe le phahameng la lengeloi la boraro matla, le ho lokisetsa bahalaleli hore ba eme nakong eo likotlo tse supileng tsa ho qetela li tla tšolloa.” Early Writings, 85.</w:t>
      </w:r>
    </w:p>
    <w:p>
      <w:pPr>
        <w:pStyle w:val="ArticleBody"/>
        <w:jc w:val="left"/>
      </w:pPr>
      <w:r>
        <w:rPr>
          <w:rFonts w:ascii="Times New Roman" w:hAnsi="Times New Roman" w:eastAsia="Times New Roman" w:cs="Times New Roman"/>
        </w:rPr>
        <w:t>Barua ba ba “latela Kwana” morago go ya ditseleng tsa bogologolo tsa Bamilerite ba bona “boikhutso,” jo e leng pula ya morago, jo Kgaitsadi White a bo supang bo simologa fa moengele yo o nonofileng wa Tshenolo kgaolo ya lesome le boferabobedi a ne a fologa ka Lwetse 11, 2001.</w:t>
      </w:r>
    </w:p>
    <w:p>
      <w:pPr>
        <w:pStyle w:val="ArticleScripture"/>
        <w:jc w:val="left"/>
      </w:pPr>
      <w:r>
        <w:rPr>
          <w:rFonts w:ascii="Times New Roman" w:hAnsi="Times New Roman" w:eastAsia="Times New Roman" w:cs="Times New Roman"/>
        </w:rPr>
        <w:t>“Pula yang terkemudian akan turun ke atas umat Tuhan. Seorang malaikat yang perkasa akan turun dari syurga, dan seluruh bumi akan diterangi dengan kemuliaannya.” Review and Herald, 21 April 1891.</w:t>
      </w:r>
    </w:p>
    <w:p>
      <w:pPr>
        <w:pStyle w:val="ArticleBody"/>
        <w:jc w:val="left"/>
      </w:pPr>
      <w:r>
        <w:rPr>
          <w:rFonts w:ascii="Times New Roman" w:hAnsi="Times New Roman" w:eastAsia="Times New Roman" w:cs="Times New Roman"/>
        </w:rPr>
        <w:t>Juru Malaikat Sinyen no Turpuk i turun time bangunan-bangunan New York i tumbang, pemeteraian ke atas saratus empat puluh empat ribu i pun bermula, lalu hujan akhir pun mula merenjis. Orang-orang i dipimpin pulang ngagai jalai lama Jeremiah, lalu nemu “perhentian” nya, iya nya hujan akhir, lalu ngelalaika nya bahawa “perhentian enggau penyegaran” Isaiah nya mega hujan akhir, tang iya mega nyadi pengenalan ngagai ujian ti ba 11 September 2001 udah ngadap nembiak Allah Taala, lebih agi ngagai “orang-orang ti ngina” ti “merintah Jerusalem”. Sida pen nemu bahawa ujian nya bepelabuh dua, laban iya ngelambangka amanat Islam ti ari celaka ti ketiga, lalu sama penting nya, iya ngelambangka metodologi alkitabiah ti netapka amanat hujan akhir.</w:t>
      </w:r>
    </w:p>
    <w:p>
      <w:pPr>
        <w:pStyle w:val="ArticleScripture"/>
        <w:jc w:val="left"/>
      </w:pPr>
      <w:r>
        <w:rPr>
          <w:rFonts w:ascii="Times New Roman" w:hAnsi="Times New Roman" w:eastAsia="Times New Roman" w:cs="Times New Roman"/>
        </w:rPr>
        <w:t>Kepada mereka Ia berfirman, Inilah perhentian yang dengannya kamu dapat memberi perhentian kepada orang yang letih lesu; dan inilah kelegaan; tetapi mereka tidak mau mendengar. Maka firman Tuhan bagi mereka menjadi perintah demi perintah, perintah demi perintah; baris demi baris, baris demi baris; di sini sedikit, dan di sana sedikit; supaya mereka pergi, lalu jatuh terlentang, diremukkan, terjerat, dan tertangkap. Sebab itu dengarkanlah firman Tuhan, hai orang-orang pencemooh, yang memerintah bangsa ini yang ada di Yerusalem. Yesaya 28:12–14.</w:t>
      </w:r>
    </w:p>
    <w:p>
      <w:pPr>
        <w:pStyle w:val="ArticleBody"/>
        <w:jc w:val="left"/>
      </w:pPr>
      <w:r>
        <w:rPr>
          <w:rFonts w:ascii="Times New Roman" w:hAnsi="Times New Roman" w:eastAsia="Times New Roman" w:cs="Times New Roman"/>
        </w:rPr>
        <w:t>Ka lamlakha hmun hlui zui chu Pathian ni hnuhnung mite hnenah chuan nungrik sawmte thuakchhamna, chu thuakchhamna chu “Adventist mite thil tawnte a entîrtu” a ni tih, chu thuakchhamna chu mi za leh sawmli pali sang tihte seal hun lai chuan “a ziak anga vekin” tihhmuh leh tûr a ni tih an hmuhtîr ta a. Thuakchhamna chu a hmasa ber a lo famkimna chanchin hriatpui hian Habakkuk bung hnih chu thuakchhamna nêna inzawm nghet leh a pêng khat a ni tih a hrilh fiah a. Chuvângin Habakkuk bung hnih-a “debate” tih chu mi hmusit thiante an ngaihthlâk duh loh chawlna leh tihharhsakna fiahna a entîr a ni. Bible zir nghet takte chuan hmun hlui an la zui zêl a, nungrik sawmte thuakchhamna leh Habakkuk bung hnih chauh ni lovin, Ezekiel bung sawm leh hnih pawh hrilhlâwkna pakhat vek a ni tih an hre thiam ta a.</w:t>
      </w:r>
    </w:p>
    <w:p>
      <w:pPr>
        <w:pStyle w:val="ArticleScripture"/>
        <w:jc w:val="left"/>
      </w:pPr>
      <w:r>
        <w:rPr>
          <w:rFonts w:ascii="Times New Roman" w:hAnsi="Times New Roman" w:eastAsia="Times New Roman" w:cs="Times New Roman"/>
        </w:rPr>
        <w:t>“Sehemu ya unabii wa Ezekieli nayo ilikuwa chanzo cha nguvu na faraja kwa waamini: ‘Neno la Bwana likanijia, kusema, Mwanadamu, ni methali gani hiyo mliyo nayo katika nchi ya Israeli, mkisema, Siku zinakawia, na kila maono hayafikii chochote? Basi waambie, Bwana MUNGU asema hivi.... Siku zimekaribia, na utimilifu wa kila maono.... Nitasema, na neno nitakalolinena litatimia; halitakawia tena.’ ‘Watu wa nyumba ya Israeli husema, Maono ayaonayo ni kwa habari ya siku nyingi zijazo, naye anatabiri habari za nyakati zilizo mbali. Kwa hiyo waambie, Bwana MUNGU asema hivi; Hakutakuwa na neno lolote la maneno Yangu litakalokawia tena, bali neno nililolinena litatendeka.’ Ezekieli 12:21–25, 27, 28.” Pambano Kuu, 393.</w:t>
      </w:r>
    </w:p>
    <w:p>
      <w:pPr>
        <w:pStyle w:val="ArticleBody"/>
        <w:jc w:val="left"/>
      </w:pPr>
      <w:r>
        <w:rPr>
          <w:rFonts w:ascii="Times New Roman" w:hAnsi="Times New Roman" w:eastAsia="Times New Roman" w:cs="Times New Roman"/>
        </w:rPr>
        <w:t>Tempoh pemeteraian seratus empat puluh empat ribu itu, sebagaimana dilambangkan oleh pergerakan Advent dari tahun 1840 hingga 1844, melambangkan suatu tempoh masa pada akhir zaman, apabila “penggenapan setiap penglihatan” “akan terjadi.” Sejarah nubuatan malapetaka pertama, yang diletakkan di atas sejarah nubuatan malapetaka kedua, mengenal pasti sejarah nubuatan malapetaka ketiga, iaitu sejarah nubuatan pemeteraian seratus empat puluh empat ribu. Ia juga merupakan sejarah tahun 1840 hingga 1844. Ia juga merupakan sejarah ketika pekerjaan utusan yang menyediakan jalan bagi Utusan Perjanjian itu disempurnakan. Inilah sejarah ketika kedua-dua tanduk binatang dari bumi itu mengalami suatu peralihan daripada yang keenam kepada yang “kedelapan” yang “berasal daripada yang tujuh”. Inilah sejarah ketika kedua-dua nabi dibunuh di jalan, dalam pasal sebelas Kitab Wahyu.</w:t>
      </w:r>
    </w:p>
    <w:p>
      <w:pPr>
        <w:pStyle w:val="ArticleBody"/>
        <w:jc w:val="left"/>
      </w:pPr>
      <w:r>
        <w:rPr>
          <w:rFonts w:ascii="Times New Roman" w:hAnsi="Times New Roman" w:eastAsia="Times New Roman" w:cs="Times New Roman"/>
        </w:rPr>
        <w:t>Namun yang sama pentingnya ialah kenyataan bahawa, kerana firman Allah tidak pernah gagal, selaras dengan prinsip bahawa semua nabi berbicara lebih banyak tentang hari-hari terakhir daripada mana-mana zaman yang lain, pada 11 September 2001 “hari-hari nubuat sudah dekat,” ketika “firman yang” telah difirmankan Allah “akan terlaksana,” dan “hal itu tidak akan ditangguhkan lagi.”</w:t>
      </w:r>
    </w:p>
    <w:p>
      <w:pPr>
        <w:pStyle w:val="ArticleBody"/>
        <w:jc w:val="left"/>
      </w:pPr>
      <w:r>
        <w:rPr>
          <w:rFonts w:ascii="Times New Roman" w:hAnsi="Times New Roman" w:eastAsia="Times New Roman" w:cs="Times New Roman"/>
        </w:rPr>
        <w:t>Bofetoheli bja 1863 bo neela Boadventista ba Laodisea gore ba hlahlathele lešokeng go fihlela ge bohle ba hwile. Morena o ile a boela historing yeo ka la 11 Lewedi 2001, bjalo ka ge A ile a dira ka Isiraele ya bogologolo kua Kadeshe.</w:t>
      </w:r>
    </w:p>
    <w:p>
      <w:pPr>
        <w:pStyle w:val="ArticleBody"/>
        <w:jc w:val="left"/>
      </w:pPr>
      <w:r>
        <w:rPr>
          <w:rFonts w:ascii="Times New Roman" w:hAnsi="Times New Roman" w:eastAsia="Times New Roman" w:cs="Times New Roman"/>
        </w:rPr>
        <w:t>Kunjungan pertama ke Kadesh menimbulkan pemberontakan sepuluh pengintai, dan mendatangkan masa pengembaraan di padang gurun. Pada akhir empat puluh tahun itu, mereka kembali ke Kadesh, dan di sanalah Musa memukul Batu Karang untuk kedua kalinya dan dilarang masuk ke Tanah Perjanjian, tetapi mereka masuk bersama Yosua. Tanggal 11 September 2001 menandai generasi terakhir, dan Allah tidak akan lagi memperpanjang Firman-Nya.</w:t>
      </w:r>
    </w:p>
    <w:p>
      <w:pPr>
        <w:pStyle w:val="ArticleBody"/>
        <w:jc w:val="left"/>
      </w:pPr>
      <w:r>
        <w:rPr>
          <w:rFonts w:ascii="Times New Roman" w:hAnsi="Times New Roman" w:eastAsia="Times New Roman" w:cs="Times New Roman"/>
        </w:rPr>
        <w:t>Setho sa se tla se lebelela mo setlhogong se se latelang.</w:t>
      </w:r>
    </w:p>
    <w:p>
      <w:pPr>
        <w:pStyle w:val="ArticleScripture"/>
        <w:jc w:val="left"/>
      </w:pPr>
      <w:r>
        <w:rPr>
          <w:rFonts w:ascii="Times New Roman" w:hAnsi="Times New Roman" w:eastAsia="Times New Roman" w:cs="Times New Roman"/>
        </w:rPr>
        <w:t>“Riwayat kehidupan Israel di padang gurun telah dicatatkan demi faedah Israel milik Allah hingga ke penutupan zaman. Perlakuan Allah terhadap para pengembara di padang belantara itu dalam segala perjalanan mereka yang berulang-alik, dalam pendedahan mereka kepada kelaparan, kehausan, dan keletihan, serta dalam pernyataan-pernyataan kuasa-Nya yang mengagumkan bagi melegakan mereka, merupakan suatu perumpamaan ilahi, sarat dengan amaran dan pengajaran bagi umat-Nya pada segala zaman. Pengalaman yang beraneka ragam yang dialami oleh orang Ibrani merupakan suatu sekolah persediaan bagi rumah perjanjian mereka di Kanaan. Allah menghendaki agar umat-Nya pada akhir zaman ini meninjau kembali, dengan hati yang rendah dan roh yang mahu diajar, akan ujian-ujian yang bernyala-nyala yang telah dilalui oleh Israel purba, supaya mereka mendapat pengajaran dalam persediaan mereka bagi Kanaan syurgawi.</w:t>
      </w:r>
    </w:p>
    <w:p>
      <w:pPr>
        <w:pStyle w:val="ArticleScripture"/>
        <w:jc w:val="left"/>
      </w:pPr>
      <w:r>
        <w:rPr>
          <w:rFonts w:ascii="Times New Roman" w:hAnsi="Times New Roman" w:eastAsia="Times New Roman" w:cs="Times New Roman"/>
        </w:rPr>
        <w:t>“Batu yang, setelah dipukul oleh perintah Allah, memancarkan air hidupnya, adalah lambang Kristus, yang dipukul dan diremukkan supaya oleh darah-Nya suatu mata air dapat disediakan bagi keselamatan manusia yang sedang binasa. Sebagaimana batu itu telah dipukul satu kali, demikian pula Kristus harus ‘dipersembahkan satu kali untuk menanggung dosa banyak orang.’ Tetapi ketika Musa dengan gegabah memukul batu itu di Kadesh, lambang Kristus yang indah itu telah dinodai. Juruselamat kita tidak boleh dikorbankan untuk kedua kalinya. Sebagaimana persembahan yang agung itu dilakukan hanya satu kali, demikian hanya perlu bagi mereka yang mencari berkat kasih karunia-Nya untuk meminta dalam nama Yesus,—mencurahkan keinginan hati dalam doa pertobatan. Doa yang demikian akan membawa ke hadapan Tuhan semesta alam luka-luka Yesus, dan kemudian akan mengalir kembali darah yang memberi hidup itu, yang dilambangkan oleh aliran air hidup bagi Israel yang kehausan.”</w:t>
      </w:r>
    </w:p>
    <w:p>
      <w:pPr>
        <w:pStyle w:val="ArticleScripture"/>
        <w:jc w:val="left"/>
      </w:pPr>
      <w:r>
        <w:rPr>
          <w:rFonts w:ascii="Times New Roman" w:hAnsi="Times New Roman" w:eastAsia="Times New Roman" w:cs="Times New Roman"/>
        </w:rPr>
        <w:t>“Le ka go phela ka tumelo e phelago go Modimo, le ka go kwa ditaelo tša gagwe ka boikokobetšo, motho a ka holofela go amogelwa ke Modimo. Ka nako ya mohlolo woo o mogolo kua Kadeshe, Moshe, a lapile ke go ngongorega le borabele bja setšhaba ka mehla, o ile a se sa bona Mothuši wa gagwe yo Matlaohle; ga se a ka a hlokomela taelo ye e rego, ‘Bolelang le leswika, gomme le tla ntšha meetse a lona;’ gomme ka ge maatla a Modimo a be a se gona go yena, o ile a tlogelwa gore a senye pego ya gagwe ka pontšo ya kgalefo le bofokodi bja botho. Monna yo a bego a swanetše, e bile a ka be a ile a ema a hlwekile, a tiile, a se na boithati go fihla mafelelong a modiro wa gagwe, o ile a fenywa mafelelong. Modimo o ile a hlomphollwa pele ga phuthego ya Isiraele, mola a ka be a ile a hlompšhwa, gomme leina la gagwe la tagafatšwa.”</w:t>
      </w:r>
    </w:p>
    <w:p>
      <w:pPr>
        <w:pStyle w:val="ArticleScripture"/>
        <w:jc w:val="left"/>
      </w:pPr>
      <w:r>
        <w:rPr>
          <w:rFonts w:ascii="Times New Roman" w:hAnsi="Times New Roman" w:eastAsia="Times New Roman" w:cs="Times New Roman"/>
        </w:rPr>
        <w:t>“</w:t>
      </w:r>
      <w:r>
        <w:rPr>
          <w:rFonts w:ascii="Nirmala UI" w:hAnsi="Nirmala UI" w:eastAsia="Nirmala UI" w:cs="Nirmala UI"/>
        </w:rPr>
        <w:t>কাদেশত</w:t>
      </w:r>
      <w:r>
        <w:rPr>
          <w:rFonts w:ascii="Times New Roman" w:hAnsi="Times New Roman" w:eastAsia="Times New Roman" w:cs="Times New Roman"/>
        </w:rPr>
        <w:t xml:space="preserve"> </w:t>
      </w:r>
      <w:r>
        <w:rPr>
          <w:rFonts w:ascii="Nirmala UI" w:hAnsi="Nirmala UI" w:eastAsia="Nirmala UI" w:cs="Nirmala UI"/>
        </w:rPr>
        <w:t>শাস্তির</w:t>
      </w:r>
      <w:r>
        <w:rPr>
          <w:rFonts w:ascii="Times New Roman" w:hAnsi="Times New Roman" w:eastAsia="Times New Roman" w:cs="Times New Roman"/>
        </w:rPr>
        <w:t xml:space="preserve"> </w:t>
      </w:r>
      <w:r>
        <w:rPr>
          <w:rFonts w:ascii="Nirmala UI" w:hAnsi="Nirmala UI" w:eastAsia="Nirmala UI" w:cs="Nirmala UI"/>
        </w:rPr>
        <w:t>আর্তি</w:t>
      </w:r>
      <w:r>
        <w:rPr>
          <w:rFonts w:ascii="Times New Roman" w:hAnsi="Times New Roman" w:eastAsia="Times New Roman" w:cs="Times New Roman"/>
        </w:rPr>
        <w:t xml:space="preserve"> </w:t>
      </w:r>
      <w:r>
        <w:rPr>
          <w:rFonts w:ascii="Nirmala UI" w:hAnsi="Nirmala UI" w:eastAsia="Nirmala UI" w:cs="Nirmala UI"/>
        </w:rPr>
        <w:t>লেপগু</w:t>
      </w:r>
      <w:r>
        <w:rPr>
          <w:rFonts w:ascii="Times New Roman" w:hAnsi="Times New Roman" w:eastAsia="Times New Roman" w:cs="Times New Roman"/>
        </w:rPr>
        <w:t xml:space="preserve"> </w:t>
      </w:r>
      <w:r>
        <w:rPr>
          <w:rFonts w:ascii="Nirmala UI" w:hAnsi="Nirmala UI" w:eastAsia="Nirmala UI" w:cs="Nirmala UI"/>
        </w:rPr>
        <w:t>মওসেসনি</w:t>
      </w:r>
      <w:r>
        <w:rPr>
          <w:rFonts w:ascii="Times New Roman" w:hAnsi="Times New Roman" w:eastAsia="Times New Roman" w:cs="Times New Roman"/>
        </w:rPr>
        <w:t xml:space="preserve"> </w:t>
      </w:r>
      <w:r>
        <w:rPr>
          <w:rFonts w:ascii="Nirmala UI" w:hAnsi="Nirmala UI" w:eastAsia="Nirmala UI" w:cs="Nirmala UI"/>
        </w:rPr>
        <w:t>মঙআনি</w:t>
      </w:r>
      <w:r>
        <w:rPr>
          <w:rFonts w:ascii="Times New Roman" w:hAnsi="Times New Roman" w:eastAsia="Times New Roman" w:cs="Times New Roman"/>
        </w:rPr>
        <w:t xml:space="preserve"> </w:t>
      </w:r>
      <w:r>
        <w:rPr>
          <w:rFonts w:ascii="Nirmala UI" w:hAnsi="Nirmala UI" w:eastAsia="Nirmala UI" w:cs="Nirmala UI"/>
        </w:rPr>
        <w:t>গিমিক</w:t>
      </w:r>
      <w:r>
        <w:rPr>
          <w:rFonts w:ascii="Times New Roman" w:hAnsi="Times New Roman" w:eastAsia="Times New Roman" w:cs="Times New Roman"/>
        </w:rPr>
        <w:t xml:space="preserve"> </w:t>
      </w:r>
      <w:r>
        <w:rPr>
          <w:rFonts w:ascii="Nirmala UI" w:hAnsi="Nirmala UI" w:eastAsia="Nirmala UI" w:cs="Nirmala UI"/>
        </w:rPr>
        <w:t>অনি</w:t>
      </w:r>
      <w:r>
        <w:rPr>
          <w:rFonts w:ascii="Times New Roman" w:hAnsi="Times New Roman" w:eastAsia="Times New Roman" w:cs="Times New Roman"/>
        </w:rPr>
        <w:t xml:space="preserve"> </w:t>
      </w:r>
      <w:r>
        <w:rPr>
          <w:rFonts w:ascii="Nirmala UI" w:hAnsi="Nirmala UI" w:eastAsia="Nirmala UI" w:cs="Nirmala UI"/>
        </w:rPr>
        <w:t>দঙচকগিজাগু</w:t>
      </w:r>
      <w:r>
        <w:rPr>
          <w:rFonts w:ascii="Times New Roman" w:hAnsi="Times New Roman" w:eastAsia="Times New Roman" w:cs="Times New Roman"/>
        </w:rPr>
        <w:t xml:space="preserve">, </w:t>
      </w:r>
      <w:r>
        <w:rPr>
          <w:rFonts w:ascii="Nirmala UI" w:hAnsi="Nirmala UI" w:eastAsia="Nirmala UI" w:cs="Nirmala UI"/>
        </w:rPr>
        <w:t>অরংব</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ইস্রায়েলগা</w:t>
      </w:r>
      <w:r>
        <w:rPr>
          <w:rFonts w:ascii="Times New Roman" w:hAnsi="Times New Roman" w:eastAsia="Times New Roman" w:cs="Times New Roman"/>
        </w:rPr>
        <w:t xml:space="preserve"> </w:t>
      </w:r>
      <w:r>
        <w:rPr>
          <w:rFonts w:ascii="Nirmala UI" w:hAnsi="Nirmala UI" w:eastAsia="Nirmala UI" w:cs="Nirmala UI"/>
        </w:rPr>
        <w:t>লোইননা</w:t>
      </w:r>
      <w:r>
        <w:rPr>
          <w:rFonts w:ascii="Times New Roman" w:hAnsi="Times New Roman" w:eastAsia="Times New Roman" w:cs="Times New Roman"/>
        </w:rPr>
        <w:t xml:space="preserve"> </w:t>
      </w:r>
      <w:r>
        <w:rPr>
          <w:rFonts w:ascii="Nirmala UI" w:hAnsi="Nirmala UI" w:eastAsia="Nirmala UI" w:cs="Nirmala UI"/>
        </w:rPr>
        <w:t>যর্দান</w:t>
      </w:r>
      <w:r>
        <w:rPr>
          <w:rFonts w:ascii="Times New Roman" w:hAnsi="Times New Roman" w:eastAsia="Times New Roman" w:cs="Times New Roman"/>
        </w:rPr>
        <w:t xml:space="preserve"> </w:t>
      </w:r>
      <w:r>
        <w:rPr>
          <w:rFonts w:ascii="Nirmala UI" w:hAnsi="Nirmala UI" w:eastAsia="Nirmala UI" w:cs="Nirmala UI"/>
        </w:rPr>
        <w:t>খান্দোকনির</w:t>
      </w:r>
      <w:r>
        <w:rPr>
          <w:rFonts w:ascii="Times New Roman" w:hAnsi="Times New Roman" w:eastAsia="Times New Roman" w:cs="Times New Roman"/>
        </w:rPr>
        <w:t xml:space="preserve"> </w:t>
      </w:r>
      <w:r>
        <w:rPr>
          <w:rFonts w:ascii="Nirmala UI" w:hAnsi="Nirmala UI" w:eastAsia="Nirmala UI" w:cs="Nirmala UI"/>
        </w:rPr>
        <w:t>আগেতোদু</w:t>
      </w:r>
      <w:r>
        <w:rPr>
          <w:rFonts w:ascii="Times New Roman" w:hAnsi="Times New Roman" w:eastAsia="Times New Roman" w:cs="Times New Roman"/>
        </w:rPr>
        <w:t xml:space="preserve"> </w:t>
      </w:r>
      <w:r>
        <w:rPr>
          <w:rFonts w:ascii="Nirmala UI" w:hAnsi="Nirmala UI" w:eastAsia="Nirmala UI" w:cs="Nirmala UI"/>
        </w:rPr>
        <w:t>সিৎনা</w:t>
      </w:r>
      <w:r>
        <w:rPr>
          <w:rFonts w:ascii="Times New Roman" w:hAnsi="Times New Roman" w:eastAsia="Times New Roman" w:cs="Times New Roman"/>
        </w:rPr>
        <w:t xml:space="preserve"> </w:t>
      </w:r>
      <w:r>
        <w:rPr>
          <w:rFonts w:ascii="Nirmala UI" w:hAnsi="Nirmala UI" w:eastAsia="Nirmala UI" w:cs="Nirmala UI"/>
        </w:rPr>
        <w:t>সিগনাংনবা।</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পুখ্রিগদ্রবা</w:t>
      </w:r>
      <w:r>
        <w:rPr>
          <w:rFonts w:ascii="Times New Roman" w:hAnsi="Times New Roman" w:eastAsia="Times New Roman" w:cs="Times New Roman"/>
        </w:rPr>
        <w:t xml:space="preserve">, </w:t>
      </w:r>
      <w:r>
        <w:rPr>
          <w:rFonts w:ascii="Nirmala UI" w:hAnsi="Nirmala UI" w:eastAsia="Nirmala UI" w:cs="Nirmala UI"/>
        </w:rPr>
        <w:t>প্রভুনা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অদোমক</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অফেন্স</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w:t>
      </w:r>
      <w:r>
        <w:rPr>
          <w:rFonts w:ascii="Nirmala UI" w:hAnsi="Nirmala UI" w:eastAsia="Nirmala UI" w:cs="Nirmala UI"/>
        </w:rPr>
        <w:t>তীব্র</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হায়না</w:t>
      </w:r>
      <w:r>
        <w:rPr>
          <w:rFonts w:ascii="Times New Roman" w:hAnsi="Times New Roman" w:eastAsia="Times New Roman" w:cs="Times New Roman"/>
        </w:rPr>
        <w:t xml:space="preserve">? </w:t>
      </w:r>
      <w:r>
        <w:rPr>
          <w:rFonts w:ascii="Nirmala UI" w:hAnsi="Nirmala UI" w:eastAsia="Nirmala UI" w:cs="Nirmala UI"/>
        </w:rPr>
        <w:t>ঈশ্বরনা</w:t>
      </w:r>
      <w:r>
        <w:rPr>
          <w:rFonts w:ascii="Times New Roman" w:hAnsi="Times New Roman" w:eastAsia="Times New Roman" w:cs="Times New Roman"/>
        </w:rPr>
        <w:t xml:space="preserve"> </w:t>
      </w:r>
      <w:r>
        <w:rPr>
          <w:rFonts w:ascii="Nirmala UI" w:hAnsi="Nirmala UI" w:eastAsia="Nirmala UI" w:cs="Nirmala UI"/>
        </w:rPr>
        <w:t>মওসেসবু</w:t>
      </w:r>
      <w:r>
        <w:rPr>
          <w:rFonts w:ascii="Times New Roman" w:hAnsi="Times New Roman" w:eastAsia="Times New Roman" w:cs="Times New Roman"/>
        </w:rPr>
        <w:t xml:space="preserve"> </w:t>
      </w:r>
      <w:r>
        <w:rPr>
          <w:rFonts w:ascii="Nirmala UI" w:hAnsi="Nirmala UI" w:eastAsia="Nirmala UI" w:cs="Nirmala UI"/>
        </w:rPr>
        <w:t>অদোম</w:t>
      </w:r>
      <w:r>
        <w:rPr>
          <w:rFonts w:ascii="Times New Roman" w:hAnsi="Times New Roman" w:eastAsia="Times New Roman" w:cs="Times New Roman"/>
        </w:rPr>
        <w:t xml:space="preserve"> </w:t>
      </w:r>
      <w:r>
        <w:rPr>
          <w:rFonts w:ascii="Nirmala UI" w:hAnsi="Nirmala UI" w:eastAsia="Nirmala UI" w:cs="Nirmala UI"/>
        </w:rPr>
        <w:t>অতোপ্পা</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অমত্তবু</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তৌদ্রিবা</w:t>
      </w:r>
      <w:r>
        <w:rPr>
          <w:rFonts w:ascii="Times New Roman" w:hAnsi="Times New Roman" w:eastAsia="Times New Roman" w:cs="Times New Roman"/>
        </w:rPr>
        <w:t xml:space="preserve"> </w:t>
      </w:r>
      <w:r>
        <w:rPr>
          <w:rFonts w:ascii="Nirmala UI" w:hAnsi="Nirmala UI" w:eastAsia="Nirmala UI" w:cs="Nirmala UI"/>
        </w:rPr>
        <w:t>মখোই</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মচা</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মানপা</w:t>
      </w:r>
      <w:r>
        <w:rPr>
          <w:rFonts w:ascii="Times New Roman" w:hAnsi="Times New Roman" w:eastAsia="Times New Roman" w:cs="Times New Roman"/>
        </w:rPr>
        <w:t xml:space="preserve"> </w:t>
      </w:r>
      <w:r>
        <w:rPr>
          <w:rFonts w:ascii="Nirmala UI" w:hAnsi="Nirmala UI" w:eastAsia="Nirmala UI" w:cs="Nirmala UI"/>
        </w:rPr>
        <w:t>পীখ্রে।</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মরমসিং</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খংহনখ্রে।</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প্ৰার্থনাসিং</w:t>
      </w:r>
      <w:r>
        <w:rPr>
          <w:rFonts w:ascii="Times New Roman" w:hAnsi="Times New Roman" w:eastAsia="Times New Roman" w:cs="Times New Roman"/>
        </w:rPr>
        <w:t xml:space="preserve"> </w:t>
      </w:r>
      <w:r>
        <w:rPr>
          <w:rFonts w:ascii="Nirmala UI" w:hAnsi="Nirmala UI" w:eastAsia="Nirmala UI" w:cs="Nirmala UI"/>
        </w:rPr>
        <w:t>অদু</w:t>
      </w:r>
      <w:r>
        <w:rPr>
          <w:rFonts w:ascii="Times New Roman" w:hAnsi="Times New Roman" w:eastAsia="Times New Roman" w:cs="Times New Roman"/>
        </w:rPr>
        <w:t xml:space="preserve"> </w:t>
      </w:r>
      <w:r>
        <w:rPr>
          <w:rFonts w:ascii="Nirmala UI" w:hAnsi="Nirmala UI" w:eastAsia="Nirmala UI" w:cs="Nirmala UI"/>
        </w:rPr>
        <w:t>মহাক্না</w:t>
      </w:r>
      <w:r>
        <w:rPr>
          <w:rFonts w:ascii="Times New Roman" w:hAnsi="Times New Roman" w:eastAsia="Times New Roman" w:cs="Times New Roman"/>
        </w:rPr>
        <w:t xml:space="preserve"> </w:t>
      </w:r>
      <w:r>
        <w:rPr>
          <w:rFonts w:ascii="Nirmala UI" w:hAnsi="Nirmala UI" w:eastAsia="Nirmala UI" w:cs="Nirmala UI"/>
        </w:rPr>
        <w:t>তারখ্রে</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অমনা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মচানুপা</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ৱারী</w:t>
      </w:r>
      <w:r>
        <w:rPr>
          <w:rFonts w:ascii="Times New Roman" w:hAnsi="Times New Roman" w:eastAsia="Times New Roman" w:cs="Times New Roman"/>
        </w:rPr>
        <w:t xml:space="preserve"> </w:t>
      </w:r>
      <w:r>
        <w:rPr>
          <w:rFonts w:ascii="Nirmala UI" w:hAnsi="Nirmala UI" w:eastAsia="Nirmala UI" w:cs="Nirmala UI"/>
        </w:rPr>
        <w:t>সান্নবনি</w:t>
      </w:r>
      <w:r>
        <w:rPr>
          <w:rFonts w:ascii="Times New Roman" w:hAnsi="Times New Roman" w:eastAsia="Times New Roman" w:cs="Times New Roman"/>
        </w:rPr>
        <w:t xml:space="preserve"> </w:t>
      </w:r>
      <w:r>
        <w:rPr>
          <w:rFonts w:ascii="Nirmala UI" w:hAnsi="Nirmala UI" w:eastAsia="Nirmala UI" w:cs="Nirmala UI"/>
        </w:rPr>
        <w:t>খুদোল</w:t>
      </w:r>
      <w:r>
        <w:rPr>
          <w:rFonts w:ascii="Times New Roman" w:hAnsi="Times New Roman" w:eastAsia="Times New Roman" w:cs="Times New Roman"/>
        </w:rPr>
        <w:t xml:space="preserve"> </w:t>
      </w:r>
      <w:r>
        <w:rPr>
          <w:rFonts w:ascii="Nirmala UI" w:hAnsi="Nirmala UI" w:eastAsia="Nirmala UI" w:cs="Nirmala UI"/>
        </w:rPr>
        <w:t>মচা</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মখোম</w:t>
      </w:r>
      <w:r>
        <w:rPr>
          <w:rFonts w:ascii="Times New Roman" w:hAnsi="Times New Roman" w:eastAsia="Times New Roman" w:cs="Times New Roman"/>
        </w:rPr>
        <w:t>-</w:t>
      </w:r>
      <w:r>
        <w:rPr>
          <w:rFonts w:ascii="Nirmala UI" w:hAnsi="Nirmala UI" w:eastAsia="Nirmala UI" w:cs="Nirmala UI"/>
        </w:rPr>
        <w:t>মখোমনা</w:t>
      </w:r>
      <w:r>
        <w:rPr>
          <w:rFonts w:ascii="Times New Roman" w:hAnsi="Times New Roman" w:eastAsia="Times New Roman" w:cs="Times New Roman"/>
        </w:rPr>
        <w:t xml:space="preserve"> </w:t>
      </w:r>
      <w:r>
        <w:rPr>
          <w:rFonts w:ascii="Nirmala UI" w:hAnsi="Nirmala UI" w:eastAsia="Nirmala UI" w:cs="Nirmala UI"/>
        </w:rPr>
        <w:t>ৱারী</w:t>
      </w:r>
      <w:r>
        <w:rPr>
          <w:rFonts w:ascii="Times New Roman" w:hAnsi="Times New Roman" w:eastAsia="Times New Roman" w:cs="Times New Roman"/>
        </w:rPr>
        <w:t xml:space="preserve"> </w:t>
      </w:r>
      <w:r>
        <w:rPr>
          <w:rFonts w:ascii="Nirmala UI" w:hAnsi="Nirmala UI" w:eastAsia="Nirmala UI" w:cs="Nirmala UI"/>
        </w:rPr>
        <w:t>সান্নখ্রে।</w:t>
      </w:r>
      <w:r>
        <w:rPr>
          <w:rFonts w:ascii="Times New Roman" w:hAnsi="Times New Roman" w:eastAsia="Times New Roman" w:cs="Times New Roman"/>
        </w:rPr>
        <w:t xml:space="preserve"> </w:t>
      </w:r>
      <w:r>
        <w:rPr>
          <w:rFonts w:ascii="Nirmala UI" w:hAnsi="Nirmala UI" w:eastAsia="Nirmala UI" w:cs="Nirmala UI"/>
        </w:rPr>
        <w:t>মওসেসনা</w:t>
      </w:r>
      <w:r>
        <w:rPr>
          <w:rFonts w:ascii="Times New Roman" w:hAnsi="Times New Roman" w:eastAsia="Times New Roman" w:cs="Times New Roman"/>
        </w:rPr>
        <w:t xml:space="preserve"> </w:t>
      </w:r>
      <w:r>
        <w:rPr>
          <w:rFonts w:ascii="Nirmala UI" w:hAnsi="Nirmala UI" w:eastAsia="Nirmala UI" w:cs="Nirmala UI"/>
        </w:rPr>
        <w:t>ফংখিবা</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মাত্রাদা</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অপরাধতাও</w:t>
      </w:r>
      <w:r>
        <w:rPr>
          <w:rFonts w:ascii="Times New Roman" w:hAnsi="Times New Roman" w:eastAsia="Times New Roman" w:cs="Times New Roman"/>
        </w:rPr>
        <w:t xml:space="preserve"> </w:t>
      </w:r>
      <w:r>
        <w:rPr>
          <w:rFonts w:ascii="Nirmala UI" w:hAnsi="Nirmala UI" w:eastAsia="Nirmala UI" w:cs="Nirmala UI"/>
        </w:rPr>
        <w:t>অদুমক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চানখ্রে।</w:t>
      </w:r>
      <w:r>
        <w:rPr>
          <w:rFonts w:ascii="Times New Roman" w:hAnsi="Times New Roman" w:eastAsia="Times New Roman" w:cs="Times New Roman"/>
        </w:rPr>
        <w:t>”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Satu Ratus Tiga Belas</dc:title>
  <dc:subject>Ukutyhilwa Kokusetyenziswa Kathathu Kwesiprofeto: Ukuqonda Intsingiselo kaSeptemba 11, 2001, Kumxholo WeBhayibhile</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