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Lima Belas</w:t>
      </w:r>
    </w:p>
    <w:p>
      <w:pPr>
        <w:pStyle w:val="ArticleSubtitle"/>
        <w:jc w:val="left"/>
      </w:pPr>
      <w:r>
        <w:rPr>
          <w:rFonts w:ascii="Arial" w:hAnsi="Arial" w:eastAsia="Arial" w:cs="Arial"/>
        </w:rPr>
        <w:t>Menyingkap Ciri-Ciri Kenabian Generasi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Asukulani mwisho cha watu wanaopitwa, zionekana tabia fulani za kiunabii. Ndipo wanakuwa kizazi cha nyoka, kwa maana wamejenga tabia ya Shetani. Wao ni kizazi cha wazinzi, kwa maana wamefanya miungano isiyotakaswa pamoja na adui za Mungu. Wamefikia hatua ambapo wanaona, lakini hawawezi kuelewa; wanasikia, lakini hawawezi kutambua, kwa maana hawajaongoka, jambo ambalo lawakilishwa kuwa mioyo yao imenona. Musa alikuwa wa kwanza kulishughulikia jambo hili lenyewe.</w:t>
      </w:r>
    </w:p>
    <w:p>
      <w:pPr>
        <w:pStyle w:val="ArticleScripture"/>
        <w:jc w:val="left"/>
      </w:pPr>
      <w:r>
        <w:rPr>
          <w:rFonts w:ascii="Times New Roman" w:hAnsi="Times New Roman" w:eastAsia="Times New Roman" w:cs="Times New Roman"/>
        </w:rPr>
        <w:t>Musa memanggil seluruh Israel, lalu berkata kepada mereka, “Kamu telah melihat segala yang dilakukan TUHAN di depan matamu di tanah Mesir terhadap Firaun, terhadap semua pegawainya, dan terhadap seluruh negerinya; yakni pencobaan-pencobaan yang besar yang telah dilihat oleh matamu, tanda-tanda itu, dan mukjizat-mukjizat yang besar itu. Tetapi sampai hari ini TUHAN belum memberikan kepadamu hati untuk memahami, mata untuk melihat, dan telinga untuk mendengar.” Ulangan 29:2–4.</w:t>
      </w:r>
    </w:p>
    <w:p>
      <w:pPr>
        <w:pStyle w:val="ArticleBody"/>
        <w:jc w:val="left"/>
      </w:pPr>
      <w:r>
        <w:rPr>
          <w:rFonts w:ascii="Times New Roman" w:hAnsi="Times New Roman" w:eastAsia="Times New Roman" w:cs="Times New Roman"/>
        </w:rPr>
        <w:t>Pada sebutan pertama tentang fenomena melihat dan mendengar di Laodikia, perkara yang umat Allah tidak dapat lihat ialah tanda-tanda dan keajaiban sejarah asas mereka. Yeremia mengenal pasti fenomena itu sebagai suatu sifat “anak dara yang bodoh,” pada akhir zaman, dan sebagai gambaran penolakan anak dara yang bodoh terhadap pekabaran tiga malaikat, yang bermula dengan pengumuman malaikat pertama supaya takut akan Allah Pencipta. Oleh sebab pemberontakan ini mereka tidak menerima hujan akhir.</w:t>
      </w:r>
    </w:p>
    <w:p>
      <w:pPr>
        <w:pStyle w:val="ArticleScripture"/>
        <w:jc w:val="left"/>
      </w:pPr>
      <w:r>
        <w:rPr>
          <w:rFonts w:ascii="Times New Roman" w:hAnsi="Times New Roman" w:eastAsia="Times New Roman" w:cs="Times New Roman"/>
        </w:rPr>
        <w:t>Ɔkasa yi nkae wɔ fie a Yakob mu, na monna no ho dawuru wɔ Yuda, sɛ: Muntie eyi seesei, mo ɔman a moyɛ nkwaseafo na ntease nni mo mu; a mowɔ aniwa, nanso monhu ade; a mowɔ aso, nanso monte ade. Munnsuro me anaa? Awurade na ɔse. Morenhinhim wɔ m’anim anaa, me a mede anwea ayɛ po no hye so hye, denam daa mmara so, sɛ enti ɔrentumi mmu no so? Na sɛ ne asorɔkye no bɔ mogya a, nanso wontumi nni nkonim; na sɛ wɔbobɔ mu a, nanso wontumi ntra mu mma no. Nanso ɔman yi wɔ akoma a atu atua na ɛyɛ asoɔden; wɔatew atua na wɔakɔ. Na wɔnnka wɔn komam sɛ: Momma yensusuw Awurade yɛn Nyankopɔn, ɔno a ɔma osutɔ, nea edi kan ne nea edi akyiri, wɔ ne bere mu; ɔkora mma yɛn otwabere no nnawɔtwe a wɔahyɛ ato hɔ no. Mo amumɔyɛ ama eyinom adan afi ho, na mo bɔne akɔsiw nneɛma pa ano afi mo so. Yeremia 5:20–25.</w:t>
      </w:r>
    </w:p>
    <w:p>
      <w:pPr>
        <w:pStyle w:val="ArticleBody"/>
        <w:jc w:val="left"/>
      </w:pPr>
      <w:r>
        <w:rPr>
          <w:rFonts w:ascii="Nirmala UI" w:hAnsi="Nirmala UI" w:eastAsia="Nirmala UI" w:cs="Nirmala UI"/>
        </w:rPr>
        <w:t>ଏଜିକିଏଲ</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ବୁଝିନଥିବାରେ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ଲକ୍ଷଣଗୁଡ଼ିକ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ଭିତ୍ତିର</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ଦେଖିବେ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କନ୍ୟାମାନେ</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ଅପରିବର୍ତ୍ତିତ</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ସମସ୍ତଙ୍କୁ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ଆପଣ</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ସନ୍ଦେଶକୁ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କରିନାହାନ୍ତି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ଆପଣ</w:t>
      </w:r>
      <w:r>
        <w:rPr>
          <w:rFonts w:ascii="Times New Roman" w:hAnsi="Times New Roman" w:eastAsia="Times New Roman" w:cs="Times New Roman"/>
        </w:rPr>
        <w:t xml:space="preserve"> </w:t>
      </w:r>
      <w:r>
        <w:rPr>
          <w:rFonts w:ascii="Nirmala UI" w:hAnsi="Nirmala UI" w:eastAsia="Nirmala UI" w:cs="Nirmala UI"/>
        </w:rPr>
        <w:t>ଦ୍ୱିତୀୟକୁ</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ତୃତୀୟକୁ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କରିପାରିବେ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ଅବସ୍ଥାରେ</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କନ୍ୟାମାନଙ୍କଠାରୁ</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ରଖାଯାଏ।</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ବର୍ଣ୍ଣନାରେ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ଲକ୍ଷଣକୁ</w:t>
      </w:r>
      <w:r>
        <w:rPr>
          <w:rFonts w:ascii="Times New Roman" w:hAnsi="Times New Roman" w:eastAsia="Times New Roman" w:cs="Times New Roman"/>
        </w:rPr>
        <w:t xml:space="preserve"> </w:t>
      </w:r>
      <w:r>
        <w:rPr>
          <w:rFonts w:ascii="Nirmala UI" w:hAnsi="Nirmala UI" w:eastAsia="Nirmala UI" w:cs="Nirmala UI"/>
        </w:rPr>
        <w:t>ସମ୍ବୋଧନ</w:t>
      </w:r>
      <w:r>
        <w:rPr>
          <w:rFonts w:ascii="Times New Roman" w:hAnsi="Times New Roman" w:eastAsia="Times New Roman" w:cs="Times New Roman"/>
        </w:rPr>
        <w:t xml:space="preserve"> </w:t>
      </w:r>
      <w:r>
        <w:rPr>
          <w:rFonts w:ascii="Nirmala UI" w:hAnsi="Nirmala UI" w:eastAsia="Nirmala UI" w:cs="Nirmala UI"/>
        </w:rPr>
        <w:t>କରିସାରିବା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ତାପରେ</w:t>
      </w:r>
      <w:r>
        <w:rPr>
          <w:rFonts w:ascii="Times New Roman" w:hAnsi="Times New Roman" w:eastAsia="Times New Roman" w:cs="Times New Roman"/>
        </w:rPr>
        <w:t xml:space="preserve"> </w:t>
      </w:r>
      <w:r>
        <w:rPr>
          <w:rFonts w:ascii="Nirmala UI" w:hAnsi="Nirmala UI" w:eastAsia="Nirmala UI" w:cs="Nirmala UI"/>
        </w:rPr>
        <w:t>ବୀଜ</w:t>
      </w:r>
      <w:r>
        <w:rPr>
          <w:rFonts w:ascii="Times New Roman" w:hAnsi="Times New Roman" w:eastAsia="Times New Roman" w:cs="Times New Roman"/>
        </w:rPr>
        <w:t xml:space="preserve"> </w:t>
      </w:r>
      <w:r>
        <w:rPr>
          <w:rFonts w:ascii="Nirmala UI" w:hAnsi="Nirmala UI" w:eastAsia="Nirmala UI" w:cs="Nirmala UI"/>
        </w:rPr>
        <w:t>ବପନକାରୀଙ୍କ</w:t>
      </w:r>
      <w:r>
        <w:rPr>
          <w:rFonts w:ascii="Times New Roman" w:hAnsi="Times New Roman" w:eastAsia="Times New Roman" w:cs="Times New Roman"/>
        </w:rPr>
        <w:t xml:space="preserve"> </w:t>
      </w:r>
      <w:r>
        <w:rPr>
          <w:rFonts w:ascii="Nirmala UI" w:hAnsi="Nirmala UI" w:eastAsia="Nirmala UI" w:cs="Nirmala UI"/>
        </w:rPr>
        <w:t>ଦୃଷ୍ଟାନ୍ତ</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ଅଗ୍ରସର</w:t>
      </w:r>
      <w:r>
        <w:rPr>
          <w:rFonts w:ascii="Times New Roman" w:hAnsi="Times New Roman" w:eastAsia="Times New Roman" w:cs="Times New Roman"/>
        </w:rPr>
        <w:t xml:space="preserve"> </w:t>
      </w:r>
      <w:r>
        <w:rPr>
          <w:rFonts w:ascii="Nirmala UI" w:hAnsi="Nirmala UI" w:eastAsia="Nirmala UI" w:cs="Nirmala UI"/>
        </w:rPr>
        <w:t>ହେଲେ।</w:t>
      </w:r>
    </w:p>
    <w:p>
      <w:pPr>
        <w:pStyle w:val="ArticleScripture"/>
        <w:jc w:val="left"/>
      </w:pPr>
      <w:r>
        <w:rPr>
          <w:rFonts w:ascii="Times New Roman" w:hAnsi="Times New Roman" w:eastAsia="Times New Roman" w:cs="Times New Roman"/>
        </w:rPr>
        <w:t>Но блажени се вашите очи, зашто гледаат; и вашите уши, зашто слушаат. Зашто, вистина ви велам, дека мнозина пророци и праведници посакаа да го видат она што вие го гледате, и не го видоа; и да го чујат она што вие го слушате, и не го чуја. Затоа, чујте ја параболата за сејачот. Кога некој го слуша словото за царството и не го разбира, тогаш доаѓа лукавиот и го грабнува она што е посеано во неговото срце. Тој е оној кај кого семето беше посеано покрај патот. А оној кај кого семето беше посеано на каменливи места, тоа е оној што го слуша словото и веднаш со радост го прима; но нема корен во себе, туку е непостојан: зашто, кога ќе настане неволја или гонење поради словото, веднаш се соблазнува. А оној кај кого семето беше посеано меѓу трње, тоа е оној што го слуша словото; но грижата за овој свет и измамливоста на богатството го задушуваат словото, и тој останува без плод. Но оној кај кого семето беше посеано на добра земја, тоа е оној што го слуша словото и го разбира; кој и плод дава и принесува: еден сто, друг шеесет, а друг триесет пати. Друга парабола им изнесе, велејќи: Царството небесно прилега на човек што посеал добро семе во својата нива; но додека луѓето спиеја, дојде неговиот непријател, насее какол меѓу пченицата и си отиде. А кога никна стеблото и донесе плод, тогаш се покажа и каколот. И слугите на домаќинот дојдоа и му рекоа: Господару, не посеа ли добро семе на својата нива? Од каде тогаш има какол? А тој им рече: Непријател човек го направи тоа. Тогаш слугите му рекоа: Сакаш ли, пак, да одиме и да го собереме? Но тој рече: Не, за да не се случи, собирајќи го каколот, да ја искорнете со него и пченицата. Оставете нека растат заедно до жетвата; а во време на жетвата ќе им речам на жетварите: соберете го најнапред каколот и врзете го во снопови за да се изгори; а пченицата соберете ја во мојата житница. Матеј 13:16–30.</w:t>
      </w:r>
    </w:p>
    <w:p>
      <w:pPr>
        <w:pStyle w:val="ArticleBody"/>
        <w:jc w:val="left"/>
      </w:pPr>
      <w:r>
        <w:rPr>
          <w:rFonts w:ascii="Times New Roman" w:hAnsi="Times New Roman" w:eastAsia="Times New Roman" w:cs="Times New Roman"/>
        </w:rPr>
        <w:t>Ba ba se nang kelello ke mofoka, ’me ba bohlale ke koro. Papisong ea baroetsana ba leshome, ho ba le oli ke hona ho bonahatsang phapang pakeng tsa lihlopha tse peli; ’me tabeng ea koro le mofoka, sena se itšetlehile ka hore na peō, e leng lentsoe, ea utloisisoa kapa che. Polelo ea pele ea Moshe mabapi le sehlopha se ke keng sa bona, ka hona sa utloisisa, e beha molaetsa o lokelang ho utloisisoa e le lipontšo le limakatso tsa histori ea motheo. Tšupiso ea ho qetela ea boprofeta mabapi le likarolo tsa bofofu ba ntlo e marabele, e fanoeng ke Ellen White, e supa hore mahlo a ileng a hlohonolofatsoa hore a bone seo banna bohle ba lokileng ba neng ba lakatsa ho se bona e ne e le histori ea motsamao oa Bamillerite.</w:t>
      </w:r>
    </w:p>
    <w:p>
      <w:pPr>
        <w:pStyle w:val="ArticleScripture"/>
        <w:jc w:val="left"/>
      </w:pPr>
      <w:r>
        <w:rPr>
          <w:rFonts w:ascii="Times New Roman" w:hAnsi="Times New Roman" w:eastAsia="Times New Roman" w:cs="Times New Roman"/>
        </w:rPr>
        <w:t>“Сан 1840–1844 онд өгөгдсөн бүх мэдээнүүдийг одоо хүчтэйгээр тунхаглах ёстой. Учир нь зам чигээ алдсан хүмүүс олон байна. Эдгээр мэдээнүүд бүх чуулганд хүрэх ёстой.</w:t>
      </w:r>
    </w:p>
    <w:p>
      <w:pPr>
        <w:pStyle w:val="ArticleScripture"/>
        <w:jc w:val="left"/>
      </w:pPr>
      <w:r>
        <w:rPr>
          <w:rFonts w:ascii="Times New Roman" w:hAnsi="Times New Roman" w:eastAsia="Times New Roman" w:cs="Times New Roman"/>
        </w:rPr>
        <w:t>“</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පැවසූ</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බැවින්ද</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බැවින්ද</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ආශීර්වාදලත්ය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සැබැවින්ම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කියමි</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දකින්නට</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අනාගතවක්තෘවරුන්ද</w:t>
      </w:r>
      <w:r>
        <w:rPr>
          <w:rFonts w:ascii="Times New Roman" w:hAnsi="Times New Roman" w:eastAsia="Times New Roman" w:cs="Times New Roman"/>
        </w:rPr>
        <w:t xml:space="preserve"> </w:t>
      </w:r>
      <w:r>
        <w:rPr>
          <w:rFonts w:ascii="Nirmala UI" w:hAnsi="Nirmala UI" w:eastAsia="Nirmala UI" w:cs="Nirmala UI"/>
        </w:rPr>
        <w:t>ධර්මිෂ්ඨ</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යයන්ද</w:t>
      </w:r>
      <w:r>
        <w:rPr>
          <w:rFonts w:ascii="Times New Roman" w:hAnsi="Times New Roman" w:eastAsia="Times New Roman" w:cs="Times New Roman"/>
        </w:rPr>
        <w:t xml:space="preserve"> </w:t>
      </w:r>
      <w:r>
        <w:rPr>
          <w:rFonts w:ascii="Nirmala UI" w:hAnsi="Nirmala UI" w:eastAsia="Nirmala UI" w:cs="Nirmala UI"/>
        </w:rPr>
        <w:t>ආශා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අසන්නටද</w:t>
      </w:r>
      <w:r>
        <w:rPr>
          <w:rFonts w:ascii="Times New Roman" w:hAnsi="Times New Roman" w:eastAsia="Times New Roman" w:cs="Times New Roman"/>
        </w:rPr>
        <w:t xml:space="preserve"> </w:t>
      </w:r>
      <w:r>
        <w:rPr>
          <w:rFonts w:ascii="Nirmala UI" w:hAnsi="Nirmala UI" w:eastAsia="Nirmala UI" w:cs="Nirmala UI"/>
        </w:rPr>
        <w:t>ආශා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අසා</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[Matthew 13:16, 17]. 1843 </w:t>
      </w:r>
      <w:r>
        <w:rPr>
          <w:rFonts w:ascii="Nirmala UI" w:hAnsi="Nirmala UI" w:eastAsia="Nirmala UI" w:cs="Nirmala UI"/>
        </w:rPr>
        <w:t>සහ</w:t>
      </w:r>
      <w:r>
        <w:rPr>
          <w:rFonts w:ascii="Times New Roman" w:hAnsi="Times New Roman" w:eastAsia="Times New Roman" w:cs="Times New Roman"/>
        </w:rPr>
        <w:t xml:space="preserve"> 1844 </w:t>
      </w:r>
      <w:r>
        <w:rPr>
          <w:rFonts w:ascii="Nirmala UI" w:hAnsi="Nirmala UI" w:eastAsia="Nirmala UI" w:cs="Nirmala UI"/>
        </w:rPr>
        <w:t>වර්ෂවල</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දුටු</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ආශීර්වාදලත්ය</w:t>
      </w:r>
      <w:r>
        <w:rPr>
          <w:rFonts w:ascii="Times New Roman" w:hAnsi="Times New Roman" w:eastAsia="Times New Roman" w:cs="Times New Roman"/>
        </w:rPr>
        <w:t>.” Manuscript Releases, volume 21, 436, 437.</w:t>
      </w:r>
    </w:p>
    <w:p>
      <w:pPr>
        <w:pStyle w:val="ArticleBody"/>
        <w:jc w:val="left"/>
      </w:pPr>
      <w:r>
        <w:rPr>
          <w:rFonts w:ascii="Times New Roman" w:hAnsi="Times New Roman" w:eastAsia="Times New Roman" w:cs="Times New Roman"/>
        </w:rPr>
        <w:t xml:space="preserve">Jesus </w:t>
      </w:r>
      <w:r>
        <w:rPr>
          <w:rFonts w:ascii="Nirmala UI" w:hAnsi="Nirmala UI" w:eastAsia="Nirmala UI" w:cs="Nirmala UI"/>
        </w:rPr>
        <w:t>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ਹਮੇਸ਼ਾ</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ਹਵਾਲਾ</w:t>
      </w:r>
      <w:r>
        <w:rPr>
          <w:rFonts w:ascii="Times New Roman" w:hAnsi="Times New Roman" w:eastAsia="Times New Roman" w:cs="Times New Roman"/>
        </w:rPr>
        <w:t>—</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ਹਵਾਲਾ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ਬਾਗ਼ੀ</w:t>
      </w:r>
      <w:r>
        <w:rPr>
          <w:rFonts w:ascii="Times New Roman" w:hAnsi="Times New Roman" w:eastAsia="Times New Roman" w:cs="Times New Roman"/>
        </w:rPr>
        <w:t xml:space="preserve"> </w:t>
      </w:r>
      <w:r>
        <w:rPr>
          <w:rFonts w:ascii="Nirmala UI" w:hAnsi="Nirmala UI" w:eastAsia="Nirmala UI" w:cs="Nirmala UI"/>
        </w:rPr>
        <w:t>ਘਰਾਣੇ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ਮੂਲਭੂਤ</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1840–1844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ਗੁਲਾਮੀ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ਛੁਟਕਾਰੇ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ਪ੍ਰਾਰੰਭਿਕ</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ਅਸਫਲਤਾ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ਆਈ</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ਜਾਸੂਸਾਂ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ਰਿਪੋਰਟ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ਸਰਦਾਰ</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ਕਾਦੇਸ਼</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ਚੱਟਾਨ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ਅਸਫਲ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p>
    <w:p>
      <w:pPr>
        <w:pStyle w:val="ArticleBody"/>
        <w:jc w:val="left"/>
      </w:pPr>
      <w:r>
        <w:rPr>
          <w:rFonts w:ascii="Times New Roman" w:hAnsi="Times New Roman" w:eastAsia="Times New Roman" w:cs="Times New Roman"/>
        </w:rPr>
        <w:t>Le hoja Moshe a ile a hloleha, Joshua o ile a tsoela pele ho ba etella pele ho kena Naheng e Tšepisitsoeng. Teko ea ho qetela Kadeshe e ne e amahane le bofetoheli bo boholo, hobane Jesu kamehla o bontša qetello ka tšimoloho, ’me bofetoheli ba lihloela tse leshome Kadeshe qalong ea lilemo tse mashome a mane, hammoho le qetellong ea lilemo tse mashome a mane, bo boetse bo bontša bofetoheli bo boholo Kadeshe. Leha ho le joalo, ho sa tsotellehe bofetoheli ba Moshe Kadeshe, pono ea ho kena Naheng e Tšepisitsoeng e ne e se e sa hlola e liehisoa.</w:t>
      </w:r>
    </w:p>
    <w:p>
      <w:pPr>
        <w:pStyle w:val="ArticleBody"/>
        <w:jc w:val="left"/>
      </w:pPr>
      <w:r>
        <w:rPr>
          <w:rFonts w:ascii="Malgun Gothic" w:hAnsi="Malgun Gothic" w:eastAsia="Malgun Gothic" w:cs="Malgun Gothic"/>
        </w:rPr>
        <w:t>남북전쟁의</w:t>
      </w:r>
      <w:r>
        <w:rPr>
          <w:rFonts w:ascii="Times New Roman" w:hAnsi="Times New Roman" w:eastAsia="Times New Roman" w:cs="Times New Roman"/>
        </w:rPr>
        <w:t xml:space="preserve"> </w:t>
      </w:r>
      <w:r>
        <w:rPr>
          <w:rFonts w:ascii="Malgun Gothic" w:hAnsi="Malgun Gothic" w:eastAsia="Malgun Gothic" w:cs="Malgun Gothic"/>
        </w:rPr>
        <w:t>와중이던</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xml:space="preserve"> 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심화된</w:t>
      </w:r>
      <w:r>
        <w:rPr>
          <w:rFonts w:ascii="Times New Roman" w:hAnsi="Times New Roman" w:eastAsia="Times New Roman" w:cs="Times New Roman"/>
        </w:rPr>
        <w:t xml:space="preserve"> </w:t>
      </w:r>
      <w:r>
        <w:rPr>
          <w:rFonts w:ascii="Malgun Gothic" w:hAnsi="Malgun Gothic" w:eastAsia="Malgun Gothic" w:cs="Malgun Gothic"/>
        </w:rPr>
        <w:t>반역으로</w:t>
      </w:r>
      <w:r>
        <w:rPr>
          <w:rFonts w:ascii="Times New Roman" w:hAnsi="Times New Roman" w:eastAsia="Times New Roman" w:cs="Times New Roman"/>
        </w:rPr>
        <w:t xml:space="preserve"> </w:t>
      </w:r>
      <w:r>
        <w:rPr>
          <w:rFonts w:ascii="Malgun Gothic" w:hAnsi="Malgun Gothic" w:eastAsia="Malgun Gothic" w:cs="Malgun Gothic"/>
        </w:rPr>
        <w:t>이어졌고</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1919</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증대된</w:t>
      </w:r>
      <w:r>
        <w:rPr>
          <w:rFonts w:ascii="Times New Roman" w:hAnsi="Times New Roman" w:eastAsia="Times New Roman" w:cs="Times New Roman"/>
        </w:rPr>
        <w:t xml:space="preserve"> </w:t>
      </w:r>
      <w:r>
        <w:rPr>
          <w:rFonts w:ascii="Malgun Gothic" w:hAnsi="Malgun Gothic" w:eastAsia="Malgun Gothic" w:cs="Malgun Gothic"/>
        </w:rPr>
        <w:t>반역으로</w:t>
      </w:r>
      <w:r>
        <w:rPr>
          <w:rFonts w:ascii="Times New Roman" w:hAnsi="Times New Roman" w:eastAsia="Times New Roman" w:cs="Times New Roman"/>
        </w:rPr>
        <w:t xml:space="preserve"> </w:t>
      </w:r>
      <w:r>
        <w:rPr>
          <w:rFonts w:ascii="Malgun Gothic" w:hAnsi="Malgun Gothic" w:eastAsia="Malgun Gothic" w:cs="Malgun Gothic"/>
        </w:rPr>
        <w:t>이어져</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1957</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반역에서</w:t>
      </w:r>
      <w:r>
        <w:rPr>
          <w:rFonts w:ascii="Times New Roman" w:hAnsi="Times New Roman" w:eastAsia="Times New Roman" w:cs="Times New Roman"/>
        </w:rPr>
        <w:t xml:space="preserve"> </w:t>
      </w:r>
      <w:r>
        <w:rPr>
          <w:rFonts w:ascii="Malgun Gothic" w:hAnsi="Malgun Gothic" w:eastAsia="Malgun Gothic" w:cs="Malgun Gothic"/>
        </w:rPr>
        <w:t>절정에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재림교를</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가데스로</w:t>
      </w:r>
      <w:r>
        <w:rPr>
          <w:rFonts w:ascii="Times New Roman" w:hAnsi="Times New Roman" w:eastAsia="Times New Roman" w:cs="Times New Roman"/>
        </w:rPr>
        <w:t xml:space="preserve"> </w:t>
      </w:r>
      <w:r>
        <w:rPr>
          <w:rFonts w:ascii="Malgun Gothic" w:hAnsi="Malgun Gothic" w:eastAsia="Malgun Gothic" w:cs="Malgun Gothic"/>
        </w:rPr>
        <w:t>데려오셨다</w:t>
      </w:r>
      <w:r>
        <w:rPr>
          <w:rFonts w:ascii="Times New Roman" w:hAnsi="Times New Roman" w:eastAsia="Times New Roman" w:cs="Times New Roman"/>
        </w:rPr>
        <w:t xml:space="preserve">. </w:t>
      </w:r>
      <w:r>
        <w:rPr>
          <w:rFonts w:ascii="Malgun Gothic" w:hAnsi="Malgun Gothic" w:eastAsia="Malgun Gothic" w:cs="Malgun Gothic"/>
        </w:rPr>
        <w:t>그분은</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도래하여</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시작하였고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과정이</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반역과</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광야의</w:t>
      </w:r>
      <w:r>
        <w:rPr>
          <w:rFonts w:ascii="Times New Roman" w:hAnsi="Times New Roman" w:eastAsia="Times New Roman" w:cs="Times New Roman"/>
        </w:rPr>
        <w:t xml:space="preserve"> </w:t>
      </w:r>
      <w:r>
        <w:rPr>
          <w:rFonts w:ascii="Malgun Gothic" w:hAnsi="Malgun Gothic" w:eastAsia="Malgun Gothic" w:cs="Malgun Gothic"/>
        </w:rPr>
        <w:t>방황이라는</w:t>
      </w:r>
      <w:r>
        <w:rPr>
          <w:rFonts w:ascii="Times New Roman" w:hAnsi="Times New Roman" w:eastAsia="Times New Roman" w:cs="Times New Roman"/>
        </w:rPr>
        <w:t xml:space="preserve"> </w:t>
      </w:r>
      <w:r>
        <w:rPr>
          <w:rFonts w:ascii="Malgun Gothic" w:hAnsi="Malgun Gothic" w:eastAsia="Malgun Gothic" w:cs="Malgun Gothic"/>
        </w:rPr>
        <w:t>추방으로</w:t>
      </w:r>
      <w:r>
        <w:rPr>
          <w:rFonts w:ascii="Times New Roman" w:hAnsi="Times New Roman" w:eastAsia="Times New Roman" w:cs="Times New Roman"/>
        </w:rPr>
        <w:t xml:space="preserve"> </w:t>
      </w:r>
      <w:r>
        <w:rPr>
          <w:rFonts w:ascii="Malgun Gothic" w:hAnsi="Malgun Gothic" w:eastAsia="Malgun Gothic" w:cs="Malgun Gothic"/>
        </w:rPr>
        <w:t>나타났던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데려오셨다</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계시록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힘센</w:t>
      </w:r>
      <w:r>
        <w:rPr>
          <w:rFonts w:ascii="Times New Roman" w:hAnsi="Times New Roman" w:eastAsia="Times New Roman" w:cs="Times New Roman"/>
        </w:rPr>
        <w:t xml:space="preserve"> </w:t>
      </w:r>
      <w:r>
        <w:rPr>
          <w:rFonts w:ascii="Malgun Gothic" w:hAnsi="Malgun Gothic" w:eastAsia="Malgun Gothic" w:cs="Malgun Gothic"/>
        </w:rPr>
        <w:t>천사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내려왔던</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재림교의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속으로</w:t>
      </w:r>
      <w:r>
        <w:rPr>
          <w:rFonts w:ascii="Times New Roman" w:hAnsi="Times New Roman" w:eastAsia="Times New Roman" w:cs="Times New Roman"/>
        </w:rPr>
        <w:t xml:space="preserve"> </w:t>
      </w:r>
      <w:r>
        <w:rPr>
          <w:rFonts w:ascii="Malgun Gothic" w:hAnsi="Malgun Gothic" w:eastAsia="Malgun Gothic" w:cs="Malgun Gothic"/>
        </w:rPr>
        <w:t>들어왔다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바벨론이</w:t>
      </w:r>
      <w:r>
        <w:rPr>
          <w:rFonts w:ascii="Times New Roman" w:hAnsi="Times New Roman" w:eastAsia="Times New Roman" w:cs="Times New Roman"/>
        </w:rPr>
        <w:t xml:space="preserve"> </w:t>
      </w:r>
      <w:r>
        <w:rPr>
          <w:rFonts w:ascii="Malgun Gothic" w:hAnsi="Malgun Gothic" w:eastAsia="Malgun Gothic" w:cs="Malgun Gothic"/>
        </w:rPr>
        <w:t>무너졌다고</w:t>
      </w:r>
      <w:r>
        <w:rPr>
          <w:rFonts w:ascii="Times New Roman" w:hAnsi="Times New Roman" w:eastAsia="Times New Roman" w:cs="Times New Roman"/>
        </w:rPr>
        <w:t xml:space="preserve"> </w:t>
      </w:r>
      <w:r>
        <w:rPr>
          <w:rFonts w:ascii="Malgun Gothic" w:hAnsi="Malgun Gothic" w:eastAsia="Malgun Gothic" w:cs="Malgun Gothic"/>
        </w:rPr>
        <w:t>선포하였는데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뉴욕시의</w:t>
      </w:r>
      <w:r>
        <w:rPr>
          <w:rFonts w:ascii="Times New Roman" w:hAnsi="Times New Roman" w:eastAsia="Times New Roman" w:cs="Times New Roman"/>
        </w:rPr>
        <w:t xml:space="preserve"> </w:t>
      </w:r>
      <w:r>
        <w:rPr>
          <w:rFonts w:ascii="Malgun Gothic" w:hAnsi="Malgun Gothic" w:eastAsia="Malgun Gothic" w:cs="Malgun Gothic"/>
        </w:rPr>
        <w:t>쌍둥이</w:t>
      </w:r>
      <w:r>
        <w:rPr>
          <w:rFonts w:ascii="Times New Roman" w:hAnsi="Times New Roman" w:eastAsia="Times New Roman" w:cs="Times New Roman"/>
        </w:rPr>
        <w:t xml:space="preserve"> </w:t>
      </w:r>
      <w:r>
        <w:rPr>
          <w:rFonts w:ascii="Malgun Gothic" w:hAnsi="Malgun Gothic" w:eastAsia="Malgun Gothic" w:cs="Malgun Gothic"/>
        </w:rPr>
        <w:t>빌딩들이</w:t>
      </w:r>
      <w:r>
        <w:rPr>
          <w:rFonts w:ascii="Times New Roman" w:hAnsi="Times New Roman" w:eastAsia="Times New Roman" w:cs="Times New Roman"/>
        </w:rPr>
        <w:t xml:space="preserve"> </w:t>
      </w:r>
      <w:r>
        <w:rPr>
          <w:rFonts w:ascii="Malgun Gothic" w:hAnsi="Malgun Gothic" w:eastAsia="Malgun Gothic" w:cs="Malgun Gothic"/>
        </w:rPr>
        <w:t>무너져</w:t>
      </w:r>
      <w:r>
        <w:rPr>
          <w:rFonts w:ascii="Times New Roman" w:hAnsi="Times New Roman" w:eastAsia="Times New Roman" w:cs="Times New Roman"/>
        </w:rPr>
        <w:t xml:space="preserve"> </w:t>
      </w:r>
      <w:r>
        <w:rPr>
          <w:rFonts w:ascii="Malgun Gothic" w:hAnsi="Malgun Gothic" w:eastAsia="Malgun Gothic" w:cs="Malgun Gothic"/>
        </w:rPr>
        <w:t>내렸을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니므롯의</w:t>
      </w:r>
      <w:r>
        <w:rPr>
          <w:rFonts w:ascii="Times New Roman" w:hAnsi="Times New Roman" w:eastAsia="Times New Roman" w:cs="Times New Roman"/>
        </w:rPr>
        <w:t xml:space="preserve"> </w:t>
      </w:r>
      <w:r>
        <w:rPr>
          <w:rFonts w:ascii="Malgun Gothic" w:hAnsi="Malgun Gothic" w:eastAsia="Malgun Gothic" w:cs="Malgun Gothic"/>
        </w:rPr>
        <w:t>탑이</w:t>
      </w:r>
      <w:r>
        <w:rPr>
          <w:rFonts w:ascii="Times New Roman" w:hAnsi="Times New Roman" w:eastAsia="Times New Roman" w:cs="Times New Roman"/>
        </w:rPr>
        <w:t xml:space="preserve"> </w:t>
      </w:r>
      <w:r>
        <w:rPr>
          <w:rFonts w:ascii="Malgun Gothic" w:hAnsi="Malgun Gothic" w:eastAsia="Malgun Gothic" w:cs="Malgun Gothic"/>
        </w:rPr>
        <w:t>내던져져</w:t>
      </w:r>
      <w:r>
        <w:rPr>
          <w:rFonts w:ascii="Times New Roman" w:hAnsi="Times New Roman" w:eastAsia="Times New Roman" w:cs="Times New Roman"/>
        </w:rPr>
        <w:t xml:space="preserve"> </w:t>
      </w:r>
      <w:r>
        <w:rPr>
          <w:rFonts w:ascii="Malgun Gothic" w:hAnsi="Malgun Gothic" w:eastAsia="Malgun Gothic" w:cs="Malgun Gothic"/>
        </w:rPr>
        <w:t>무너진</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“Pesej ketigo le malaikato bae no save long hem, mo laet we bae mekem wol i saen wetem glori blong hem, olgeta we oli no wantem wokbaot long glori blong hem we i gohed blong kam antap, bae oli kolem hem wan giaman laet.” Review and Herald, Mei 27, 1890.</w:t>
      </w:r>
    </w:p>
    <w:p>
      <w:pPr>
        <w:pStyle w:val="ArticleBody"/>
        <w:jc w:val="left"/>
      </w:pPr>
      <w:r>
        <w:rPr>
          <w:rFonts w:ascii="Times New Roman" w:hAnsi="Times New Roman" w:eastAsia="Times New Roman" w:cs="Times New Roman"/>
        </w:rPr>
        <w:t>Bo tokololo le Iseraele ya bogologolo, go ntse jalo le ka Iseraele ya segompieno. Kokomana e e boneng Lwetse 11, 2001 ke kokomana ya bofelo. Jesu o ne a bua mo go Luke kgaolo ya masome a mabedi le bongwe gore “kokomana e,” mme O ne a supa kokomana eo e le ba ba tshelang ka nako e legodimo le lefatshe di tlaa feta ka yone, e leng se se diragalang ka Ntlha ya Bobedi. Kokomana eo e e tshelang go bona go boa ga Keresete e tla bo e lemogile sesupo se se ba tlhomamisetsang gore ke bone kokomana ya bofelo. Ba tla itse mme ba tlhaloganye gore ke bone ba ba tshelang ka nako e “phelelo ya tsotlhe tse di bonweng” e seng e sa “diege” go diragala.</w:t>
      </w:r>
    </w:p>
    <w:p>
      <w:pPr>
        <w:pStyle w:val="ArticleBody"/>
        <w:jc w:val="left"/>
      </w:pPr>
      <w:r>
        <w:rPr>
          <w:rFonts w:ascii="Times New Roman" w:hAnsi="Times New Roman" w:eastAsia="Times New Roman" w:cs="Times New Roman"/>
        </w:rPr>
        <w:t>Khi Chúa Giê-su cùng các môn đồ ra khỏi đền thờ, họ hỏi Ngài giải thích điều Ngài muốn nói qua sự mô tả của Ngài về việc hủy diệt đền thờ. Cuộc đối thoại ấy tượng trưng cho cuộc đối thoại mà các môn đồ của Ngài sẽ có trong thế hệ cuối cùng. Các môn đồ mong muốn hiểu điều Ngài có ý nói khi Ngài đã nhiều lần dạy rằng hội thánh Cơ Đốc Phục Lâm Lao-đi-xê sẽ bị quét sạch vào đạo luật ngày Chủ Nhật sắp đến, vì những kẻ thờ phượng trong đó bị mửa ra khỏi miệng Ngài, và không còn là những người thay Ngài phán nói nữa.</w:t>
      </w:r>
    </w:p>
    <w:p>
      <w:pPr>
        <w:pStyle w:val="ArticleBody"/>
        <w:jc w:val="left"/>
      </w:pPr>
      <w:r>
        <w:rPr>
          <w:rFonts w:ascii="Times New Roman" w:hAnsi="Times New Roman" w:eastAsia="Times New Roman" w:cs="Times New Roman"/>
        </w:rPr>
        <w:t>Dalam menjawab para murid, Yesus menggambarkan kehancuran Yerusalem dan sejarah yang menyusul sesudahnya, terus sampai kepada akhir dunia. Setelah menguraikan gambaran sejarah hingga ayat sembilan belas, Ia kemudian menyinggung kehancuran Yerusalem, suatu kehancuran yang dapat saja terjadi pada saat salib, tetapi yang oleh belas kasihan dan kesabaran panjang Allah ditangguhkan selama kira-kira empat puluh tahun. Pada akhir masa empat puluh tahun itu akan ada suatu sisa umat yang luput dari kehancuran tersebut, tetapi hanya jika mereka mengenali tanda yang kemudian Ia berikan.</w:t>
      </w:r>
    </w:p>
    <w:p>
      <w:pPr>
        <w:pStyle w:val="ArticleBody"/>
        <w:jc w:val="left"/>
      </w:pPr>
      <w:r>
        <w:rPr>
          <w:rFonts w:ascii="Times New Roman" w:hAnsi="Times New Roman" w:eastAsia="Times New Roman" w:cs="Times New Roman"/>
        </w:rPr>
        <w:t>Pa tshimologong ya Iseraele ya bogologolo go ne go na le sebaka sa dingwaga di le masome a manê, se se simologileng ka katlholo godimo ga borabele jwa batlhotlhomisi ba ba lesome, e e neng ya busediwa morago ka dingwaga di le masome a manê, ka ntlha ya thapelo ya kgapelo ya ga Moshe. Kwa bokhutlong jwa Iseraele ya bogologolo go ne ga nna le katlholo godimo ga borabele jwa sefapaano e e neng ya busediwa morago ka dingwaga di le masome a manê, ka ntlha ya bopelotelele le kutlwelobotlhoko jwa ga Keresete tse di rapelang. Mo ditiragalong tseo tsotlhe tse pedi go ne go na le masalela a a neng a falola. Jesu ka gale o bontsha bokhutlo jwa sengwe ka tshimologo ya sengwe.</w:t>
      </w:r>
    </w:p>
    <w:p>
      <w:pPr>
        <w:pStyle w:val="ArticleBody"/>
        <w:jc w:val="left"/>
      </w:pPr>
      <w:r>
        <w:rPr>
          <w:rFonts w:ascii="Times New Roman" w:hAnsi="Times New Roman" w:eastAsia="Times New Roman" w:cs="Times New Roman"/>
        </w:rPr>
        <w:t>Yesu naaddress tanda yang berhubung dengan kehancuran Yerusalem dan mengenalpastikannya sebagai “hari-hari pembalasan.”</w:t>
      </w:r>
    </w:p>
    <w:p>
      <w:pPr>
        <w:pStyle w:val="ArticleScripture"/>
        <w:jc w:val="left"/>
      </w:pPr>
      <w:r>
        <w:rPr>
          <w:rFonts w:ascii="Times New Roman" w:hAnsi="Times New Roman" w:eastAsia="Times New Roman" w:cs="Times New Roman"/>
        </w:rPr>
        <w:t>“Мөн та нар Иерусалимыг цэрэг армиар бүслэгдсэнийг харах үед, түүний сүйрэл ойртсоныг мэдэгтүн. Тэгэхэд Иудейд байгаа хүмүүс уулс руу зугтаг; түүний дунд байгаа хүмүүс гарч яв; мөн хөдөө нутагт байгаа хүмүүс тийшээ бүү орог. Учир нь эдгээр нь өшөө авалтын өдрүүд мөн бөгөөд ингэснээр бичигдсэн бүх зүйл биелэх болно.” Лук 21:20–22.</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འཁོན་ལན་གྱི་ཉིན་མོ</w:t>
      </w:r>
      <w:r>
        <w:rPr>
          <w:rFonts w:ascii="Times New Roman" w:hAnsi="Times New Roman" w:eastAsia="Times New Roman" w:cs="Times New Roman"/>
        </w:rPr>
        <w:t xml:space="preserve">” </w:t>
      </w:r>
      <w:r>
        <w:rPr>
          <w:rFonts w:ascii="Microsoft Himalaya" w:hAnsi="Microsoft Himalaya" w:eastAsia="Microsoft Himalaya" w:cs="Microsoft Himalaya"/>
        </w:rPr>
        <w:t>ནི་མཐའ་མའི་ནད་ཡམས་བདུན་ཡིན་ལ།</w:t>
      </w:r>
      <w:r>
        <w:rPr>
          <w:rFonts w:ascii="Times New Roman" w:hAnsi="Times New Roman" w:eastAsia="Times New Roman" w:cs="Times New Roman"/>
        </w:rPr>
        <w:t xml:space="preserve"> </w:t>
      </w:r>
      <w:r>
        <w:rPr>
          <w:rFonts w:ascii="Microsoft Himalaya" w:hAnsi="Microsoft Himalaya" w:eastAsia="Microsoft Himalaya" w:cs="Microsoft Himalaya"/>
        </w:rPr>
        <w:t>དེའི་རྒྱུ་མཚན་གྱིས་སྲིང་མོ་ཝཱའིཊ་ཡིས་ཡེ་རུ་ས་ལེམ་གྱི་འཇིག་པ་དེ་མཐའ་མའི་ཉིན་མོར་དཀོན་མཆོག་གི་བསྒྲུབ་བྱའི་ཁྲིམས་གཅོད་དང་མཉམ་བསྒྲིགས་གནང་ངོ་།</w:t>
      </w:r>
    </w:p>
    <w:p>
      <w:pPr>
        <w:pStyle w:val="ArticleScripture"/>
        <w:jc w:val="left"/>
      </w:pPr>
      <w:r>
        <w:rPr>
          <w:rFonts w:ascii="Times New Roman" w:hAnsi="Times New Roman" w:eastAsia="Times New Roman" w:cs="Times New Roman"/>
        </w:rPr>
        <w:t>Ribâ do·gipinikan, ko·simangkoni; aro knachakrang, knalbo·bo. A·a ra·rikbo, aro uo donggipa pilakkobo; a·gilsakbo, aro unioniko re·bagenchim pilakkobo. Maina Jihovani ka·dongani pilak jatrarangni kosako dongenga, aro uni ka·namgijani uamangni sipai dal·giparangni kosako dongenga: ua uamangko pilakrangko jokatna man·ja gimaatako dakaha, ua uamangko so·otna on·aha. Uamangni sigiminrangba galatako dakgen, aro uamangni be·eni bon·dikki uamangni be·enrangoniko chakatgen, aro a·brirang uamangni an·chion grinanggen. Aro salgio donggipa pilak kotokrang gimaatako dakgen, aro salgirang scroll gita rul·ako dakgen: aro uamangni pilak kotokrang, dramrang biterangoniko ga·akgipa bil gita, aro fig boloniko ga·akgipa fig gita ga·akgen. Maina Angni tari salgio grinangako dakgen: ni·bo, ua Idumeani kosako, aro Angni dursikgipa manderangni kosako bichal ka·na re·bagen. Jihovani tari an·chichi gapataha, ua to·grangchi srukataha, mesrang aro chakolrangni an·chichi, ramrangni kidneyrangni to·grangchi: maina Jihovani Bozrah-o bolianiko dakani donga, aro Idumeani a·songo dal·begipa so·otani donga. Aro unicornrang uamang baksa on·tobagen, aro bulokrang bulrang baksa; aro uamangni a·song an·chichi skanggen, aro uamangni a·songni gitil to·grangchi srukatgen. Maina ian Jihovani vengeance ni sal, aro Zionni matnanganina baljawani bilsir. Isaiah 34:1–8.</w:t>
      </w:r>
    </w:p>
    <w:p>
      <w:pPr>
        <w:pStyle w:val="ArticleBody"/>
        <w:jc w:val="left"/>
      </w:pPr>
      <w:r>
        <w:rPr>
          <w:rFonts w:ascii="Times New Roman" w:hAnsi="Times New Roman" w:eastAsia="Times New Roman" w:cs="Times New Roman"/>
        </w:rPr>
        <w:t>Jisas bin mektaim namba wan pablik toktok bilong Em long Nasaret, na long dispela Em i autim olsem Em yet i Mesaias. Dispela toktok i stap aninit long wok bos bilong profesi long lo bilong fes taim kolim. Ritim Em i makim i soim olsem wok bilong Em i insait long tokaut long “de bilong bekim pe bilong Bikpela.” Em, long tok bilong Aisaia, em tu i stap olsem “yia bilong ol bekim pe bilong hevi bilong Saion.”</w:t>
      </w:r>
    </w:p>
    <w:p>
      <w:pPr>
        <w:pStyle w:val="ArticleBody"/>
        <w:jc w:val="left"/>
      </w:pPr>
      <w:r>
        <w:rPr>
          <w:rFonts w:ascii="Times New Roman" w:hAnsi="Times New Roman" w:eastAsia="Times New Roman" w:cs="Times New Roman"/>
        </w:rPr>
        <w:t>Di Nazaretlah Kristus memulai pelayanan-Nya di hadapan umum dan menyatakan diri-Nya sebagai Mesias. Pada waktu itulah mereka yang mendengar perkataan-Nya, tetapi tidak menangkap maknanya, berusaha membunuh-Nya dengan melemparkan-Nya dari sebuah gunung. Permulaan pelayanan-Nya ditandai oleh usaha penduduk kota asal-Nya untuk membunuh-Nya, dan pada akhir pelayanan-Nya umat-Nya sendiri membunuh-Nya. Pelayanan-Nya adalah untuk menyatakan diri-Nya sebagai Mesias, yang Ia menjadi ketika Ia diurapi pada baptisan-Nya. Pada baptisan-Nya suatu lambang ilahi turun untuk meneguhkan penggenapan nubuatan tentang kedatangan Mesias. Pada 11 Agustus 1840 suatu lambang ilahi turun untuk meneguhkan nubuatan tentang pekabaran pengujian dari sejarah itu. Dan pada 11 September 2001 suatu lambang ilahi turun untuk meneguhkan pekabaran yang telah dinubuatkan dari sejarah itu, yaitu pekabaran hujan akhir.</w:t>
      </w:r>
    </w:p>
    <w:p>
      <w:pPr>
        <w:pStyle w:val="ArticleScripture"/>
        <w:jc w:val="left"/>
      </w:pPr>
      <w:r>
        <w:rPr>
          <w:rFonts w:ascii="Times New Roman" w:hAnsi="Times New Roman" w:eastAsia="Times New Roman" w:cs="Times New Roman"/>
        </w:rPr>
        <w:t>“Setelah bekerja selama dua hari bersama orang-orang Samaria, Yesus meninggalkan mereka untuk melanjutkan perjalanan-Nya ke Galilea. Ia tidak singgah di Nazaret, tempat Ia telah menghabiskan masa muda dan awal kedewasaan-Nya. Sambutan terhadap-Nya di sinagoge di sana, ketika Ia menyatakan diri-Nya sebagai Dia Yang Diurapi, begitu tidak menguntungkan sehingga Ia memutuskan untuk mencari ladang-ladang yang lebih subur, memberitakan kepada telinga yang mau mendengar, dan kepada hati yang akan menerima pekabaran-Nya. Ia menyatakan kepada murid-murid-Nya bahwa seorang nabi tidak mendapat penghormatan di negerinya sendiri. Perkataan ini mengemukakan keengganan yang wajar yang dimiliki banyak orang untuk mengakui perkembangan yang sangat mengagumkan dalam diri seseorang yang telah hidup dengan tanpa menonjolkan diri di tengah-tengah mereka, dan yang telah mereka kenal dengan akrab sejak masa kanak-kanaknya. Pada saat yang sama, orang-orang yang sama ini dapat menjadi sangat bergairah oleh tuntutan-tuntutan seorang asing dan seorang petualang.” The Spirit of Prophecy, volume 2, 151.</w:t>
      </w:r>
    </w:p>
    <w:p>
      <w:pPr>
        <w:pStyle w:val="ArticleBody"/>
        <w:jc w:val="left"/>
      </w:pPr>
      <w:r>
        <w:rPr>
          <w:rFonts w:ascii="Times New Roman" w:hAnsi="Times New Roman" w:eastAsia="Times New Roman" w:cs="Times New Roman"/>
        </w:rPr>
        <w:t>Dalam Lukas pasal dua puluh satu, Kristus mengenal pasti seratus empat puluh empat ribu, iaitu generasi terakhir yang tidak mati. Dia berbuat demikian dengan mengemukakan sejarah yang bermula dengan kunjungan terakhir-Nya ke tempat yang dahulunya ialah rumah Bapa-Nya, tetapi kemudian telah menjadi rumah orang Yahudi. Dalam naratif sejarah yang Yesus mula bentangkan itu, Dia sampai kepada titik ketika Yerusalem, dan bait suci yang ingin diketahui oleh para murid, akan dibinasakan (70 M). Dia mengenal pasti kebinasaan itu sebagai hari-hari pembalasan, yang merupakan sebahagian daripada pengumuman pembukaan pelayanan-Nya. “Hari-hari pembalasan” itu bukan sahaja melambangkan kebinasaan Yerusalem pada tahun 70 M, tetapi juga masa murka Allah sebagaimana dilambangkan dalam tujuh malapetaka terakhir.</w:t>
      </w:r>
    </w:p>
    <w:p>
      <w:pPr>
        <w:pStyle w:val="ArticleScripture"/>
        <w:jc w:val="left"/>
      </w:pPr>
      <w:r>
        <w:rPr>
          <w:rFonts w:ascii="Times New Roman" w:hAnsi="Times New Roman" w:eastAsia="Times New Roman" w:cs="Times New Roman"/>
        </w:rPr>
        <w:t>Dangan ni ari Awgni Gitel gimin sal ong’a, bichal ra∙ani sal, jedakode uamangni bobilrangoni An∙tangko piokna; aro tari cha∙gen, chu∙sokgen, aro uamangni an∙chichi drak ong∙gen: maina Awgni Gitelni Euphrates chi salgisako saliram songo boliko donga. Jeremiah 46:10.</w:t>
      </w:r>
    </w:p>
    <w:p>
      <w:pPr>
        <w:pStyle w:val="ArticleBody"/>
        <w:jc w:val="left"/>
      </w:pPr>
      <w:r>
        <w:rPr>
          <w:rFonts w:ascii="Times New Roman" w:hAnsi="Times New Roman" w:eastAsia="Times New Roman" w:cs="Times New Roman"/>
        </w:rPr>
        <w:t>“Bonoko la boipusoloso” godimo ga Babilone, jo bo emetsweng ke “setlhabelo kwa lefatsheng la bokone fa nokeng ya Euferatese,” bo simolola ka molao wa Tshipi o o tlang ka bonako.</w:t>
      </w:r>
    </w:p>
    <w:p>
      <w:pPr>
        <w:pStyle w:val="ArticleScripture"/>
        <w:jc w:val="left"/>
      </w:pPr>
      <w:r>
        <w:rPr>
          <w:rFonts w:ascii="Times New Roman" w:hAnsi="Times New Roman" w:eastAsia="Times New Roman" w:cs="Times New Roman"/>
        </w:rPr>
        <w:t>Kerana murka TUHAN, negeri itu tidak akan didiami, melainkan akan menjadi sunyi sepi seluruhnya; setiap orang yang lalu di Babel akan tertegun dan mendesis melihat segala tulahnya. Aturkanlah barisan melawan Babel dari sekelilingnya; hai semua yang melentur busur, panahkanlah kepadanya, jangan tahan anak-anak panah, kerana ia telah berdosa terhadap TUHAN. Bersoraklah melawannya dari sekelilingnya; ia telah menyerah diri; asas-asasnya telah runtuh, tembok-temboknya telah dirobohkan; kerana inilah pembalasan TUHAN; balaskanlah terhadapnya; sebagaimana yang telah dilakukannya, demikianlah lakukanlah terhadapnya. Lenyapkanlah penabur dari Babel, dan orang yang memegang sabit pada waktu menuai; kerana takut akan pedang yang menindas, masing-masing akan berpaling kepada bangsanya, dan masing-masing akan melarikan diri ke negerinya sendiri. Israel ialah domba yang tercerai-berai; singa-singa telah menghalaunya; mula-mula raja Asyur telah memakannya, dan akhirnya Nebukadnezar, raja Babel ini, telah mematahkan tulang-tulangnya. Sebab itu beginilah firman TUHAN semesta alam, Allah Israel: Sesungguhnya, Aku akan menghukum raja Babel dan negerinya, sebagaimana Aku telah menghukum raja Asyur. Dan Aku akan membawa Israel kembali ke tempat kediamannya, dan ia akan makan rumput di Karmel dan Basan, dan jiwanya akan dipuaskan di atas gunung Efraim dan Gilead. Pada hari-hari itu, dan pada waktu itu, firman TUHAN, kedurjanaan Israel akan dicari, tetapi tidak ada; dan dosa-dosa Yehuda, tetapi tidak akan ditemukan; kerana Aku akan mengampuni mereka yang Aku sisakan. Majulah melawan negeri Merataim, yakni melawannya, dan melawan penduduk Pekod; musnahkan dan binasakan mereka sama sekali, firman TUHAN, dan lakukanlah menurut segala yang telah Kuperintahkan kepadamu. Bunyi peperangan ada di negeri itu, dan kebinasaan besar. Betapa palu seluruh bumi telah dipatahkan dan dihancurkan! Betapa Babel telah menjadi suatu kebinasaan di antara bangsa-bangsa! Aku telah memasang jerat bagimu, dan engkau pun tertangkap, hai Babel, dan engkau tidak menyedarinya; engkau didapati, dan juga tertangkap, kerana engkau telah berjuang melawan TUHAN. TUHAN telah membuka gudang persenjataan-Nya, dan mengeluarkan senjata-senjata murka-Nya; kerana inilah pekerjaan Tuhan ALLAH semesta alam di negeri orang Kasdim. Datanglah melawannya dari sempadan yang paling jauh, bukalah perbendaharaannya; timbunlah dia seperti timbunan-timbunan, dan binasakanlah dia sama sekali; jangan biarkan sesuatu pun tertinggal daripadanya. Sembelihlah semua lembu jantannya; biarlah mereka turun ke pembantaian; celakalah mereka! kerana hari mereka sudah datang, waktu penghukuman mereka. Suara mereka yang lari dan terlepas dari negeri Babel, untuk memberitakan di Sion pembalasan TUHAN, Allah kita, pembalasan bagi bait-Nya. Himpunkanlah para pemanah melawan Babel: hai semua yang melentur busur, berkemahlah mengelilinginya; jangan biarkan seorang pun daripadanya terlepas; balaskanlah kepadanya menurut perbuatannya; menurut segala yang telah dilakukannya, demikianlah lakukanlah terhadapnya; kerana ia telah berlaku sombong terhadap TUHAN, terhadap Yang Mahakudus, Allah Israel. Yeremia 50:13–29.</w:t>
      </w:r>
    </w:p>
    <w:p>
      <w:pPr>
        <w:pStyle w:val="ArticleBody"/>
        <w:jc w:val="left"/>
      </w:pPr>
      <w:r>
        <w:rPr>
          <w:rFonts w:ascii="Times New Roman" w:hAnsi="Times New Roman" w:eastAsia="Times New Roman" w:cs="Times New Roman"/>
        </w:rPr>
        <w:t>Ka Jerusalema tawh a ni kum 70 AD-ah chuan, chu chu Babylon nula hmeichhia sual tak chungah thuthenna tihhlumna a entîr a, chu thuthenna chu United States-ah hnai taka lo la awm tûr Sunday law atangin a ṭan a ni. Isuan kum 70 AD chu hnai taka lo la awm tûr Sunday law a ni tih a hria, a chhan chu Amaherawh a Thu ziaktu a ni a, Amah chu Thu chu a ni bawk si. Isuan Luka bung 21-a hrilhlâwkna a sawi chhuahna hmun leh hun dinhmun chu kan hriatthiam a pawimawh hle, chutiangin tawpna khawthlang hnuhnûng ber chu a lo thleng tawh tih hriatna chhinchhiahna chu eng nge a nih tih kan hriatthiam theih nân.</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Times New Roman" w:hAnsi="Times New Roman" w:eastAsia="Times New Roman" w:cs="Times New Roman"/>
        </w:rPr>
        <w:t>“ꞌKhrih lo kal ding hi leitung tangthu sung a khim pen khuavak mialna hunah a piang ding hi. Noah leh Lot hunte in Mihing Fapa lo kal masang deu a leitung dinmun a entîr hi. Lai Siangtho in hih hun lam en kawm in, Setan in thiltithei zawng zawng leh ‘dik lohna in mi theihkhelnate zawng zawng tawh’ nasatak in sem ding cihi.” 2 Thessalonians 2:9, 10. A nasepdan chu ni tawp hunte a mialna hong tam zelna, thudik lo tampi, zilselna diklote, leh lampialna tein chiangtak in a kilang hi. Setan in leitung a sal a man bek hilo in, a theihkhelnate chun i Topa Jesu Khrih min puak biakte pawlpi te sungah zong thawnin a dimsak hi. A lian apostasi chu zanlai bang a thuk mialna ah hong khanglian ding hi. Pasian mite tungah chu a haksatna zan, kapna zan, thutak hang a bawlsiatna zan a hi ding hi. Ahihhang hih mialna zan sung panin Pasian khuavak a tangko ding hi.</w:t>
      </w:r>
    </w:p>
    <w:p>
      <w:pPr>
        <w:pStyle w:val="ArticleScripture"/>
        <w:jc w:val="left"/>
      </w:pPr>
      <w:r>
        <w:rPr>
          <w:rFonts w:ascii="Times New Roman" w:hAnsi="Times New Roman" w:eastAsia="Times New Roman" w:cs="Times New Roman"/>
        </w:rPr>
        <w:t>Beliau menyebabkan “terang bercahaya keluar dari kegelapan.” 2 Korintus 4:6. Ketika “bumi belum berbentuk dan kosong; dan gelap gulita menutupi permukaan samudera raya,” “Roh Allah melayang-layang di atas permukaan air. Lalu Allah berfirman: Jadilah terang. Maka terang itu jadi.” Kejadian 1:2, 3. Demikianlah, dalam malam kegelapan rohani, firman Allah tampil, “Jadilah terang.” Kepada umat-Nya Ia berfirman, “Bangkitlah, menjadi teranglah; sebab terangmu datang, dan kemuliaan Tuhan terbit atasmu.” Yesaya 60:1.</w:t>
      </w:r>
    </w:p>
    <w:p>
      <w:pPr>
        <w:pStyle w:val="ArticleScripture"/>
        <w:jc w:val="left"/>
      </w:pPr>
      <w:r>
        <w:rPr>
          <w:rFonts w:ascii="Times New Roman" w:hAnsi="Times New Roman" w:eastAsia="Times New Roman" w:cs="Times New Roman"/>
        </w:rPr>
        <w:t>“‘Lihatlah,’ firman Kitab Suci, ‘kegelapan akan menutupi bumi, dan kekelaman yang pekat akan menutupi bangsa-bangsa; tetapi TUHAN akan terbit atasmu, dan kemuliaan-Nya akan tampak atasmu.’ Ayat 2. Kristus, pancaran kemuliaan Bapa, datang ke dunia sebagai terangnya. Ia datang untuk menyatakan Allah kepada manusia, dan tentang Dia ada tertulis bahwa Ia telah diurapi ‘dengan Roh Kudus dan dengan kuasa,’ dan ‘berjalan berkeliling sambil berbuat baik.’ Kisah Para Rasul 10:38. Di rumah ibadat di Nazaret Ia berkata, ‘Roh Tuhan ada pada-Ku, oleh sebab Ia telah mengurapi Aku untuk memberitakan Injil kepada orang miskin; Ia telah mengutus Aku untuk menyembuhkan orang-orang yang remuk hatinya, untuk memberitakan pembebasan kepada orang-orang tawanan, dan pemulihan penglihatan kepada orang-orang buta, untuk membebaskan orang-orang yang tertindas, untuk memberitakan tahun rahmat Tuhan.’ Lukas 4:18, 19. Inilah pekerjaan yang Ia tugaskan kepada murid-murid-Nya untuk dilakukan. ‘Kamu adalah terang dunia,’ kata-Nya. ‘Demikianlah hendaknya terangmu bercahaya di depan orang, supaya mereka melihat perbuatanmu yang baik dan memuliakan Bapamu yang di sorga.’ Matius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Lima Belas</dc:title>
  <dc:subject>Menyingkap Ciri-Ciri Kenabian Generasi Terakhir</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