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Satu Ratus Dua Puluh</w:t>
      </w:r>
    </w:p>
    <w:p>
      <w:pPr>
        <w:pStyle w:val="ArticleSubtitle"/>
        <w:jc w:val="left"/>
      </w:pPr>
      <w:r>
        <w:rPr>
          <w:rFonts w:ascii="Nirmala UI" w:hAnsi="Nirmala UI" w:eastAsia="Nirmala UI" w:cs="Nirmala UI"/>
        </w:rPr>
        <w:t>ᱵᱟᱭᱵᱮᱞ</w:t>
      </w:r>
      <w:r>
        <w:rPr>
          <w:rFonts w:ascii="Arial" w:hAnsi="Arial" w:eastAsia="Arial" w:cs="Arial"/>
        </w:rPr>
        <w:t xml:space="preserve"> </w:t>
      </w:r>
      <w:r>
        <w:rPr>
          <w:rFonts w:ascii="Nirmala UI" w:hAnsi="Nirmala UI" w:eastAsia="Nirmala UI" w:cs="Nirmala UI"/>
        </w:rPr>
        <w:t>ᱨᱮᱱᱟᱜ</w:t>
      </w:r>
      <w:r>
        <w:rPr>
          <w:rFonts w:ascii="Arial" w:hAnsi="Arial" w:eastAsia="Arial" w:cs="Arial"/>
        </w:rPr>
        <w:t xml:space="preserve"> </w:t>
      </w:r>
      <w:r>
        <w:rPr>
          <w:rFonts w:ascii="Nirmala UI" w:hAnsi="Nirmala UI" w:eastAsia="Nirmala UI" w:cs="Nirmala UI"/>
        </w:rPr>
        <w:t>ᱵᱷᱟᱵᱤᱥᱭᱟᱹᱫᱵᱟᱱᱤᱠᱚ</w:t>
      </w:r>
      <w:r>
        <w:rPr>
          <w:rFonts w:ascii="Arial" w:hAnsi="Arial" w:eastAsia="Arial" w:cs="Arial"/>
        </w:rPr>
        <w:t xml:space="preserve"> </w:t>
      </w:r>
      <w:r>
        <w:rPr>
          <w:rFonts w:ascii="Nirmala UI" w:hAnsi="Nirmala UI" w:eastAsia="Nirmala UI" w:cs="Nirmala UI"/>
        </w:rPr>
        <w:t>ᱞᱮᱠᱟᱛᱮ</w:t>
      </w:r>
      <w:r>
        <w:rPr>
          <w:rFonts w:ascii="Arial" w:hAnsi="Arial" w:eastAsia="Arial" w:cs="Arial"/>
        </w:rPr>
        <w:t xml:space="preserve"> </w:t>
      </w:r>
      <w:r>
        <w:rPr>
          <w:rFonts w:ascii="Nirmala UI" w:hAnsi="Nirmala UI" w:eastAsia="Nirmala UI" w:cs="Nirmala UI"/>
        </w:rPr>
        <w:t>ᱯᱩᱨᱟᱹᱣᱟᱜ</w:t>
      </w:r>
      <w:r>
        <w:rPr>
          <w:rFonts w:ascii="Arial" w:hAnsi="Arial" w:eastAsia="Arial" w:cs="Arial"/>
        </w:rPr>
        <w:t xml:space="preserve"> </w:t>
      </w:r>
      <w:r>
        <w:rPr>
          <w:rFonts w:ascii="Nirmala UI" w:hAnsi="Nirmala UI" w:eastAsia="Nirmala UI" w:cs="Nirmala UI"/>
        </w:rPr>
        <w:t>ᱵᱷᱟᱵᱤᱥᱭᱟᱹᱫ</w:t>
      </w:r>
      <w:r>
        <w:rPr>
          <w:rFonts w:ascii="Arial" w:hAnsi="Arial" w:eastAsia="Arial" w:cs="Arial"/>
        </w:rPr>
        <w:t xml:space="preserve"> </w:t>
      </w:r>
      <w:r>
        <w:rPr>
          <w:rFonts w:ascii="Nirmala UI" w:hAnsi="Nirmala UI" w:eastAsia="Nirmala UI" w:cs="Nirmala UI"/>
        </w:rPr>
        <w:t>ᱪᱤᱱᱦᱟᱹᱠᱚ</w:t>
      </w:r>
      <w:r>
        <w:rPr>
          <w:rFonts w:ascii="Arial" w:hAnsi="Arial" w:eastAsia="Arial" w:cs="Arial"/>
        </w:rPr>
        <w:t xml:space="preserve"> </w:t>
      </w:r>
      <w:r>
        <w:rPr>
          <w:rFonts w:ascii="Nirmala UI" w:hAnsi="Nirmala UI" w:eastAsia="Nirmala UI" w:cs="Nirmala UI"/>
        </w:rPr>
        <w:t>ᱩᱫᱩᱜ</w:t>
      </w:r>
      <w:r>
        <w:rPr>
          <w:rFonts w:ascii="Arial" w:hAnsi="Arial" w:eastAsia="Arial" w:cs="Arial"/>
        </w:rPr>
        <w:t xml:space="preserve">: </w:t>
      </w:r>
      <w:r>
        <w:rPr>
          <w:rFonts w:ascii="Nirmala UI" w:hAnsi="Nirmala UI" w:eastAsia="Nirmala UI" w:cs="Nirmala UI"/>
        </w:rPr>
        <w:t>ᱚᱱᱟᱠᱚᱣᱟᱜ</w:t>
      </w:r>
      <w:r>
        <w:rPr>
          <w:rFonts w:ascii="Arial" w:hAnsi="Arial" w:eastAsia="Arial" w:cs="Arial"/>
        </w:rPr>
        <w:t xml:space="preserve"> </w:t>
      </w:r>
      <w:r>
        <w:rPr>
          <w:rFonts w:ascii="Nirmala UI" w:hAnsi="Nirmala UI" w:eastAsia="Nirmala UI" w:cs="Nirmala UI"/>
        </w:rPr>
        <w:t>ᱵᱩᱡᱷᱟᱹᱣ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Penggenapan tanda-tanda yang dilambangkan oleh matahari, bulan, dan bintang telah dibahas secara memadai oleh para sejarawan, para pelopor Adventisme, dan melalui tulisan-tulisan Sister White. Sebagian dari tanda-tanda yang dibicarakan Yesus tidaklah seakrab tanda-tanda lainnya. Sedikit orang yang menyadari bahwa “kesesakan bangsa-bangsa” di atas “bumi” mempunyai suatu penggenapan yang khusus. Mereka tidak jelas mengenai apa yang dilambangkan oleh guncangan “kuasa-kuasa langit,” berbeda dari guncangan yang melambangkan kuasa-kuasa bumi. Dan sedikit orang Adventis Laodikea yang memahami bahwa “kedatangan” “Anak manusia datang dalam awan” telah digenapi dalam sejarah Millerit.</w:t>
      </w:r>
    </w:p>
    <w:p>
      <w:pPr>
        <w:pStyle w:val="ArticleScripture"/>
        <w:jc w:val="left"/>
      </w:pPr>
      <w:r>
        <w:rPr>
          <w:rFonts w:ascii="Times New Roman" w:hAnsi="Times New Roman" w:eastAsia="Times New Roman" w:cs="Times New Roman"/>
        </w:rPr>
        <w:t>“Lā enna hāngṭang aro somoi Kristoni re·baako rongtaljaaha. Jokatgipa an·chingni sninggiparangna ua an·tangba Uni gnigipa re·baani somoiko ma·sina on·ja ine aganaha. Indioba, Uni re·baani sepangaha ine uamang ma·sina man·genchim ong·aha gita Ua bang·a obostarangko talataha. ‘Chong∙motan chinrang donggen,’ ine Ua aganaha, ‘salongo, jakkalongo, aro salrangon.’ ‘Sala andalgen, aro jakkala an·tangni seng·ani on·jagen, aro salgini salranga ga·akgen.’ A·gilsako, ine Ua aganaha, ‘jatni jatna duk ong·gen, gisik nang·atani baksa; sagal aro chipu rang gritgritgen; a·gilsako re·bagipa obostarangna kenbea gimin manderangni ka·tongrang bilgrikgen.’</w:t>
      </w:r>
    </w:p>
    <w:p>
      <w:pPr>
        <w:pStyle w:val="ArticleScripture"/>
        <w:jc w:val="left"/>
      </w:pPr>
      <w:r>
        <w:rPr>
          <w:rFonts w:ascii="Times New Roman" w:hAnsi="Times New Roman" w:eastAsia="Times New Roman" w:cs="Times New Roman"/>
        </w:rPr>
        <w:t>“‘Nal ba aro ni mandeha avy, Misiʾon Nyiwuk, tua bliwun ing langit mena singkuh kai kemuliaan tua ageng. Mena ni ngutus para malaikat-Ira, sareng swara tarompet tua ageng, sarta para malaikat-Ira ni nglumpukang para pinilih-Ira saking sekadi empat angin, saking tungtung langit sane setunggal ngantos ka sane liu.’”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កិច្ចសម្គាល់ទាំងឡាយក្នុងព្រះអាទិត្យ</w:t>
      </w:r>
      <w:r>
        <w:rPr>
          <w:rFonts w:ascii="Times New Roman" w:hAnsi="Times New Roman" w:eastAsia="Times New Roman" w:cs="Times New Roman"/>
        </w:rPr>
        <w:t xml:space="preserve"> </w:t>
      </w:r>
      <w:r>
        <w:rPr>
          <w:rFonts w:ascii="Leelawadee UI" w:hAnsi="Leelawadee UI" w:eastAsia="Leelawadee UI" w:cs="Leelawadee UI"/>
        </w:rPr>
        <w:t>ព្រះចន្ទ</w:t>
      </w:r>
      <w:r>
        <w:rPr>
          <w:rFonts w:ascii="Times New Roman" w:hAnsi="Times New Roman" w:eastAsia="Times New Roman" w:cs="Times New Roman"/>
        </w:rPr>
        <w:t xml:space="preserve"> </w:t>
      </w:r>
      <w:r>
        <w:rPr>
          <w:rFonts w:ascii="Leelawadee UI" w:hAnsi="Leelawadee UI" w:eastAsia="Leelawadee UI" w:cs="Leelawadee UI"/>
        </w:rPr>
        <w:t>និងផ្កាយទាំងឡាយ</w:t>
      </w:r>
      <w:r>
        <w:rPr>
          <w:rFonts w:ascii="Times New Roman" w:hAnsi="Times New Roman" w:eastAsia="Times New Roman" w:cs="Times New Roman"/>
        </w:rPr>
        <w:t xml:space="preserve"> </w:t>
      </w:r>
      <w:r>
        <w:rPr>
          <w:rFonts w:ascii="Leelawadee UI" w:hAnsi="Leelawadee UI" w:eastAsia="Leelawadee UI" w:cs="Leelawadee UI"/>
        </w:rPr>
        <w:t>បានសម្រេចរួចហើយ។</w:t>
      </w:r>
      <w:r>
        <w:rPr>
          <w:rFonts w:ascii="Times New Roman" w:hAnsi="Times New Roman" w:eastAsia="Times New Roman" w:cs="Times New Roman"/>
        </w:rPr>
        <w:t xml:space="preserve"> </w:t>
      </w:r>
      <w:r>
        <w:rPr>
          <w:rFonts w:ascii="Leelawadee UI" w:hAnsi="Leelawadee UI" w:eastAsia="Leelawadee UI" w:cs="Leelawadee UI"/>
        </w:rPr>
        <w:t>ចាប់តាំងពីពេលនោះមក</w:t>
      </w:r>
      <w:r>
        <w:rPr>
          <w:rFonts w:ascii="Times New Roman" w:hAnsi="Times New Roman" w:eastAsia="Times New Roman" w:cs="Times New Roman"/>
        </w:rPr>
        <w:t xml:space="preserve"> </w:t>
      </w:r>
      <w:r>
        <w:rPr>
          <w:rFonts w:ascii="Leelawadee UI" w:hAnsi="Leelawadee UI" w:eastAsia="Leelawadee UI" w:cs="Leelawadee UI"/>
        </w:rPr>
        <w:t>ការរញ្ជួយផែនដី</w:t>
      </w:r>
      <w:r>
        <w:rPr>
          <w:rFonts w:ascii="Times New Roman" w:hAnsi="Times New Roman" w:eastAsia="Times New Roman" w:cs="Times New Roman"/>
        </w:rPr>
        <w:t xml:space="preserve"> </w:t>
      </w:r>
      <w:r>
        <w:rPr>
          <w:rFonts w:ascii="Leelawadee UI" w:hAnsi="Leelawadee UI" w:eastAsia="Leelawadee UI" w:cs="Leelawadee UI"/>
        </w:rPr>
        <w:t>ព្យុះសង្ឃរា</w:t>
      </w:r>
      <w:r>
        <w:rPr>
          <w:rFonts w:ascii="Times New Roman" w:hAnsi="Times New Roman" w:eastAsia="Times New Roman" w:cs="Times New Roman"/>
        </w:rPr>
        <w:t xml:space="preserve"> </w:t>
      </w:r>
      <w:r>
        <w:rPr>
          <w:rFonts w:ascii="Leelawadee UI" w:hAnsi="Leelawadee UI" w:eastAsia="Leelawadee UI" w:cs="Leelawadee UI"/>
        </w:rPr>
        <w:t>រលកយក្ស</w:t>
      </w:r>
      <w:r>
        <w:rPr>
          <w:rFonts w:ascii="Times New Roman" w:hAnsi="Times New Roman" w:eastAsia="Times New Roman" w:cs="Times New Roman"/>
        </w:rPr>
        <w:t xml:space="preserve"> </w:t>
      </w:r>
      <w:r>
        <w:rPr>
          <w:rFonts w:ascii="Leelawadee UI" w:hAnsi="Leelawadee UI" w:eastAsia="Leelawadee UI" w:cs="Leelawadee UI"/>
        </w:rPr>
        <w:t>ជំងឺរាតត្បាត</w:t>
      </w:r>
      <w:r>
        <w:rPr>
          <w:rFonts w:ascii="Times New Roman" w:hAnsi="Times New Roman" w:eastAsia="Times New Roman" w:cs="Times New Roman"/>
        </w:rPr>
        <w:t xml:space="preserve"> </w:t>
      </w:r>
      <w:r>
        <w:rPr>
          <w:rFonts w:ascii="Leelawadee UI" w:hAnsi="Leelawadee UI" w:eastAsia="Leelawadee UI" w:cs="Leelawadee UI"/>
        </w:rPr>
        <w:t>និងទុរ្ភិក្ស</w:t>
      </w:r>
      <w:r>
        <w:rPr>
          <w:rFonts w:ascii="Times New Roman" w:hAnsi="Times New Roman" w:eastAsia="Times New Roman" w:cs="Times New Roman"/>
        </w:rPr>
        <w:t xml:space="preserve"> </w:t>
      </w:r>
      <w:r>
        <w:rPr>
          <w:rFonts w:ascii="Leelawadee UI" w:hAnsi="Leelawadee UI" w:eastAsia="Leelawadee UI" w:cs="Leelawadee UI"/>
        </w:rPr>
        <w:t>បានកើនឡើងជាច្រើន។</w:t>
      </w:r>
      <w:r>
        <w:rPr>
          <w:rFonts w:ascii="Times New Roman" w:hAnsi="Times New Roman" w:eastAsia="Times New Roman" w:cs="Times New Roman"/>
        </w:rPr>
        <w:t xml:space="preserve"> </w:t>
      </w:r>
      <w:r>
        <w:rPr>
          <w:rFonts w:ascii="Leelawadee UI" w:hAnsi="Leelawadee UI" w:eastAsia="Leelawadee UI" w:cs="Leelawadee UI"/>
        </w:rPr>
        <w:t>ការបំផ្លិចបំផ្លាញដ៏គួរឲ្យខ្លាចបំផុត</w:t>
      </w:r>
      <w:r>
        <w:rPr>
          <w:rFonts w:ascii="Times New Roman" w:hAnsi="Times New Roman" w:eastAsia="Times New Roman" w:cs="Times New Roman"/>
        </w:rPr>
        <w:t xml:space="preserve"> </w:t>
      </w:r>
      <w:r>
        <w:rPr>
          <w:rFonts w:ascii="Leelawadee UI" w:hAnsi="Leelawadee UI" w:eastAsia="Leelawadee UI" w:cs="Leelawadee UI"/>
        </w:rPr>
        <w:t>ដោយអគ្គិភ័យ</w:t>
      </w:r>
      <w:r>
        <w:rPr>
          <w:rFonts w:ascii="Times New Roman" w:hAnsi="Times New Roman" w:eastAsia="Times New Roman" w:cs="Times New Roman"/>
        </w:rPr>
        <w:t xml:space="preserve"> </w:t>
      </w:r>
      <w:r>
        <w:rPr>
          <w:rFonts w:ascii="Leelawadee UI" w:hAnsi="Leelawadee UI" w:eastAsia="Leelawadee UI" w:cs="Leelawadee UI"/>
        </w:rPr>
        <w:t>និងទឹកជំនន់</w:t>
      </w:r>
      <w:r>
        <w:rPr>
          <w:rFonts w:ascii="Times New Roman" w:hAnsi="Times New Roman" w:eastAsia="Times New Roman" w:cs="Times New Roman"/>
        </w:rPr>
        <w:t xml:space="preserve"> </w:t>
      </w:r>
      <w:r>
        <w:rPr>
          <w:rFonts w:ascii="Leelawadee UI" w:hAnsi="Leelawadee UI" w:eastAsia="Leelawadee UI" w:cs="Leelawadee UI"/>
        </w:rPr>
        <w:t>កំពុងកើតតាមគ្នាយ៉ាងឆាប់រហ័ស។</w:t>
      </w:r>
      <w:r>
        <w:rPr>
          <w:rFonts w:ascii="Times New Roman" w:hAnsi="Times New Roman" w:eastAsia="Times New Roman" w:cs="Times New Roman"/>
        </w:rPr>
        <w:t xml:space="preserve"> </w:t>
      </w:r>
      <w:r>
        <w:rPr>
          <w:rFonts w:ascii="Leelawadee UI" w:hAnsi="Leelawadee UI" w:eastAsia="Leelawadee UI" w:cs="Leelawadee UI"/>
        </w:rPr>
        <w:t>គ្រោះមហន្តរាយដ៏គួរឲ្យរន្ធត់ដែលកំពុងកើតឡើងពីមួយសប្ដាហ៍ទៅមួយសប្ដាហ៍</w:t>
      </w:r>
      <w:r>
        <w:rPr>
          <w:rFonts w:ascii="Times New Roman" w:hAnsi="Times New Roman" w:eastAsia="Times New Roman" w:cs="Times New Roman"/>
        </w:rPr>
        <w:t xml:space="preserve"> </w:t>
      </w:r>
      <w:r>
        <w:rPr>
          <w:rFonts w:ascii="Leelawadee UI" w:hAnsi="Leelawadee UI" w:eastAsia="Leelawadee UI" w:cs="Leelawadee UI"/>
        </w:rPr>
        <w:t>កំពុងនិយាយមកកាន់យើងដោយសំឡេងព្រមានដ៏ស្មោះស្ម័គ្រ</w:t>
      </w:r>
      <w:r>
        <w:rPr>
          <w:rFonts w:ascii="Times New Roman" w:hAnsi="Times New Roman" w:eastAsia="Times New Roman" w:cs="Times New Roman"/>
        </w:rPr>
        <w:t xml:space="preserve"> </w:t>
      </w:r>
      <w:r>
        <w:rPr>
          <w:rFonts w:ascii="Leelawadee UI" w:hAnsi="Leelawadee UI" w:eastAsia="Leelawadee UI" w:cs="Leelawadee UI"/>
        </w:rPr>
        <w:t>ដោយប្រកាសថា</w:t>
      </w:r>
      <w:r>
        <w:rPr>
          <w:rFonts w:ascii="Times New Roman" w:hAnsi="Times New Roman" w:eastAsia="Times New Roman" w:cs="Times New Roman"/>
        </w:rPr>
        <w:t xml:space="preserve"> </w:t>
      </w:r>
      <w:r>
        <w:rPr>
          <w:rFonts w:ascii="Leelawadee UI" w:hAnsi="Leelawadee UI" w:eastAsia="Leelawadee UI" w:cs="Leelawadee UI"/>
        </w:rPr>
        <w:t>ទីបញ្ចប់ជិតមកដល់ហើយ</w:t>
      </w:r>
      <w:r>
        <w:rPr>
          <w:rFonts w:ascii="Times New Roman" w:hAnsi="Times New Roman" w:eastAsia="Times New Roman" w:cs="Times New Roman"/>
        </w:rPr>
        <w:t xml:space="preserve"> </w:t>
      </w:r>
      <w:r>
        <w:rPr>
          <w:rFonts w:ascii="Leelawadee UI" w:hAnsi="Leelawadee UI" w:eastAsia="Leelawadee UI" w:cs="Leelawadee UI"/>
        </w:rPr>
        <w:t>ថាអ្វីមួយដ៏ធំ</w:t>
      </w:r>
      <w:r>
        <w:rPr>
          <w:rFonts w:ascii="Times New Roman" w:hAnsi="Times New Roman" w:eastAsia="Times New Roman" w:cs="Times New Roman"/>
        </w:rPr>
        <w:t xml:space="preserve"> </w:t>
      </w:r>
      <w:r>
        <w:rPr>
          <w:rFonts w:ascii="Leelawadee UI" w:hAnsi="Leelawadee UI" w:eastAsia="Leelawadee UI" w:cs="Leelawadee UI"/>
        </w:rPr>
        <w:t>និងសម្រេចចិត្តនឹងត្រូវកើតឡើងក្នុងពេលឆាប់ៗនេះដោយចាំបាច់។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“Waktu percobaan tidak akan berlangsung lebih lama lagi. Sekarang Allah sedang menarik tangan-Nya yang menahan dari bumi. Sudah lama Ia berbicara kepada laki-laki dan perempuan melalui perantaraan Roh Kudus-Nya; tetapi mereka tidak mengindahkan panggilan itu. Sekarang Ia berbicara kepada umat-Nya, dan kepada dunia, melalui penghukuman-penghukuman-Nya. Masa penghukuman-penghukuman ini adalah masa belas kasihan bagi mereka yang belum mendapat kesempatan untuk mengetahui apa itu kebenaran. Dengan lembut Tuhan akan memandang mereka. Hati-Nya yang penuh belas kasihan tersentuh; tangan-Nya masih terulur untuk menyelamatkan. Sejumlah besar orang akan diterima ke dalam kawanan yang aman, yaitu mereka yang pada hari-hari terakhir ini akan mendengar kebenaran untuk pertama kalinya.” Review and Herald, 22 November 1906.</w:t>
      </w:r>
    </w:p>
    <w:p>
      <w:pPr>
        <w:pStyle w:val="ArticleBody"/>
        <w:jc w:val="left"/>
      </w:pPr>
      <w:r>
        <w:rPr>
          <w:rFonts w:ascii="Times New Roman" w:hAnsi="Times New Roman" w:eastAsia="Times New Roman" w:cs="Times New Roman"/>
        </w:rPr>
        <w:t>Sejarah Millerite diulangi secara tepat hingga ke hurufnya pada hari-hari terakhir. “Tanda-tanda” yang menandai kedatangan dan sejarah malaikat pertama melambangkan “tanda-tanda” yang menandai kedatangan dan sejarah malaikat ketiga. Semua gerakan reformasi yang suci itu sejajar dengan pergerakan malaikat ketiga pada hari-hari terakhir.</w:t>
      </w:r>
    </w:p>
    <w:p>
      <w:pPr>
        <w:pStyle w:val="ArticleScripture"/>
        <w:jc w:val="left"/>
      </w:pPr>
      <w:r>
        <w:rPr>
          <w:rFonts w:ascii="Times New Roman" w:hAnsi="Times New Roman" w:eastAsia="Times New Roman" w:cs="Times New Roman"/>
        </w:rPr>
        <w:t>“Lihubo tsa Modimo mo lefatsheng di bontsha, go tloga mo motlheng o mongwe go ya go o mongwe, go tshwana mo gogolo mo tokafatsong nngwe le nngwe e kgolo kgotsa mo motsamaong mongwe le mongwe wa bodumedi. Melaometheo ya kamano ya Modimo le batho e nna e tshwana ka tsotlhe. Metsamao ya botlhokwa ya jaanong e na le tsotlhe tse di tshwanang le tsa bogologolo, mme maitemogelo a kereke mo metlheng ya pele a na le dithuto tsa boleng jo bogolo thata mo nakong ya rona.” The Great Controversy, 343.</w:t>
      </w:r>
    </w:p>
    <w:p>
      <w:pPr>
        <w:pStyle w:val="ArticleBody"/>
        <w:jc w:val="left"/>
      </w:pPr>
      <w:r>
        <w:rPr>
          <w:rFonts w:ascii="Times New Roman" w:hAnsi="Times New Roman" w:eastAsia="Times New Roman" w:cs="Times New Roman"/>
        </w:rPr>
        <w:t>Hisitori i nom wan we i makem long strong enjel blong Revelesen 18, hem i namba tri enjel, mo hisitori we namba tri enjel i makem i ron semtaem wetem hisitori blong namba wan mo namba tu enjel blong hisitori blong ol Milerait.</w:t>
      </w:r>
    </w:p>
    <w:p>
      <w:pPr>
        <w:pStyle w:val="ArticleScripture"/>
        <w:jc w:val="left"/>
      </w:pPr>
      <w:r>
        <w:rPr>
          <w:rFonts w:ascii="Times New Roman" w:hAnsi="Times New Roman" w:eastAsia="Times New Roman" w:cs="Times New Roman"/>
        </w:rPr>
        <w:t>“God aa pao 14-a hrilhlâwk zirtîrna thuchahte chu hrilhlâwk thlarau zawnah an hmun chu a pe a, an hnathawh pawh he lei chanchin tâwp hma loh chuan a tawp tûr a ni lo. Vântirhkoh pakhatna leh pahnihna thuchahte chu he hun atân thutak an ni laiin, a hnu a lo awm chhuak mêk nêna inthlahlel zêla kal dûh an ni. Vântirhkoh pathumna chuan a vaukhânna chu aw ring takin a puang a. ‘Hêng thilte hnuah hian,’ tia Johana’n a sawi, ‘vân atangin vântirhkoh dang ka hmuh a, thiltihtheihna nasa tak neiin a lo chhuk a, leilung chu a ropuinaa tihêng a ni.’ He tihêngnaah hian, thuchah pathum zawng zawng êng chu a inzawm khâwm a ni.” The 1888 Materials, 803, 804.</w:t>
      </w:r>
    </w:p>
    <w:p>
      <w:pPr>
        <w:pStyle w:val="ArticleBody"/>
        <w:jc w:val="left"/>
      </w:pPr>
      <w:r>
        <w:rPr>
          <w:rFonts w:ascii="Times New Roman" w:hAnsi="Times New Roman" w:eastAsia="Times New Roman" w:cs="Times New Roman"/>
        </w:rPr>
        <w:t>Kerja malaikat yang pertama dan yang kedua, yang diselarikan dengan kerja malaikat yang ketiga, juga digambarkan dalam perumpamaan tentang sepuluh orang dara.</w:t>
      </w:r>
    </w:p>
    <w:p>
      <w:pPr>
        <w:pStyle w:val="ArticleScripture"/>
        <w:jc w:val="left"/>
      </w:pPr>
      <w:r>
        <w:rPr>
          <w:rFonts w:ascii="Times New Roman" w:hAnsi="Times New Roman" w:eastAsia="Times New Roman" w:cs="Times New Roman"/>
        </w:rPr>
        <w:t>“Saya sering dirujuk kepada perumpamaan tentang sepuluh anak dara, lima daripadanya bijaksana, dan lima bodoh. Perumpamaan ini telah dan akan digenapi tepat menurut setiap hurufnya, kerana ia mempunyai penerapan yang khusus bagi waktu ini, dan, seperti perkhabaran malaikat ketiga, telah digenapi dan akan terus menjadi kebenaran masa kini hingga penutupan zaman.” Review and Herald, 19 Ogos 1890.</w:t>
      </w:r>
    </w:p>
    <w:p>
      <w:pPr>
        <w:pStyle w:val="ArticleBody"/>
        <w:jc w:val="left"/>
      </w:pPr>
      <w:r>
        <w:rPr>
          <w:rFonts w:ascii="Times New Roman" w:hAnsi="Times New Roman" w:eastAsia="Times New Roman" w:cs="Times New Roman"/>
        </w:rPr>
        <w:t>Istoria yang diwakili dalam Wahyu pasal sepuluh dari Kitab Wahyu digambarkan sebagai ketujuh guruh, dan ketujuh guruh itu melambangkan peristiwa-peristiwa yang terjadi selama sejarah kaum Millerit, yaitu sejarah pekabaran malaikat pertama dan kedua. Ketujuh guruh itu juga melambangkan “peristiwa-peristiwa yang akan datang” yang terjadi pada hari-hari terakhir, dan semuanya digenapi dalam “urutan” yang sama seperti dalam sejarah kaum Millerit.</w:t>
      </w:r>
    </w:p>
    <w:p>
      <w:pPr>
        <w:pStyle w:val="ArticleScripture"/>
        <w:jc w:val="left"/>
      </w:pPr>
      <w:r>
        <w:rPr>
          <w:rFonts w:ascii="Times New Roman" w:hAnsi="Times New Roman" w:eastAsia="Times New Roman" w:cs="Times New Roman"/>
        </w:rPr>
        <w:t>“Sehlopha se ikhethang se ileng sa fuoa Johanne, se ileng sa hlahisoa ka lialuma tse supileng, e ne e le tlhaloso ea liketsahalo tse neng li tla etsahala tlas’a melaetsa ea lengeloi la pele le la bobeli.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နောက်ထပ်</w:t>
      </w:r>
      <w:r>
        <w:rPr>
          <w:rFonts w:ascii="Times New Roman" w:hAnsi="Times New Roman" w:eastAsia="Times New Roman" w:cs="Times New Roman"/>
        </w:rPr>
        <w:t xml:space="preserve"> </w:t>
      </w:r>
      <w:r>
        <w:rPr>
          <w:rFonts w:ascii="Myanmar Text" w:hAnsi="Myanmar Text" w:eastAsia="Myanmar Text" w:cs="Myanmar Text"/>
        </w:rPr>
        <w:t>ထိုမိုးကြိုးခုနစ်သံတို့သည်</w:t>
      </w:r>
      <w:r>
        <w:rPr>
          <w:rFonts w:ascii="Times New Roman" w:hAnsi="Times New Roman" w:eastAsia="Times New Roman" w:cs="Times New Roman"/>
        </w:rPr>
        <w:t xml:space="preserve"> </w:t>
      </w:r>
      <w:r>
        <w:rPr>
          <w:rFonts w:ascii="Myanmar Text" w:hAnsi="Myanmar Text" w:eastAsia="Myanmar Text" w:cs="Myanmar Text"/>
        </w:rPr>
        <w:t>မိမိတို့၏အသံကို</w:t>
      </w:r>
      <w:r>
        <w:rPr>
          <w:rFonts w:ascii="Times New Roman" w:hAnsi="Times New Roman" w:eastAsia="Times New Roman" w:cs="Times New Roman"/>
        </w:rPr>
        <w:t xml:space="preserve"> </w:t>
      </w:r>
      <w:r>
        <w:rPr>
          <w:rFonts w:ascii="Myanmar Text" w:hAnsi="Myanmar Text" w:eastAsia="Myanmar Text" w:cs="Myanmar Text"/>
        </w:rPr>
        <w:t>ထုတ်ဖော်ပြောဆိုပြီးနောက်၊</w:t>
      </w:r>
      <w:r>
        <w:rPr>
          <w:rFonts w:ascii="Times New Roman" w:hAnsi="Times New Roman" w:eastAsia="Times New Roman" w:cs="Times New Roman"/>
        </w:rPr>
        <w:t xml:space="preserve"> </w:t>
      </w:r>
      <w:r>
        <w:rPr>
          <w:rFonts w:ascii="Myanmar Text" w:hAnsi="Myanmar Text" w:eastAsia="Myanmar Text" w:cs="Myanmar Text"/>
        </w:rPr>
        <w:t>စာအုပ်ငယ်နှင့်စပ်လျဉ်း၍</w:t>
      </w:r>
      <w:r>
        <w:rPr>
          <w:rFonts w:ascii="Times New Roman" w:hAnsi="Times New Roman" w:eastAsia="Times New Roman" w:cs="Times New Roman"/>
        </w:rPr>
        <w:t xml:space="preserve"> </w:t>
      </w:r>
      <w:r>
        <w:rPr>
          <w:rFonts w:ascii="Myanmar Text" w:hAnsi="Myanmar Text" w:eastAsia="Myanmar Text" w:cs="Myanmar Text"/>
        </w:rPr>
        <w:t>ဒံယေလထံသို့</w:t>
      </w:r>
      <w:r>
        <w:rPr>
          <w:rFonts w:ascii="Times New Roman" w:hAnsi="Times New Roman" w:eastAsia="Times New Roman" w:cs="Times New Roman"/>
        </w:rPr>
        <w:t xml:space="preserve"> </w:t>
      </w:r>
      <w:r>
        <w:rPr>
          <w:rFonts w:ascii="Myanmar Text" w:hAnsi="Myanmar Text" w:eastAsia="Myanmar Text" w:cs="Myanmar Text"/>
        </w:rPr>
        <w:t>ပေးခဲ့သကဲ့သို့</w:t>
      </w:r>
      <w:r>
        <w:rPr>
          <w:rFonts w:ascii="Times New Roman" w:hAnsi="Times New Roman" w:eastAsia="Times New Roman" w:cs="Times New Roman"/>
        </w:rPr>
        <w:t xml:space="preserve"> </w:t>
      </w:r>
      <w:r>
        <w:rPr>
          <w:rFonts w:ascii="Myanmar Text" w:hAnsi="Myanmar Text" w:eastAsia="Myanmar Text" w:cs="Myanmar Text"/>
        </w:rPr>
        <w:t>ယောဟန်ထံသို့လည်း</w:t>
      </w:r>
      <w:r>
        <w:rPr>
          <w:rFonts w:ascii="Times New Roman" w:hAnsi="Times New Roman" w:eastAsia="Times New Roman" w:cs="Times New Roman"/>
        </w:rPr>
        <w:t xml:space="preserve"> </w:t>
      </w:r>
      <w:r>
        <w:rPr>
          <w:rFonts w:ascii="Myanmar Text" w:hAnsi="Myanmar Text" w:eastAsia="Myanmar Text" w:cs="Myanmar Text"/>
        </w:rPr>
        <w:t>ဤအမိန့်</w:t>
      </w:r>
      <w:r>
        <w:rPr>
          <w:rFonts w:ascii="Times New Roman" w:hAnsi="Times New Roman" w:eastAsia="Times New Roman" w:cs="Times New Roman"/>
        </w:rPr>
        <w:t xml:space="preserve"> </w:t>
      </w:r>
      <w:r>
        <w:rPr>
          <w:rFonts w:ascii="Myanmar Text" w:hAnsi="Myanmar Text" w:eastAsia="Myanmar Text" w:cs="Myanmar Text"/>
        </w:rPr>
        <w:t>ရောက်လာသည်</w:t>
      </w:r>
      <w:r>
        <w:rPr>
          <w:rFonts w:ascii="Times New Roman" w:hAnsi="Times New Roman" w:eastAsia="Times New Roman" w:cs="Times New Roman"/>
        </w:rPr>
        <w:t>— ‘</w:t>
      </w:r>
      <w:r>
        <w:rPr>
          <w:rFonts w:ascii="Myanmar Text" w:hAnsi="Myanmar Text" w:eastAsia="Myanmar Text" w:cs="Myanmar Text"/>
        </w:rPr>
        <w:t>မိုးကြိုးခုနစ်သံတို့</w:t>
      </w:r>
      <w:r>
        <w:rPr>
          <w:rFonts w:ascii="Times New Roman" w:hAnsi="Times New Roman" w:eastAsia="Times New Roman" w:cs="Times New Roman"/>
        </w:rPr>
        <w:t xml:space="preserve"> </w:t>
      </w:r>
      <w:r>
        <w:rPr>
          <w:rFonts w:ascii="Myanmar Text" w:hAnsi="Myanmar Text" w:eastAsia="Myanmar Text" w:cs="Myanmar Text"/>
        </w:rPr>
        <w:t>ပြောဆိုခဲ့သော</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တံဆိပ်ခတ်ထားလော့။</w:t>
      </w:r>
      <w:r>
        <w:rPr>
          <w:rFonts w:ascii="Times New Roman" w:hAnsi="Times New Roman" w:eastAsia="Times New Roman" w:cs="Times New Roman"/>
        </w:rPr>
        <w:t xml:space="preserve">’ </w:t>
      </w:r>
      <w:r>
        <w:rPr>
          <w:rFonts w:ascii="Myanmar Text" w:hAnsi="Myanmar Text" w:eastAsia="Myanmar Text" w:cs="Myanmar Text"/>
        </w:rPr>
        <w:t>ဤအရာများသည်</w:t>
      </w:r>
      <w:r>
        <w:rPr>
          <w:rFonts w:ascii="Times New Roman" w:hAnsi="Times New Roman" w:eastAsia="Times New Roman" w:cs="Times New Roman"/>
        </w:rPr>
        <w:t xml:space="preserve"> </w:t>
      </w:r>
      <w:r>
        <w:rPr>
          <w:rFonts w:ascii="Myanmar Text" w:hAnsi="Myanmar Text" w:eastAsia="Myanmar Text" w:cs="Myanmar Text"/>
        </w:rPr>
        <w:t>နောင်ဖြစ်လာမည့်</w:t>
      </w:r>
      <w:r>
        <w:rPr>
          <w:rFonts w:ascii="Times New Roman" w:hAnsi="Times New Roman" w:eastAsia="Times New Roman" w:cs="Times New Roman"/>
        </w:rPr>
        <w:t xml:space="preserve"> </w:t>
      </w:r>
      <w:r>
        <w:rPr>
          <w:rFonts w:ascii="Myanmar Text" w:hAnsi="Myanmar Text" w:eastAsia="Myanmar Text" w:cs="Myanmar Text"/>
        </w:rPr>
        <w:t>အဖြစ်အပျက်များနှင့်</w:t>
      </w:r>
      <w:r>
        <w:rPr>
          <w:rFonts w:ascii="Times New Roman" w:hAnsi="Times New Roman" w:eastAsia="Times New Roman" w:cs="Times New Roman"/>
        </w:rPr>
        <w:t xml:space="preserve"> </w:t>
      </w:r>
      <w:r>
        <w:rPr>
          <w:rFonts w:ascii="Myanmar Text" w:hAnsi="Myanmar Text" w:eastAsia="Myanmar Text" w:cs="Myanmar Text"/>
        </w:rPr>
        <w:t>သက်ဆိုင်ပြီး၊</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မိမိတို့၏အစီအစဉ်အလိုက်</w:t>
      </w:r>
      <w:r>
        <w:rPr>
          <w:rFonts w:ascii="Times New Roman" w:hAnsi="Times New Roman" w:eastAsia="Times New Roman" w:cs="Times New Roman"/>
        </w:rPr>
        <w:t xml:space="preserve"> </w:t>
      </w:r>
      <w:r>
        <w:rPr>
          <w:rFonts w:ascii="Myanmar Text" w:hAnsi="Myanmar Text" w:eastAsia="Myanmar Text" w:cs="Myanmar Text"/>
        </w:rPr>
        <w:t>ထုတ်ဖော်ပြသမည်ဖြစ်သည်။</w:t>
      </w:r>
      <w:r>
        <w:rPr>
          <w:rFonts w:ascii="Times New Roman" w:hAnsi="Times New Roman" w:eastAsia="Times New Roman" w:cs="Times New Roman"/>
        </w:rPr>
        <w:t>” The Seventh-day Adventist Bible Commentary, volume 7, 971.</w:t>
      </w:r>
    </w:p>
    <w:p>
      <w:pPr>
        <w:pStyle w:val="ArticleBody"/>
        <w:jc w:val="left"/>
      </w:pPr>
      <w:r>
        <w:rPr>
          <w:rFonts w:ascii="Times New Roman" w:hAnsi="Times New Roman" w:eastAsia="Times New Roman" w:cs="Times New Roman"/>
        </w:rPr>
        <w:t>Semua gerakan reformasi saling sejajar satu dengan yang lain, dan semuanya harus dihimpunkan “baris demi baris,” untuk menggambarkan gerakan reformasi terakhir dari seratus empat puluh empat ribu. Perumpamaan tentang sepuluh anak dara menggambarkan pengalaman batin umat Allah dalam gerakan Millerite dan gerakan seratus empat puluh empat ribu.</w:t>
      </w:r>
    </w:p>
    <w:p>
      <w:pPr>
        <w:pStyle w:val="ArticleScripture"/>
        <w:jc w:val="left"/>
      </w:pPr>
      <w:r>
        <w:rPr>
          <w:rFonts w:ascii="Times New Roman" w:hAnsi="Times New Roman" w:eastAsia="Times New Roman" w:cs="Times New Roman"/>
        </w:rPr>
        <w:t>“Sesotho sa barwetsana ba leshome sa ho Mattheu 25 se boetse se bontša boiphihlelo ba batho ba Adventist.” The Great Controversy, 393.</w:t>
      </w:r>
    </w:p>
    <w:p>
      <w:pPr>
        <w:pStyle w:val="ArticleBody"/>
        <w:jc w:val="left"/>
      </w:pPr>
      <w:r>
        <w:rPr>
          <w:rFonts w:ascii="Times New Roman" w:hAnsi="Times New Roman" w:eastAsia="Times New Roman" w:cs="Times New Roman"/>
        </w:rPr>
        <w:t>Kerja dan pekabaran kedua-dua golongan Millerit dan seratus empat puluh empat ribu itu dilambangkan oleh tiga malaikat dalam Wahyu empat belas.</w:t>
      </w:r>
    </w:p>
    <w:p>
      <w:pPr>
        <w:pStyle w:val="ArticleScripture"/>
        <w:jc w:val="left"/>
      </w:pPr>
      <w:r>
        <w:rPr>
          <w:rFonts w:ascii="Times New Roman" w:hAnsi="Times New Roman" w:eastAsia="Times New Roman" w:cs="Times New Roman"/>
        </w:rPr>
        <w:t>“Ndzi ve ni minkarhi ya nkoka yo kuma ntokoto. Ndzi ve ni ntokoto eka mahungu ya ntsumi yo sungula, ya vumbirhi, ni ya vunharhu. Tintsumi ti kombisiwa ti ri karhi ti haha exikarhi ka tilo, ti twarisa emisaveni rungula ra xitsundzuxo, naswona ri khumba hi ku kongoma vanhu lava hanyaka emasikwini yo hetelela ya matimu ya misava leyi. A ku na loyi a twaka rito ra tintsumi leti, hikuva i xikombiso xo yimela vanhu va Xikwembu lava tirhaka hi ku twanana ni vuako bya le tilweni. Vavanuna ni vavasati, lava voningeriweke hi Moya wa Xikwembu, naswona va kwetsimisiweke hi ntiyiso, va twarisa mahungu lawa manharhu hi ku landzelana ka wona.” Life Sketches, 429.</w:t>
      </w:r>
    </w:p>
    <w:p>
      <w:pPr>
        <w:pStyle w:val="ArticleBody"/>
        <w:jc w:val="left"/>
      </w:pPr>
      <w:r>
        <w:rPr>
          <w:rFonts w:ascii="Times New Roman" w:hAnsi="Times New Roman" w:eastAsia="Times New Roman" w:cs="Times New Roman"/>
        </w:rPr>
        <w:t>Kejadian-kejadian nubuatan yang dilambangkan dalam Wahyu pasal sepuluh, dilambangkan oleh ketujuh guruh itu. Kejadian-kejadian itu menandai titik di mana yang ilahi dipersatukan dengan yang manusiawi. “Tanda-tanda” yang dikenali oleh Kristus dalam Matius pasal dua puluh empat, Markus tiga belas, dan Lukas dua puluh satu melambangkan “tanda-tanda” yang mengawali pergerakan Millerite dan merupakan suatu kesaksian paralel bagi pergerakan seratus empat puluh empat ribu. Seratus empat puluh empat ribu itu tidak mengecap maut, sebagaimana dilambangkan oleh Henokh dan Elia. 11 September 2001, “tanda” yang dikenali oleh Kristus sebagai penanda tibanya generasi terakhir dalam sejarah bumi, dikenali dalam Lukas pasal dua puluh satu. Untuk termasuk di antara kelompok yang telah dilambangkan oleh Henokh dan Elia, yang disebut seratus empat puluh empat ribu, dituntut agar “tanda” itu dan segala sesuatu yang dilambangkannya dikenali.</w:t>
      </w:r>
    </w:p>
    <w:p>
      <w:pPr>
        <w:pStyle w:val="ArticleBody"/>
        <w:jc w:val="left"/>
      </w:pPr>
      <w:r>
        <w:rPr>
          <w:rFonts w:ascii="Times New Roman" w:hAnsi="Times New Roman" w:eastAsia="Times New Roman" w:cs="Times New Roman"/>
        </w:rPr>
        <w:t>Yeso akamalakaba bayekoli na Ye kokita kati na lisolo ya “bilembo” oyo ememaki na kobanda ya mouvement Millerite; na nsima azongelaki mpe apanzaki litatoli na Ye ya lisolo, na kokotisaka lisese moko oyo elakisaki lisolo yango moko.</w:t>
      </w:r>
    </w:p>
    <w:p>
      <w:pPr>
        <w:pStyle w:val="ArticleScripture"/>
        <w:jc w:val="left"/>
      </w:pPr>
      <w:r>
        <w:rPr>
          <w:rFonts w:ascii="Times New Roman" w:hAnsi="Times New Roman" w:eastAsia="Times New Roman" w:cs="Times New Roman"/>
        </w:rPr>
        <w:t>Yesu na ɔka kyerɛɛ wɔn bɛ a: Monhwɛ borɔdɔma dua no ne nnua no nyinaa; sɛ ɛfifiri mprempren a, mo ankasa mohu na mubehu sɛ ahohuru bere no abɛn. Saa ara nso na mo, sɛ muhu sɛ eyinom reba mu a, monhu sɛ Onyankopɔn Ahenni no abɛn. Nokware mese mo sɛ, awo ntoatoaso yi remmfa nkyene kɔ da, kosi sɛ ne nyinaa bɛba mu. Ɔsoro ne asase betwam, na me nsɛm de, rentwam da. Luka 21:29–33.</w:t>
      </w:r>
    </w:p>
    <w:p>
      <w:pPr>
        <w:pStyle w:val="ArticleBody"/>
        <w:jc w:val="left"/>
      </w:pPr>
      <w:r>
        <w:rPr>
          <w:rFonts w:ascii="Times New Roman" w:hAnsi="Times New Roman" w:eastAsia="Times New Roman" w:cs="Times New Roman"/>
        </w:rPr>
        <w:t>Yesu o simbola ko mibonisi ete bokeseni ezali kati na “nzete ya figi,” na bomoko, mpe “banzete nyonso.” “Nzete ya figi” ezali bato ya kondimana, oyo na mikolo ya nsuka bazali Adventisme ya Laodikia, oyo balobaka ete bazali bato batikali ya Nzambe. “Banzete” mosusu ezalaki Bapagano.</w:t>
      </w:r>
    </w:p>
    <w:p>
      <w:pPr>
        <w:pStyle w:val="ArticleScripture"/>
        <w:jc w:val="left"/>
      </w:pPr>
      <w:r>
        <w:rPr>
          <w:rFonts w:ascii="Times New Roman" w:hAnsi="Times New Roman" w:eastAsia="Times New Roman" w:cs="Times New Roman"/>
        </w:rPr>
        <w:t>“Perhatikan pengutukan pohon ara itu, yang melambangkan bangsa Yahudi, tertutup oleh daun-daun pengakuan, tetapi tidak didapati buah padanya. Kutuk itu diucapkan atas pohon ara, yang melambangkan agen moral, berpikir, dan hidup, yang dikutuk oleh Allah, yang hidup seperti halnya orang-orang Yahudi selama empat puluh tahun setelah peristiwa ini, namun mati. Perhatikan, pohon-pohon yang lain, yang melambangkan bangsa-bangsa bukan Yahudi, tidak tertutup daun. Pohon-pohon itu tidak berdaun, tidak berpura-pura memiliki pengenalan akan Allah. Waktu mereka untuk menghasilkan buah belum tiba.” Special Testimonies for Ministers and Workers, number 7, 59–61.</w:t>
      </w:r>
    </w:p>
    <w:p>
      <w:pPr>
        <w:pStyle w:val="ArticleBody"/>
        <w:jc w:val="left"/>
      </w:pPr>
      <w:r>
        <w:rPr>
          <w:rFonts w:ascii="Times New Roman" w:hAnsi="Times New Roman" w:eastAsia="Times New Roman" w:cs="Times New Roman"/>
        </w:rPr>
        <w:t>Adventisme Laodikia pada akhir zaman berada di bawah kutuk, kerana meskipun ia mengaku sebagai umat sisa Allah, pengakuannya tidak berbuah. Yesus sedang menyatakan dua perkara yang saling berkaitan, namun berbeza, dalam petikan itu. Dia sedang mengenal pasti perbezaan antara umat Allah yang mengaku dan bangsa-bangsa bukan Yahudi, yang tidak mengaku menegakkan hukum Allah atau memiliki Roh Nubuat, yang merupakan ciri-ciri umat sisa pada akhir zaman, yang diakui oleh Adventisme Laodikia sebagai hal-hal yang ditegakkannya. Daun-daun pada akhir zaman melambangkan pengakuan yang didakwa untuk menjadi umat sisa yang dikenal pasti oleh Yohanes dalam kitab Wahyu.</w:t>
      </w:r>
    </w:p>
    <w:p>
      <w:pPr>
        <w:pStyle w:val="ArticleScripture"/>
        <w:jc w:val="left"/>
      </w:pPr>
      <w:r>
        <w:rPr>
          <w:rFonts w:ascii="Times New Roman" w:hAnsi="Times New Roman" w:eastAsia="Times New Roman" w:cs="Times New Roman"/>
        </w:rPr>
        <w:t>“Dunia bangsa-bangsa lain dilambangkan oleh pohon-pohon ara yang tidak berdaun dan tidak berbuah. Bangsa-bangsa lain itu, sama seperti orang Yahudi, miskin akan kesalehan, tetapi mereka tidak mengaku berada dalam perkenanan Allah. Mereka tidak memegahkan diri atas kerohanian yang tinggi. Dalam segala hal mereka buta terhadap jalan-jalan dan pekerjaan-pekerjaan Allah. Bagi mereka, waktu untuk buah ara belum tiba. Mereka masih menantikan suatu hari yang akan membawa kepada mereka terang dan pengharapan.” Signs of the Times, 15 Februari 1899.</w:t>
      </w:r>
    </w:p>
    <w:p>
      <w:pPr>
        <w:pStyle w:val="ArticleBody"/>
        <w:jc w:val="left"/>
      </w:pPr>
      <w:r>
        <w:rPr>
          <w:rFonts w:ascii="Times New Roman" w:hAnsi="Times New Roman" w:eastAsia="Times New Roman" w:cs="Times New Roman"/>
        </w:rPr>
        <w:t>Pagkakaiba sa pagitan ng puno ng igos at ng ibang mga puno ay binigyan ni Cristo ng isa pang pagkakaiba. Ang panahon ng pagsibol ng mga puno para sa mga igos ay naiiba sa panahon ng pagsibol ng mga punong Gentil. Sa mga huling araw, “dalawang magkaibang panawagan ang ibinibigay sa mga iglesia,” at ang unang tinig mula sa anghel ng Apocalipsis kabanata labingwalo ay tumutukoy sa panahon kung kailan magaganap ang pagsibol para sa isang daan at apatnapu’t apat na libo. Ang “ikalawang tinig” ng Apocalipsis labingwalo ay kumakatawan sa panahon kung kailan ang ibang mga puno ay magsisisibol.</w:t>
      </w:r>
    </w:p>
    <w:p>
      <w:pPr>
        <w:pStyle w:val="ArticleBody"/>
        <w:jc w:val="left"/>
      </w:pPr>
      <w:r>
        <w:rPr>
          <w:rFonts w:ascii="Times New Roman" w:hAnsi="Times New Roman" w:eastAsia="Times New Roman" w:cs="Times New Roman"/>
        </w:rPr>
        <w:t>Metlha ya Kreste, Bajuda e be e le sefate sa feiga, ’me Baditšhaba e be e le mehlare e mengwe. Historing ya Bamillerite, Boprotestanta e be e le sefate sa feiga, ’me Bamillerite e be e le mehlare e mengwe. Mehleng ya bofelo, Adventisme ya Laodisea ke sefate sa feiga se sa enywego seo se tlošwago Jerusalema (serapeng sa merara), ’me ba dikete tše lekgolo le masomenne-nne ke mehlare ya feiga ye enywago. Bana ba bangwe ba Modimo bao ba sa lego Babilona ba emetšwe bjalo ka Baditšhaba.</w:t>
      </w:r>
    </w:p>
    <w:p>
      <w:pPr>
        <w:pStyle w:val="ArticleBody"/>
        <w:jc w:val="left"/>
      </w:pPr>
      <w:r>
        <w:rPr>
          <w:rFonts w:ascii="Times New Roman" w:hAnsi="Times New Roman" w:eastAsia="Times New Roman" w:cs="Times New Roman"/>
        </w:rPr>
        <w:t>“Bangsa asing,” menurut takrifnya, ialah seorang “orang asing.” Pohon-pohon bangsa asing itu dorman (mati), tidak mengeluarkan tunas atau buah pada waktu pohon ara bertunas dan menjadi hidup. Pohon yang dorman ialah pohon yang kering, dan apabila bangsa-bangsa asing dipanggil untuk keluar dari Babel, oleh suara kedua dalam Wahyu fasal lapan belas, pada waktu itu mereka akan memilih untuk memelihara Sabat hari ketujuh dan masuk ke dalam perjanjian dengan Tuhan.</w:t>
      </w:r>
    </w:p>
    <w:p>
      <w:pPr>
        <w:pStyle w:val="ArticleScripture"/>
        <w:jc w:val="left"/>
      </w:pPr>
      <w:r>
        <w:rPr>
          <w:rFonts w:ascii="Times New Roman" w:hAnsi="Times New Roman" w:eastAsia="Times New Roman" w:cs="Times New Roman"/>
        </w:rPr>
        <w:t>Dan janganlah anak orang asing, yang telah menggabungkan dirinya kepada TUHAN, berkata: “TUHAN sungguh-sungguh telah memisahkan aku dari umat-Nya”; dan janganlah orang kebiri berkata: “Lihatlah, aku ini pohon yang kering.” Sebab beginilah firman TUHAN kepada orang-orang kebiri yang memelihara hari-hari Sabat-Ku, yang memilih apa yang berkenan kepada-Ku, dan yang berpegang teguh pada perjanjian-Ku: Kepada mereka akan Kuberikan di rumah-Ku dan di dalam tembok-tembok-Ku suatu tempat dan suatu nama yang lebih baik daripada anak-anak lelaki dan anak-anak perempuan; Aku akan memberikan kepada mereka suatu nama yang kekal, yang tidak akan dilenyapkan. Juga anak-anak orang asing, yang menggabungkan diri kepada TUHAN, untuk melayani Dia, dan untuk mengasihi nama TUHAN, untuk menjadi hamba-hamba-Nya, setiap orang yang memelihara hari Sabat supaya tidak menajiskannya, dan yang berpegang teguh pada perjanjian-Ku; mereka itu akan Kubawa ke gunung-Ku yang kudus, dan akan Kubuat bersukacita di rumah doa-Ku; korban-korban bakaran mereka dan korban-korban sembelihan mereka akan diterima di atas mezbah-Ku; sebab rumah-Ku akan disebut rumah doa bagi segala bangsa. Yesaya 56:3–7.</w:t>
      </w:r>
    </w:p>
    <w:p>
      <w:pPr>
        <w:pStyle w:val="ArticleBody"/>
        <w:jc w:val="left"/>
      </w:pPr>
      <w:r>
        <w:rPr>
          <w:rFonts w:ascii="Times New Roman" w:hAnsi="Times New Roman" w:eastAsia="Times New Roman" w:cs="Times New Roman"/>
        </w:rPr>
        <w:t>Očec je „poganin“, a „drugi glas“ ih poziva da iziđu iz Babilona, i oni se dovode na svetu goru Božju; tada će ona biti Njegova „sveta“ gora, jer će pšenica i kukolj biti razdvojeni procesom kušnje prikazanim u povijesti „prvoga glasa“. Kada u posljednje dane dođu na goru Gospodnju, pogani više neće biti ni tuđinci ni suha stabla.</w:t>
      </w:r>
    </w:p>
    <w:p>
      <w:pPr>
        <w:pStyle w:val="ArticleScripture"/>
        <w:jc w:val="left"/>
      </w:pPr>
      <w:r>
        <w:rPr>
          <w:rFonts w:ascii="Microsoft YaHei" w:hAnsi="Microsoft YaHei" w:eastAsia="Microsoft YaHei" w:cs="Microsoft YaHei"/>
        </w:rPr>
        <w:t>日頭與月亮必變為昏暗</w:t>
      </w:r>
      <w:r>
        <w:rPr>
          <w:rFonts w:ascii="Times New Roman" w:hAnsi="Times New Roman" w:eastAsia="Times New Roman" w:cs="Times New Roman"/>
        </w:rPr>
        <w:t>,</w:t>
      </w:r>
      <w:r>
        <w:rPr>
          <w:rFonts w:ascii="Microsoft YaHei" w:hAnsi="Microsoft YaHei" w:eastAsia="Microsoft YaHei" w:cs="Microsoft YaHei"/>
        </w:rPr>
        <w:t>星辰也必收回其光輝</w:t>
      </w:r>
      <w:r>
        <w:rPr>
          <w:rFonts w:ascii="Times New Roman" w:hAnsi="Times New Roman" w:eastAsia="Times New Roman" w:cs="Times New Roman"/>
        </w:rPr>
        <w:t>.</w:t>
      </w:r>
      <w:r>
        <w:rPr>
          <w:rFonts w:ascii="Microsoft YaHei" w:hAnsi="Microsoft YaHei" w:eastAsia="Microsoft YaHei" w:cs="Microsoft YaHei"/>
        </w:rPr>
        <w:t>耶和華必從錫安咆哮</w:t>
      </w:r>
      <w:r>
        <w:rPr>
          <w:rFonts w:ascii="Times New Roman" w:hAnsi="Times New Roman" w:eastAsia="Times New Roman" w:cs="Times New Roman"/>
        </w:rPr>
        <w:t>,</w:t>
      </w:r>
      <w:r>
        <w:rPr>
          <w:rFonts w:ascii="Microsoft YaHei" w:hAnsi="Microsoft YaHei" w:eastAsia="Microsoft YaHei" w:cs="Microsoft YaHei"/>
        </w:rPr>
        <w:t>從耶路撒冷發出他的聲音</w:t>
      </w:r>
      <w:r>
        <w:rPr>
          <w:rFonts w:ascii="Times New Roman" w:hAnsi="Times New Roman" w:eastAsia="Times New Roman" w:cs="Times New Roman"/>
        </w:rPr>
        <w:t>;</w:t>
      </w:r>
      <w:r>
        <w:rPr>
          <w:rFonts w:ascii="Microsoft YaHei" w:hAnsi="Microsoft YaHei" w:eastAsia="Microsoft YaHei" w:cs="Microsoft YaHei"/>
        </w:rPr>
        <w:t>天地都必震動</w:t>
      </w:r>
      <w:r>
        <w:rPr>
          <w:rFonts w:ascii="Times New Roman" w:hAnsi="Times New Roman" w:eastAsia="Times New Roman" w:cs="Times New Roman"/>
        </w:rPr>
        <w:t>;</w:t>
      </w:r>
      <w:r>
        <w:rPr>
          <w:rFonts w:ascii="Microsoft YaHei" w:hAnsi="Microsoft YaHei" w:eastAsia="Microsoft YaHei" w:cs="Microsoft YaHei"/>
        </w:rPr>
        <w:t>惟耶和華卻要作他子民的盼望</w:t>
      </w:r>
      <w:r>
        <w:rPr>
          <w:rFonts w:ascii="Times New Roman" w:hAnsi="Times New Roman" w:eastAsia="Times New Roman" w:cs="Times New Roman"/>
        </w:rPr>
        <w:t>,</w:t>
      </w:r>
      <w:r>
        <w:rPr>
          <w:rFonts w:ascii="Microsoft YaHei" w:hAnsi="Microsoft YaHei" w:eastAsia="Microsoft YaHei" w:cs="Microsoft YaHei"/>
        </w:rPr>
        <w:t>作以色列子民的力量</w:t>
      </w:r>
      <w:r>
        <w:rPr>
          <w:rFonts w:ascii="Times New Roman" w:hAnsi="Times New Roman" w:eastAsia="Times New Roman" w:cs="Times New Roman"/>
        </w:rPr>
        <w:t>.</w:t>
      </w:r>
      <w:r>
        <w:rPr>
          <w:rFonts w:ascii="Microsoft YaHei" w:hAnsi="Microsoft YaHei" w:eastAsia="Microsoft YaHei" w:cs="Microsoft YaHei"/>
        </w:rPr>
        <w:t>你們就知道我是耶和華你們的上帝</w:t>
      </w:r>
      <w:r>
        <w:rPr>
          <w:rFonts w:ascii="Times New Roman" w:hAnsi="Times New Roman" w:eastAsia="Times New Roman" w:cs="Times New Roman"/>
        </w:rPr>
        <w:t>,</w:t>
      </w:r>
      <w:r>
        <w:rPr>
          <w:rFonts w:ascii="Microsoft YaHei" w:hAnsi="Microsoft YaHei" w:eastAsia="Microsoft YaHei" w:cs="Microsoft YaHei"/>
        </w:rPr>
        <w:t>住在我的聖山錫安</w:t>
      </w:r>
      <w:r>
        <w:rPr>
          <w:rFonts w:ascii="Times New Roman" w:hAnsi="Times New Roman" w:eastAsia="Times New Roman" w:cs="Times New Roman"/>
        </w:rPr>
        <w:t>;</w:t>
      </w:r>
      <w:r>
        <w:rPr>
          <w:rFonts w:ascii="Microsoft YaHei" w:hAnsi="Microsoft YaHei" w:eastAsia="Microsoft YaHei" w:cs="Microsoft YaHei"/>
        </w:rPr>
        <w:t>那時</w:t>
      </w:r>
      <w:r>
        <w:rPr>
          <w:rFonts w:ascii="Times New Roman" w:hAnsi="Times New Roman" w:eastAsia="Times New Roman" w:cs="Times New Roman"/>
        </w:rPr>
        <w:t>,</w:t>
      </w:r>
      <w:r>
        <w:rPr>
          <w:rFonts w:ascii="Microsoft YaHei" w:hAnsi="Microsoft YaHei" w:eastAsia="Microsoft YaHei" w:cs="Microsoft YaHei"/>
        </w:rPr>
        <w:t>耶路撒冷必成為聖</w:t>
      </w:r>
      <w:r>
        <w:rPr>
          <w:rFonts w:ascii="Times New Roman" w:hAnsi="Times New Roman" w:eastAsia="Times New Roman" w:cs="Times New Roman"/>
        </w:rPr>
        <w:t>,</w:t>
      </w:r>
      <w:r>
        <w:rPr>
          <w:rFonts w:ascii="Microsoft YaHei" w:hAnsi="Microsoft YaHei" w:eastAsia="Microsoft YaHei" w:cs="Microsoft YaHei"/>
        </w:rPr>
        <w:t>再沒有外人從其中經過</w:t>
      </w:r>
      <w:r>
        <w:rPr>
          <w:rFonts w:ascii="Times New Roman" w:hAnsi="Times New Roman" w:eastAsia="Times New Roman" w:cs="Times New Roman"/>
        </w:rPr>
        <w:t>.</w:t>
      </w:r>
      <w:r>
        <w:rPr>
          <w:rFonts w:ascii="Microsoft YaHei" w:hAnsi="Microsoft YaHei" w:eastAsia="Microsoft YaHei" w:cs="Microsoft YaHei"/>
        </w:rPr>
        <w:t>約珥書</w:t>
      </w:r>
      <w:r>
        <w:rPr>
          <w:rFonts w:ascii="Times New Roman" w:hAnsi="Times New Roman" w:eastAsia="Times New Roman" w:cs="Times New Roman"/>
        </w:rPr>
        <w:t xml:space="preserve"> 3:15–17.</w:t>
      </w:r>
    </w:p>
    <w:p>
      <w:pPr>
        <w:pStyle w:val="ArticleBody"/>
        <w:jc w:val="left"/>
      </w:pPr>
      <w:r>
        <w:rPr>
          <w:rFonts w:ascii="Times New Roman" w:hAnsi="Times New Roman" w:eastAsia="Times New Roman" w:cs="Times New Roman"/>
        </w:rPr>
        <w:t>Go tsenngwa ga hisitori mo “modumo wa bobedi” o bitsang letsomane le lengwe la Modimo go tswa Babelona go na le “ditshupo” tse di neng di tshwantshiwa ke ditshupo tsa mokgatlho wa Bamilerite. Mo go Mathaio kgaolo ya masome a mabedi le bonè, Mareko kgaolo ya lesome le boraro, le Luka kgaolo ya masome a mabedi le bongwe go beilwe bosupi jwa ga Keresete jo re bo akanyang. Mo go mongwe le mongwe wa basupi bao ba bararo, nngwe ya “ditshupo” tse di supilweng ke gore thata tsa legodimo di tla reketlisiwa; mme mo tlhalosong ya ga Joele ya “ditshupo” tse di supang nako e Jerusalema e tla nnang “boitshepo,” “magodimo le lefatshe” ka bobedi di tla reketla.</w:t>
      </w:r>
    </w:p>
    <w:p>
      <w:pPr>
        <w:pStyle w:val="ArticleBody"/>
        <w:jc w:val="left"/>
      </w:pPr>
      <w:r>
        <w:rPr>
          <w:rFonts w:ascii="Times New Roman" w:hAnsi="Times New Roman" w:eastAsia="Times New Roman" w:cs="Times New Roman"/>
        </w:rPr>
        <w:t>Yoel awêsen ka cikrêna bêkêmasî ya wan “nîşanan” destnîşan dike ku dema Orşelîm pîroz be pêk tên. Ew dem e ku Xudan gunehan ji sed û çil û çar hezaran rakiriye, û dêra Laodîkeyayê veguherîna xwe bo tevgera Filadelfiyayê pêk aniye. Hingê tevgera şeşemîn (Filadelfiya) dibe tevgera heştemîn (Filadelfiya), ya ku ji heft dêran e. Hingê Dêra Cengker dibe Dêra Serkeftî. Dêra Cengker navdêrek e ji bo dêra Xwedê ya ku ji genim û kulîlkan pêk hatiye. Dêra Serkeftî çiyayê pîroz ê Xwedê ye ku “pîroz” e, û “artêştena biyanî êdî derbasî wê nabin.”</w:t>
      </w:r>
    </w:p>
    <w:p>
      <w:pPr>
        <w:pStyle w:val="ArticleBody"/>
        <w:jc w:val="left"/>
      </w:pPr>
      <w:r>
        <w:rPr>
          <w:rFonts w:ascii="Times New Roman" w:hAnsi="Times New Roman" w:eastAsia="Times New Roman" w:cs="Times New Roman"/>
        </w:rPr>
        <w:t>Go goroga ga foloswa ga leswao le le tsholeditsweng, e leng Kereke e e Fentšeng, e leng “ya borobedi yo o tswang mo go ba supa”, e leng nako e Jerusalema e leng “boitshepo”, go tsamaisana le “ditshupo.” Gore Jesu a neye batho ba Gagwe ntlha ya boikaelelo ya go lemoga “sesupo” sa botshelo kgotsa loso, se se supang go kanela ga ba lekgolo le masome a mane le bone a sekete, O ne a dirisa ditlhare le modikologo wa tlholego wa botshelo jwa setlhare go ruta thuto eo ya botlhokwa jo bo kwa godimo.</w:t>
      </w:r>
    </w:p>
    <w:p>
      <w:pPr>
        <w:pStyle w:val="ArticleScripture"/>
        <w:jc w:val="left"/>
      </w:pPr>
      <w:r>
        <w:rPr>
          <w:rFonts w:ascii="Times New Roman" w:hAnsi="Times New Roman" w:eastAsia="Times New Roman" w:cs="Times New Roman"/>
        </w:rPr>
        <w:t>“Kristus telah memerintahkan umat-Nya agar berjaga-jaga terhadap tanda-tanda kedatangan-Nya dan bersukacita ketika mereka melihat lambang-lambang Raja mereka yang akan datang. ‘Apabila semuanya itu mulai terjadi,’ kata-Nya, ‘maka lihatlah ke atas dan angkatlah kepalamu, sebab penyelamatanmu sudah dekat.’ Ia menunjuk para pengikut-Nya kepada pepohonan yang mulai bertunas pada musim semi, lalu berkata: ‘Apabila pohon-pohon itu sekarang mulai bertunas, kamu melihatnya dan mengetahui dari dirimu sendiri bahwa musim panas sudah dekat. Demikian juga kamu, apabila kamu melihat semuanya itu terjadi, ketahuilah bahwa Kerajaan Allah sudah dekat.’ Lukas 21:28, 30, 31.” Kemenangan Akhir, 308.</w:t>
      </w:r>
    </w:p>
    <w:p>
      <w:pPr>
        <w:pStyle w:val="ArticleBody"/>
        <w:jc w:val="left"/>
      </w:pPr>
      <w:r>
        <w:rPr>
          <w:rFonts w:ascii="Times New Roman" w:hAnsi="Times New Roman" w:eastAsia="Times New Roman" w:cs="Times New Roman"/>
        </w:rPr>
        <w:t>Apabila pepohonan pada musim bunga mulai bertunas, maka musim panas sudah dekat.</w:t>
      </w:r>
    </w:p>
    <w:p>
      <w:pPr>
        <w:pStyle w:val="ArticleScripture"/>
        <w:jc w:val="left"/>
      </w:pPr>
      <w:r>
        <w:rPr>
          <w:rFonts w:ascii="Times New Roman" w:hAnsi="Times New Roman" w:eastAsia="Times New Roman" w:cs="Times New Roman"/>
        </w:rPr>
        <w:t>Kotulo e fetile, selemo se fedile, mme ga re a bolokwa. Jeremia 8:20.</w:t>
      </w:r>
    </w:p>
    <w:p>
      <w:pPr>
        <w:pStyle w:val="ArticleBody"/>
        <w:jc w:val="left"/>
      </w:pPr>
      <w:r>
        <w:rPr>
          <w:rFonts w:ascii="Times New Roman" w:hAnsi="Times New Roman" w:eastAsia="Times New Roman" w:cs="Times New Roman"/>
        </w:rPr>
        <w:t>Pohon-pohon yang mula bertunas menandakan bahawa musim bunga telah tiba, dan dengan itu kita mengetahui bahawa musim panas sudah dekat; dan pada musim panaslah tuaian dikumpulkan.</w:t>
      </w:r>
    </w:p>
    <w:p>
      <w:pPr>
        <w:pStyle w:val="ArticleScripture"/>
        <w:jc w:val="left"/>
      </w:pPr>
      <w:r>
        <w:rPr>
          <w:rFonts w:ascii="Times New Roman" w:hAnsi="Times New Roman" w:eastAsia="Times New Roman" w:cs="Times New Roman"/>
        </w:rPr>
        <w:t>Mmaba yo o ba jetseng ke Diabolo; thobo ke bokhutlo jwa lefatshe; mme bakgobokanyi ke baengele. Mathaio 13:39.</w:t>
      </w:r>
    </w:p>
    <w:p>
      <w:pPr>
        <w:pStyle w:val="ArticleBody"/>
        <w:jc w:val="left"/>
      </w:pPr>
      <w:r>
        <w:rPr>
          <w:rFonts w:ascii="Times New Roman" w:hAnsi="Times New Roman" w:eastAsia="Times New Roman" w:cs="Times New Roman"/>
        </w:rPr>
        <w:t>Go bunwa go fa bokhutlong jwa lefatshe. E rile ditlhare di simolola go tlhogela, lo tshwanetse go itse gore bokhutlo jwa lefatshe bo gaufi thata.</w:t>
      </w:r>
    </w:p>
    <w:p>
      <w:pPr>
        <w:pStyle w:val="ArticleScripture"/>
        <w:jc w:val="left"/>
      </w:pPr>
      <w:r>
        <w:rPr>
          <w:rFonts w:ascii="Times New Roman" w:hAnsi="Times New Roman" w:eastAsia="Times New Roman" w:cs="Times New Roman"/>
        </w:rPr>
        <w:t>“Satu perkataan Juruselamat tidak boleh dijadikan untuk meniadakan perkataan-Nya yang lain. Meskipun tidak seorang pun mengetahui hari atau saat kedatangan-Nya, kita diajar dan dituntut untuk mengetahui bilakah hal itu sudah dekat. Selanjutnya kita diajarkan bahawa mengabaikan amaran-Nya, serta enggan atau lalai untuk mengetahui bila kedatangan-Nya sudah dekat, akan sama membinasakan bagi kita sebagaimana hal itu membinasakan mereka yang hidup pada zaman Nuh kerana tidak mengetahui bila air bah itu akan datang.” The Great Controversy, 371.</w:t>
      </w:r>
    </w:p>
    <w:p>
      <w:pPr>
        <w:pStyle w:val="ArticleBody"/>
        <w:jc w:val="left"/>
      </w:pPr>
      <w:r>
        <w:rPr>
          <w:rFonts w:ascii="Times New Roman" w:hAnsi="Times New Roman" w:eastAsia="Times New Roman" w:cs="Times New Roman"/>
        </w:rPr>
        <w:t>Re tla tšwela pele ka thuto ya rena ya Luka kgaolo ya mashome a mabedi a motso o mongwe mo setlhogong se se latelang.</w:t>
      </w:r>
    </w:p>
    <w:p>
      <w:pPr>
        <w:pStyle w:val="ArticleScripture"/>
        <w:jc w:val="left"/>
      </w:pPr>
      <w:r>
        <w:rPr>
          <w:rFonts w:ascii="Times New Roman" w:hAnsi="Times New Roman" w:eastAsia="Times New Roman" w:cs="Times New Roman"/>
        </w:rPr>
        <w:t>“Ndzi vone leswaku matimba ya misava sweswi ma tlhela ma tsukunyisiwa naswona leswaku swiendlakalo swi ta hi ku landzelana ka swona. Nyimpi, ni mahungu ya tinyimpi, banga, ndlala, ni ntungu, hi swona swo sungula ku tsukunyisa matimba ya misava; kutani rito ra Xikwembu ri ta tsukunyisa dyambu, n’weti, ni tinyeleti, ni misava leyi na yona. Ndzi vone leswaku ku tsukunyisiwa ka matimba eYuropa a hi swona, hilaha van’wana va dyondzisaka hakona, ku tsukunyisiwa ka matimba ya matilo, kambe i ku tsukunyisiwa ka matiko lama hlundzuke ngopfu.”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Satu Ratus Dua Puluh</dc:title>
  <dc:subject>ᱵᱟᱭᱵᱮᱞ ᱨᱮᱱᱟᱜ ᱵᱷᱟᱵᱤᱥᱭᱟᱹᱫᱵᱟᱱᱤᱠᱚ ᱞᱮᱠᱟᱛᱮ ᱯᱩᱨᱟᱹᱣᱟᱜ ᱵᱷᱟᱵᱤᱥᱭᱟᱹᱫ ᱪᱤᱱᱦᱟᱹᱠᱚ ᱩᱫᱩᱜ: ᱚᱱᱟᱠᱚᱣᱟᱜ ᱵᱩᱡᱷᱟᱹᱣ</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