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Bilangan Seratus Dua Puluh Dua</w:t>
      </w:r>
    </w:p>
    <w:p>
      <w:pPr>
        <w:pStyle w:val="ArticleSubtitle"/>
        <w:jc w:val="left"/>
      </w:pPr>
      <w:r>
        <w:rPr>
          <w:rFonts w:ascii="Arial" w:hAnsi="Arial" w:eastAsia="Arial" w:cs="Arial"/>
        </w:rPr>
        <w:t>Ho Senoloa ha ’Nete: Leeto ka Daniele 11 le Ho Tsukutloa ha Batho ba Molimo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Ketiksa taho Daniel sapta ngasa hisapulu sada, ayat paopaton sahat paolupaton dibuka meter di ari parpudi i ma taon 1989, musuh ni hasintongan mangalehon partahanan na mangaloas Tuhan paboahon hasintongan-hasintongan laho mangaramoti dasar-dasar pokok ni ayat i di bagasan buku Daniel, na dung i gabe topik dohot pusat ni serangan ni Satanas. Pertikaian i taringot tu hasintongan dohot hajahaton di bagasan sejarah i dipangke Roh Kudus laho manandai pigapiga patik-patik hasurirangan na sai tamba pasahat pangantusion naung dibuka i, jala na dung i gabe laho manguji bangso na parpudi di sejarah ni tano on. Tikki on hita sedang manimbang “pangaplikasian hasurirangan na tolu hali,” jala manandai pangaplikasian-pangaplikasian i songon sada patik na ummajon, na dipaboa marhite proses partahanan na dipasahat Satanas di ari-ari naung salpu i. Proses na marpartikaian i ditandai songon “pangguncangan,” abis tahe, ni Siuda White.</w:t>
      </w:r>
    </w:p>
    <w:p>
      <w:pPr>
        <w:pStyle w:val="ArticleScripture"/>
        <w:jc w:val="left"/>
      </w:pPr>
      <w:r>
        <w:rPr>
          <w:rFonts w:ascii="Times New Roman" w:hAnsi="Times New Roman" w:eastAsia="Times New Roman" w:cs="Times New Roman"/>
        </w:rPr>
        <w:t>“Ndzi kombisiwile vukongomisi bya Xikwembu exikarhi ka vanhu va xona, naswona ndzi kombisiwile leswaku ndzingo wun’wana ni wun’wana lowu endliwaka hi endlelo ro kunakisa ni ro basisa ehenhla ka Vakriste lava tivulaka leswaku i va kriste wu kombisa leswaku van’wana i manyoro. Nsuku lowunene a wu humeleli minkarhi hinkwayo. Eka xiphiqo xin’wana ni xin’wana xa vukhongeri van’wana va wela ehansi ka ndzingo. Ku rhurhumela ka Xikwembu ku huhwisa kule ni mitshungu yo tala kukota matluka lama omeke. Ku humelela ku andzisa ntshungu wa lavativulaka ntsena. Maxangu ma va susa ekerekeni. Leswi ku nga ntlawa, mimoya ya vona a yi tiyangi eka Xikwembu. Va huma exikarhi ka hina hikuva a hi va hina; hikuva loko ku ta nhlomulo kumbe ku xanisiwa hikwalaho ka rito, vo tala va khunguvanyeka.” Testimonies, volume 4, 89.</w:t>
      </w:r>
    </w:p>
    <w:p>
      <w:pPr>
        <w:pStyle w:val="ArticleBody"/>
        <w:jc w:val="left"/>
      </w:pPr>
      <w:r>
        <w:rPr>
          <w:rFonts w:ascii="Times New Roman" w:hAnsi="Times New Roman" w:eastAsia="Times New Roman" w:cs="Times New Roman"/>
        </w:rPr>
        <w:t>“</w:t>
      </w:r>
      <w:r>
        <w:rPr>
          <w:rFonts w:ascii="Myanmar Text" w:hAnsi="Myanmar Text" w:eastAsia="Myanmar Text" w:cs="Myanmar Text"/>
        </w:rPr>
        <w:t>ဂရုတစိုက်လှုပ်ရှားစေခြင်း</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ခြင်္သေ့တော်က</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တံဆိပ်ဖွင့်တော်မူ၍၊</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ထိုသမ္မာတရားကို</w:t>
      </w:r>
      <w:r>
        <w:rPr>
          <w:rFonts w:ascii="Times New Roman" w:hAnsi="Times New Roman" w:eastAsia="Times New Roman" w:cs="Times New Roman"/>
        </w:rPr>
        <w:t xml:space="preserve"> </w:t>
      </w:r>
      <w:r>
        <w:rPr>
          <w:rFonts w:ascii="Myanmar Text" w:hAnsi="Myanmar Text" w:eastAsia="Myanmar Text" w:cs="Myanmar Text"/>
        </w:rPr>
        <w:t>ဖော်ပြမိတ်ဆက်သောအခါ</w:t>
      </w:r>
      <w:r>
        <w:rPr>
          <w:rFonts w:ascii="Times New Roman" w:hAnsi="Times New Roman" w:eastAsia="Times New Roman" w:cs="Times New Roman"/>
        </w:rPr>
        <w:t xml:space="preserve"> </w:t>
      </w:r>
      <w:r>
        <w:rPr>
          <w:rFonts w:ascii="Myanmar Text" w:hAnsi="Myanmar Text" w:eastAsia="Myanmar Text" w:cs="Myanmar Text"/>
        </w:rPr>
        <w:t>ဖြစ်ပေါ်လာသည်။</w:t>
      </w:r>
    </w:p>
    <w:p>
      <w:pPr>
        <w:pStyle w:val="ArticleScripture"/>
        <w:jc w:val="left"/>
      </w:pPr>
      <w:r>
        <w:rPr>
          <w:rFonts w:ascii="Times New Roman" w:hAnsi="Times New Roman" w:eastAsia="Times New Roman" w:cs="Times New Roman"/>
        </w:rPr>
        <w:t>“Ndzi vutisile nhlamuselo ya ku tsekatseka loku a ndzi ku vonile, kutani ndzi kombisiwile leswaku a ku ta vangiwa hi vumbhoni byo kongoma lebyi humeseriweke ehandle hi ndzayo ya Mbhoni ya Ntiyiso eka Valaodikiya. Leswi swi ta va ni nkucetelo ehenhla ka mbilu ya loyi a byi amukelaka, naswona swi ta n’wi kongomisa leswaku a tlakusa mfungho ni ku humesa ntiyiso wo kongoma. Van’wana a va nge swi koti ku tiyisela vumbhoni lebyi byo kongoma. Va ta pfukela byona, kutani hi swona leswi swi nga ta vanga ku tsekatseka exikarhi ka vanhu va Xikwembu.” Early Writings, 271.</w:t>
      </w:r>
    </w:p>
    <w:p>
      <w:pPr>
        <w:pStyle w:val="ArticleBody"/>
        <w:jc w:val="left"/>
      </w:pPr>
      <w:r>
        <w:rPr>
          <w:rFonts w:ascii="Times New Roman" w:hAnsi="Times New Roman" w:eastAsia="Times New Roman" w:cs="Times New Roman"/>
        </w:rPr>
        <w:t>Pengenalan “kebenaran” sentiasa menyebabkan suatu goncangan, dan kebenaran yang telah dimeteraibuka pada tahun 1989 melakukan hal itu juga. Salah satu manfaat daripada tentangan yang dibangkitkan terhadap kebenaran itu ialah perkembangan satu set kaedah untuk menetapkan pertambahan pengetahuan sepanjang tahun-tahun yang menyusul selepas 1989. Perkembangan kaedah-kaedah itu selari dengan perkembangan satu set kaedah pada zaman kaum Millerit. Semua penerapan rangkap tiga nubuatan Alkitab menyumbang kepada kejelasan peristiwa-peristiwa pada hari-hari terakhir.</w:t>
      </w:r>
    </w:p>
    <w:p>
      <w:pPr>
        <w:pStyle w:val="ArticleBody"/>
        <w:jc w:val="left"/>
      </w:pPr>
      <w:r>
        <w:rPr>
          <w:rFonts w:ascii="Times New Roman" w:hAnsi="Times New Roman" w:eastAsia="Times New Roman" w:cs="Times New Roman"/>
        </w:rPr>
        <w:t>Likopo tše tharo tša Roma le Babilona li hloma kamano ya mosadi le sebata seo a se namelago le go se buša nakong ya histori ya tlalelo ya molao wa Lamorena, yeo gape e lego histori ya kahlolo ya phethagatšo ya Modimo godimo ga seotswa sa Babilona.</w:t>
      </w:r>
    </w:p>
    <w:p>
      <w:pPr>
        <w:pStyle w:val="ArticleBody"/>
        <w:jc w:val="left"/>
      </w:pPr>
      <w:r>
        <w:rPr>
          <w:rFonts w:ascii="Times New Roman" w:hAnsi="Times New Roman" w:eastAsia="Times New Roman" w:cs="Times New Roman"/>
        </w:rPr>
        <w:t>Maitiriso a mararo a “morongwa yo o baakanyetsang Morongwa wa Kgolagano tsela,” le gape a “Elija,” a supa tiro le molaetsa mo dipakeng tsotlhe tse pedi tse di bontshang go khutla ga paka ya boutlwelo-botlhoko mo metlheng ya bofelo. Paka ya ntlha e simologa ka lentswe la ntlha la Baebele ya Tshenolo kgaolo ya bolesomejo boferabobedi, le le emelang tshimologo ya katlholo ya dipatlisiso ya ba ba tshelang bakeng sa Boadventiste jwa Laodikia, mme paka ya bofelo e simologa ka lentswe la bobedi la Baebele ya Tshenolo kgaolo ya bolesomejo boferabobedi, le le emelang katlholo ya tiragatso ya seaka sa Babolona.</w:t>
      </w:r>
    </w:p>
    <w:p>
      <w:pPr>
        <w:pStyle w:val="ArticleBody"/>
        <w:jc w:val="left"/>
      </w:pPr>
      <w:r>
        <w:rPr>
          <w:rFonts w:ascii="Times New Roman" w:hAnsi="Times New Roman" w:eastAsia="Times New Roman" w:cs="Times New Roman"/>
        </w:rPr>
        <w:t>Tshumelo e meraro ea Roma le Babilona e emela histori ea ka ntle ea batho ba Molimo ba matsatsi a ho qetela, athe tshumelo e meraro ea Elia le ea moromuoa ea lokisang tsela e emela histori ea ka hare ea batho ba Molimo ba matsatsi a ho qetela. Tshumelo e meraro ea mahlomola a mararo e supa molaetsa o fetang mehleng ena ka bobeli, oo hammoho o emelang nako ea ho qetela ea kahlolo, e qalang ka ntlo ea Molimo, ebe hamorao e latela ho ba ka ntle ho ntlo ea Molimo. Mahlomola a mararo a supa hore Boislamo ke molaetsa oa pula ea morao, hape ke sesebelisoa sa kahlolo seo Molimo a se sebelisang khahlanong le ba qobellang borapeli ba letsatsi holim’a moloko oohle oa batho. Qetello ea kahlolo e emela “matsatsi a phetetso ea Molimo,” holim’a kereke ea Hae e khelohileng tumelong hammoho le holim’a ba khopo ba ka ntle ho kereke ea Hae.</w:t>
      </w:r>
    </w:p>
    <w:p>
      <w:pPr>
        <w:pStyle w:val="ArticleBody"/>
        <w:jc w:val="left"/>
      </w:pPr>
      <w:r>
        <w:rPr>
          <w:rFonts w:ascii="Times New Roman" w:hAnsi="Times New Roman" w:eastAsia="Times New Roman" w:cs="Times New Roman"/>
        </w:rPr>
        <w:t>Ha Jisu a thoma hian Nazareth kohhranah a rawngbawlna a tan tirh khan a rawngbawlna, a thuchah leh a hnathawh sawifiah nan Isaia bung sawm ruk leh pakhat a hmang a; chu chu Pathian thinheng hun hriatna pawh a tel bawk. A rawngbawlna, a thuchah leh a hnathawh chuan mi sang zakhat sawmli leh pali rawngbawlna, thuchah leh hnathawh a entîr lâwk a, anih ang chu berampu an zui hmun apiangah zâwlnei lamin an zui ve si avangin.</w:t>
      </w:r>
    </w:p>
    <w:p>
      <w:pPr>
        <w:pStyle w:val="ArticleScripture"/>
        <w:jc w:val="left"/>
      </w:pPr>
      <w:r>
        <w:rPr>
          <w:rFonts w:ascii="Times New Roman" w:hAnsi="Times New Roman" w:eastAsia="Times New Roman" w:cs="Times New Roman"/>
        </w:rPr>
        <w:t>Roh Tuhan ALLAH ada padaku; kerana TUHAN telah mengurapi aku untuk menyampaikan khabar baik kepada orang yang lemah lembut; Dia telah mengutus aku untuk membalut orang yang remuk hatinya, untuk memaklumkan pembebasan kepada orang tawanan, dan pembukaan penjara kepada mereka yang terbelenggu; Untuk memaklumkan tahun perkenan TUHAN, dan hari pembalasan Allah kita; untuk menghiburkan semua orang yang berkabung; Untuk menetapkan bagi mereka yang berkabung di Sion, untuk mengaruniakan kepada mereka perhiasan ganti abu, minyak sukacita ganti perkabungan, pakaian pujian ganti semangat yang pudar; supaya mereka disebut pohon-pohon kebenaran, tanaman TUHAN, supaya Dia dimuliakan. Dan mereka akan membina semula reruntuhan purba, mereka akan membangkitkan kembali kebinasaan yang dahulu, dan mereka akan memperbaiki kota-kota yang tandus, tempat-tempat kebinasaan turun-temurun. Dan orang asing akan berdiri dan menggembalakan kawananmu, dan anak-anak negeri asing akan menjadi petani dan pengusahamu kebun anggurmu. Tetapi kamu akan dinamai Imam-imam TUHAN: orang akan menyebut kamu Pelayan-pelayan Allah kita: kamu akan menikmati kekayaan bangsa-bangsa lain, dan dalam kemuliaan mereka kamu akan bermegah. Yesaya 61:1–6.</w:t>
      </w:r>
    </w:p>
    <w:p>
      <w:pPr>
        <w:pStyle w:val="ArticleBody"/>
        <w:jc w:val="left"/>
      </w:pPr>
      <w:r>
        <w:rPr>
          <w:rFonts w:ascii="Times New Roman" w:hAnsi="Times New Roman" w:eastAsia="Times New Roman" w:cs="Times New Roman"/>
        </w:rPr>
        <w:t>Jesús fue ungido en Su bautismo, y ese hito tipifica el 11 de septiembre de 2001, cuando la unción del Espíritu Santo comenzó a descender sobre aquellos que reconocieron que el derramamiento de la lluvia tardía en los últimos días había sido tipificado por la historia de los milleritas, quienes eran las ruinas antiguas que los ciento cuarenta y cuatro mil volverían a edificar, una vez que regresaran a las sendas antiguas de Jeremías.</w:t>
      </w:r>
    </w:p>
    <w:p>
      <w:pPr>
        <w:pStyle w:val="ArticleBody"/>
        <w:jc w:val="left"/>
      </w:pPr>
      <w:r>
        <w:rPr>
          <w:rFonts w:ascii="Times New Roman" w:hAnsi="Times New Roman" w:eastAsia="Times New Roman" w:cs="Times New Roman"/>
        </w:rPr>
        <w:t>Molaetsa oa ho loka ha Kreste o tsoang bofetoheling ba 1888 o ile oa boela oa e-ba ’nete ea joale, ’me molaetsa o tsoang bofetoheling ba 1888 e ne e le litaba tse molemo tse nang le matla a ho tlamisa lipelo tse robehileng, empa o se nang matla a ho bula lipelo tse thata tsa ba nang le mahlo a ho bona, empa ba sa lemohe, le ba nang le litsebe tsa ho utloa, empa ba sa utloisise. Molaetsa oa ho loka ha Kreste o tsoang bofetoheling ba 1888 e ne e boetse e le molaetsa o eang Laodisea o ileng oa boela oa fihla ka nako eo ho bula monyako oa chankana oa bao e neng e le batšoaruoa ba sebe ka Eena ea nang le matla a ho bula menyako eo ho seng motho ea ka e bulang, le ho koala menyako eo ho seng motho ea ka e koalang.</w:t>
      </w:r>
    </w:p>
    <w:p>
      <w:pPr>
        <w:pStyle w:val="ArticleBody"/>
        <w:jc w:val="left"/>
      </w:pPr>
      <w:r>
        <w:rPr>
          <w:rFonts w:ascii="Times New Roman" w:hAnsi="Times New Roman" w:eastAsia="Times New Roman" w:cs="Times New Roman"/>
        </w:rPr>
        <w:t>Pada 11 September 2001, mereka yang harus menyampaikan kabar-kabar baik itu juga harus memberitakan tahun perkenanan Tuhan dan hari pembalasan Allah. Tahun perkenanan Tuhan juga dimulai pada waktu itu, dan Ia sepenuhnya bersedia menerima pertobatan seorang Laodikia, sampai hari pembalasan Allah tiba pada undang-undang Minggu yang segera datang di Amerika Serikat. Lalu pembalasan-Nya akan dinyatakan atas suatu gereja yang menolak mengenal waktu pelawatannya, dan pada saat yang sama penghakiman progresif atas perempuan sundal Babel pun dimulai.</w:t>
      </w:r>
    </w:p>
    <w:p>
      <w:pPr>
        <w:pStyle w:val="ArticleBody"/>
        <w:jc w:val="left"/>
      </w:pPr>
      <w:r>
        <w:rPr>
          <w:rFonts w:ascii="Times New Roman" w:hAnsi="Times New Roman" w:eastAsia="Times New Roman" w:cs="Times New Roman"/>
        </w:rPr>
        <w:t>Pada hari perkenan-Nya, Ia berjanji untuk menghiburkan semua orang yang berkabung, dan mereka yang berkabung di Yerusalem digambarkan dalam Yehezkiel pasal sembilan. Penghiburan mereka terlaksana oleh Sang Penghibur, melalui penerimaan pekabaran hujan akhir yang pada waktu itu sedang dicurahkan ke atas mereka. Tetapi hanya jika mereka mengenali hujan itu. Setelah mereka memiliki Sang Penghibur, dan menyelesaikan pekerjaan membangun kembali reruntuhan purba, melalui metodologi “baris demi baris,” yang digambarkan dalam bagian Yesaya sebagai pekerjaan menempatkan garis nubuatan yang melambangkan kebinasaan sejarah suci, di atas garis nubuatan lain yang menggambarkan suatu kebinasaan. Dalam pekerjaan itu mereka membangkitkan kembali keruntuhan banyak generasi. Kemudian “orang-orang asing” akan menanggapi mereka yang berkabung, yang ditinggikan sebagai suatu panji, supaya orang-orang asing itu melihatnya.</w:t>
      </w:r>
    </w:p>
    <w:p>
      <w:pPr>
        <w:pStyle w:val="ArticleBody"/>
        <w:jc w:val="left"/>
      </w:pPr>
      <w:r>
        <w:rPr>
          <w:rFonts w:ascii="Times New Roman" w:hAnsi="Times New Roman" w:eastAsia="Times New Roman" w:cs="Times New Roman"/>
        </w:rPr>
        <w:t>Kroesede geiirerg gipuoprisin po guot tuis dep nid ni Isaiah, chapter sixty-one, ya dep nid ni geiirerg gape tausen po handred po potin-pour tausen. Tais geiirerg ge pitu narap long ol sakret mupmen bilong senis, na long 1989, taim bilong pinis i kamap, em yet olgeta ol bipo “taim bilong pinis” i bin makim paslain. Wankain olsem wanpela ves, Daniel chapter eight, verse fourteen, i bin makim olsem as na bikpela pos bilong Millerite movement, ves i stap olsem as na bikpela pos bilong Future for America em Daniel chapter eleven, verse forty. Long ol Millerites, lait bilong dispela bikpela pos i bin soim olsem lait bilong visen bilong Ulai River, na long movement bilong Future for America lait bilong dispela bikpela pos i bin soim olsem lait bilong visen bilong Hiddekel River.</w:t>
      </w:r>
    </w:p>
    <w:p>
      <w:pPr>
        <w:pStyle w:val="ArticleScripture"/>
        <w:jc w:val="left"/>
      </w:pPr>
      <w:r>
        <w:rPr>
          <w:rFonts w:ascii="Times New Roman" w:hAnsi="Times New Roman" w:eastAsia="Times New Roman" w:cs="Times New Roman"/>
        </w:rPr>
        <w:t>“Cahaya yang diterima Daniel daripada Allah telah diberikan khususnya untuk hari-hari terakhir ini. Penglihatan-penglihatan yang dilihatnya di tepi Sungai Ulai dan Hiddekel, sungai-sungai besar di Sinear, kini sedang dalam proses penggenapan, dan segala peristiwa yang telah dinubuatkan itu tidak lama lagi akan terjadi.” Testimonies to Ministers, 112.</w:t>
      </w:r>
    </w:p>
    <w:p>
      <w:pPr>
        <w:pStyle w:val="ArticleBody"/>
        <w:jc w:val="left"/>
      </w:pPr>
      <w:r>
        <w:rPr>
          <w:rFonts w:ascii="Times New Roman" w:hAnsi="Times New Roman" w:eastAsia="Times New Roman" w:cs="Times New Roman"/>
        </w:rPr>
        <w:t>Cahaya daripada kedua-dua penglihatan yang dilambangkan oleh dua sungai itu saling berhubung, dan digenapi pada akhir zaman. “Hubungan” bersama mereka melambangkan penyatuan antara yang manusiawi dan yang ilahi, iaitu mesej yang berulang kali dikenal pasti oleh Sister White sebagai mesej Kristus dalam konteks bahawa kemanusiaan yang dipadukan dengan keilahian tidak berbuat dosa. Kedua-dua sungai itu melambangkan keterkaitan tersebut.</w:t>
      </w:r>
    </w:p>
    <w:p>
      <w:pPr>
        <w:pStyle w:val="ArticleScripture"/>
        <w:jc w:val="left"/>
      </w:pPr>
      <w:r>
        <w:rPr>
          <w:rFonts w:ascii="Times New Roman" w:hAnsi="Times New Roman" w:eastAsia="Times New Roman" w:cs="Times New Roman"/>
        </w:rPr>
        <w:t>“Tiada sesuatu pun yang kurang daripada ketaatan yang sempurna dapat memenuhi piawaian tuntutan Allah. Dia tidak membiarkan tuntutan-Nya tidak tentu. Dia tidak memerintahkan sesuatu pun yang tidak perlu untuk membawa manusia ke dalam keselarasan dengan-Nya. Kita harus menunjukkan kepada orang berdosa cita-cita tabiat-Nya dan memimpin mereka kepada Kristus, yang hanya oleh kasih kurnia-Nya cita-cita ini dapat dicapai.</w:t>
      </w:r>
    </w:p>
    <w:p>
      <w:pPr>
        <w:pStyle w:val="ArticleScripture"/>
        <w:jc w:val="left"/>
      </w:pPr>
      <w:r>
        <w:rPr>
          <w:rFonts w:ascii="Times New Roman" w:hAnsi="Times New Roman" w:eastAsia="Times New Roman" w:cs="Times New Roman"/>
        </w:rPr>
        <w:t>“Molopolosi o ile a jara godimo ga Gagwe mafokodi a botho, mme a tshela botshelo jo bo senang boleo, gore batho ba se ka ba boifa gore ka ntlha ya bokoa jwa tlholego ya botho ba ka se fenye. Keresete o ne a tla go re dira ‘bakarolo ba tlholego ya bomodimo,’ mme botshelo jwa Gagwe bo supa gore botho, jo bo kopantsweng le bomodimo, ga bo dire boleo.</w:t>
      </w:r>
    </w:p>
    <w:p>
      <w:pPr>
        <w:pStyle w:val="ArticleScripture"/>
        <w:jc w:val="left"/>
      </w:pPr>
      <w:r>
        <w:rPr>
          <w:rFonts w:ascii="Times New Roman" w:hAnsi="Times New Roman" w:eastAsia="Times New Roman" w:cs="Times New Roman"/>
        </w:rPr>
        <w:t>“Molopolli o fentše gore a bontšhe motho kamoo a ka fentšhago ka gona. Diteko tšohle tša Sathane, Kriste o ile a kopana natšo ka Lentšu la Modimo. Ka go bota ditshepišo tša Modimo, O ile a amogela maatla a go kwa ditaelo tša Modimo, gomme moleki a se ke a hwetša mohola le ge e le ofe. Go teko e nngwe le e nngwe karabo ya Gagwe e be e le gore, ‘Go ngwadilwe.’ Ka mokgwa woo Modimo o re file Lentšu la Gagwe leo ka lona re ka ganetšago bobe. Ditshepišo tše dikgolo kudu le tša bohlokwa ke tša rena, gore ka tšona re ‘be batšeakarolo ba tlhago ya bomodimo, ge re šetše re phonyokgile tshenyego yeo e lego lefaseng ka baka la kganyogo e mpe.’ 2 Petro 1:4.”</w:t>
      </w:r>
    </w:p>
    <w:p>
      <w:pPr>
        <w:pStyle w:val="ArticleScripture"/>
        <w:jc w:val="left"/>
      </w:pPr>
      <w:r>
        <w:rPr>
          <w:rFonts w:ascii="Times New Roman" w:hAnsi="Times New Roman" w:eastAsia="Times New Roman" w:cs="Times New Roman"/>
        </w:rPr>
        <w:t>“Amperlah orang yang dicobai itu agar jangan memandang kepada keadaan, kepada kelemahan dirinya sendiri, ataupun kepada kuasa pencobaan, melainkan kepada kuasa firman Allah. Segala kekuatannya adalah milik kita. ‘Firman-Mu,’ kata pemazmur, ‘telah kusimpan dalam hatiku, supaya aku jangan berdosa terhadap Engkau.’ ‘Oleh firman bibir-Mu aku telah menjaga diriku dari jalan-jalan orang pembinasa.’ Mazmur 119:11; 17:4.” The Ministry of Healing, 181.</w:t>
      </w:r>
    </w:p>
    <w:p>
      <w:pPr>
        <w:pStyle w:val="ArticleBody"/>
        <w:jc w:val="left"/>
      </w:pPr>
      <w:r>
        <w:rPr>
          <w:rFonts w:ascii="Times New Roman" w:hAnsi="Times New Roman" w:eastAsia="Times New Roman" w:cs="Times New Roman"/>
        </w:rPr>
        <w:t>Peningkatan pengetahuan pada tahun 1798 dan pada tahun 1989 melambangkan penyingkapan kembali Firman nubuat Allah. Firman-Nya menyediakan kuasa untuk mengalahkan sebagaimana Ia telah mengalahkan, dan “hidup-Nya menyatakan bahwa kemanusiaan, yang dipadukan dengan keilahian, tidak melakukan dosa.” Penglihatan Sungai Ulai adalah penglihatan marah tentang penampakan-Nya, yang dilambangkan oleh nubuatan dua ribu tiga ratus hari. Penglihatan Sungai Hiddekel adalah penglihatan chazon tentang sejarah kenabian, yang dilambangkan oleh nubuatan dua ribu lima ratus dua puluh tahun. Penglihatan marah melambangkan keilahian dan penglihatan chazon melambangkan kemanusiaan.</w:t>
      </w:r>
    </w:p>
    <w:p>
      <w:pPr>
        <w:pStyle w:val="ArticleBody"/>
        <w:jc w:val="left"/>
      </w:pPr>
      <w:r>
        <w:rPr>
          <w:rFonts w:ascii="Nirmala UI" w:hAnsi="Nirmala UI" w:eastAsia="Nirmala UI" w:cs="Nirmala UI"/>
        </w:rPr>
        <w:t>క్రీస్తుపూర్వ</w:t>
      </w:r>
      <w:r>
        <w:rPr>
          <w:rFonts w:ascii="Times New Roman" w:hAnsi="Times New Roman" w:eastAsia="Times New Roman" w:cs="Times New Roman"/>
        </w:rPr>
        <w:t xml:space="preserve"> </w:t>
      </w:r>
      <w:r>
        <w:rPr>
          <w:rFonts w:ascii="Nirmala UI" w:hAnsi="Nirmala UI" w:eastAsia="Nirmala UI" w:cs="Nirmala UI"/>
        </w:rPr>
        <w:t>శీనారు</w:t>
      </w:r>
      <w:r>
        <w:rPr>
          <w:rFonts w:ascii="Times New Roman" w:hAnsi="Times New Roman" w:eastAsia="Times New Roman" w:cs="Times New Roman"/>
        </w:rPr>
        <w:t xml:space="preserve"> </w:t>
      </w:r>
      <w:r>
        <w:rPr>
          <w:rFonts w:ascii="Nirmala UI" w:hAnsi="Nirmala UI" w:eastAsia="Nirmala UI" w:cs="Nirmala UI"/>
        </w:rPr>
        <w:t>దేశపు</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ప్రాచీన</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నదులు</w:t>
      </w:r>
      <w:r>
        <w:rPr>
          <w:rFonts w:ascii="Times New Roman" w:hAnsi="Times New Roman" w:eastAsia="Times New Roman" w:cs="Times New Roman"/>
        </w:rPr>
        <w:t xml:space="preserve">,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ఉలాయి</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హిద్దెకెల్</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టైగ్రిస్</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యూఫ్రటీస్</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తెలిసినవి</w:t>
      </w:r>
      <w:r>
        <w:rPr>
          <w:rFonts w:ascii="Times New Roman" w:hAnsi="Times New Roman" w:eastAsia="Times New Roman" w:cs="Times New Roman"/>
        </w:rPr>
        <w:t xml:space="preserve">, </w:t>
      </w:r>
      <w:r>
        <w:rPr>
          <w:rFonts w:ascii="Nirmala UI" w:hAnsi="Nirmala UI" w:eastAsia="Nirmala UI" w:cs="Nirmala UI"/>
        </w:rPr>
        <w:t>చివరికి</w:t>
      </w:r>
      <w:r>
        <w:rPr>
          <w:rFonts w:ascii="Times New Roman" w:hAnsi="Times New Roman" w:eastAsia="Times New Roman" w:cs="Times New Roman"/>
        </w:rPr>
        <w:t xml:space="preserve"> </w:t>
      </w:r>
      <w:r>
        <w:rPr>
          <w:rFonts w:ascii="Nirmala UI" w:hAnsi="Nirmala UI" w:eastAsia="Nirmala UI" w:cs="Nirmala UI"/>
        </w:rPr>
        <w:t>ఇరాక్</w:t>
      </w:r>
      <w:r>
        <w:rPr>
          <w:rFonts w:ascii="Times New Roman" w:hAnsi="Times New Roman" w:eastAsia="Times New Roman" w:cs="Times New Roman"/>
        </w:rPr>
        <w:t xml:space="preserve"> </w:t>
      </w:r>
      <w:r>
        <w:rPr>
          <w:rFonts w:ascii="Nirmala UI" w:hAnsi="Nirmala UI" w:eastAsia="Nirmala UI" w:cs="Nirmala UI"/>
        </w:rPr>
        <w:t>దక్షిణ</w:t>
      </w:r>
      <w:r>
        <w:rPr>
          <w:rFonts w:ascii="Times New Roman" w:hAnsi="Times New Roman" w:eastAsia="Times New Roman" w:cs="Times New Roman"/>
        </w:rPr>
        <w:t xml:space="preserve"> </w:t>
      </w:r>
      <w:r>
        <w:rPr>
          <w:rFonts w:ascii="Nirmala UI" w:hAnsi="Nirmala UI" w:eastAsia="Nirmala UI" w:cs="Nirmala UI"/>
        </w:rPr>
        <w:t>భాగంలోని</w:t>
      </w:r>
      <w:r>
        <w:rPr>
          <w:rFonts w:ascii="Times New Roman" w:hAnsi="Times New Roman" w:eastAsia="Times New Roman" w:cs="Times New Roman"/>
        </w:rPr>
        <w:t xml:space="preserve"> </w:t>
      </w:r>
      <w:r>
        <w:rPr>
          <w:rFonts w:ascii="Nirmala UI" w:hAnsi="Nirmala UI" w:eastAsia="Nirmala UI" w:cs="Nirmala UI"/>
        </w:rPr>
        <w:t>షట్</w:t>
      </w:r>
      <w:r>
        <w:rPr>
          <w:rFonts w:ascii="Times New Roman" w:hAnsi="Times New Roman" w:eastAsia="Times New Roman" w:cs="Times New Roman"/>
        </w:rPr>
        <w:t xml:space="preserve"> </w:t>
      </w:r>
      <w:r>
        <w:rPr>
          <w:rFonts w:ascii="Nirmala UI" w:hAnsi="Nirmala UI" w:eastAsia="Nirmala UI" w:cs="Nirmala UI"/>
        </w:rPr>
        <w:t>అల్</w:t>
      </w:r>
      <w:r>
        <w:rPr>
          <w:rFonts w:ascii="Times New Roman" w:hAnsi="Times New Roman" w:eastAsia="Times New Roman" w:cs="Times New Roman"/>
        </w:rPr>
        <w:t>-</w:t>
      </w:r>
      <w:r>
        <w:rPr>
          <w:rFonts w:ascii="Nirmala UI" w:hAnsi="Nirmala UI" w:eastAsia="Nirmala UI" w:cs="Nirmala UI"/>
        </w:rPr>
        <w:t>అరబ్</w:t>
      </w:r>
      <w:r>
        <w:rPr>
          <w:rFonts w:ascii="Times New Roman" w:hAnsi="Times New Roman" w:eastAsia="Times New Roman" w:cs="Times New Roman"/>
        </w:rPr>
        <w:t xml:space="preserve"> </w:t>
      </w:r>
      <w:r>
        <w:rPr>
          <w:rFonts w:ascii="Nirmala UI" w:hAnsi="Nirmala UI" w:eastAsia="Nirmala UI" w:cs="Nirmala UI"/>
        </w:rPr>
        <w:t>జలమార్గంలో</w:t>
      </w:r>
      <w:r>
        <w:rPr>
          <w:rFonts w:ascii="Times New Roman" w:hAnsi="Times New Roman" w:eastAsia="Times New Roman" w:cs="Times New Roman"/>
        </w:rPr>
        <w:t xml:space="preserve"> </w:t>
      </w:r>
      <w:r>
        <w:rPr>
          <w:rFonts w:ascii="Nirmala UI" w:hAnsi="Nirmala UI" w:eastAsia="Nirmala UI" w:cs="Nirmala UI"/>
        </w:rPr>
        <w:t>కలిసిపోతాయి</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షట్</w:t>
      </w:r>
      <w:r>
        <w:rPr>
          <w:rFonts w:ascii="Times New Roman" w:hAnsi="Times New Roman" w:eastAsia="Times New Roman" w:cs="Times New Roman"/>
        </w:rPr>
        <w:t xml:space="preserve"> </w:t>
      </w:r>
      <w:r>
        <w:rPr>
          <w:rFonts w:ascii="Nirmala UI" w:hAnsi="Nirmala UI" w:eastAsia="Nirmala UI" w:cs="Nirmala UI"/>
        </w:rPr>
        <w:t>అల్</w:t>
      </w:r>
      <w:r>
        <w:rPr>
          <w:rFonts w:ascii="Times New Roman" w:hAnsi="Times New Roman" w:eastAsia="Times New Roman" w:cs="Times New Roman"/>
        </w:rPr>
        <w:t>-</w:t>
      </w:r>
      <w:r>
        <w:rPr>
          <w:rFonts w:ascii="Nirmala UI" w:hAnsi="Nirmala UI" w:eastAsia="Nirmala UI" w:cs="Nirmala UI"/>
        </w:rPr>
        <w:t>అరబ్</w:t>
      </w:r>
      <w:r>
        <w:rPr>
          <w:rFonts w:ascii="Times New Roman" w:hAnsi="Times New Roman" w:eastAsia="Times New Roman" w:cs="Times New Roman"/>
        </w:rPr>
        <w:t xml:space="preserve"> </w:t>
      </w:r>
      <w:r>
        <w:rPr>
          <w:rFonts w:ascii="Nirmala UI" w:hAnsi="Nirmala UI" w:eastAsia="Nirmala UI" w:cs="Nirmala UI"/>
        </w:rPr>
        <w:t>పర్షియన్</w:t>
      </w:r>
      <w:r>
        <w:rPr>
          <w:rFonts w:ascii="Times New Roman" w:hAnsi="Times New Roman" w:eastAsia="Times New Roman" w:cs="Times New Roman"/>
        </w:rPr>
        <w:t xml:space="preserve"> </w:t>
      </w:r>
      <w:r>
        <w:rPr>
          <w:rFonts w:ascii="Nirmala UI" w:hAnsi="Nirmala UI" w:eastAsia="Nirmala UI" w:cs="Nirmala UI"/>
        </w:rPr>
        <w:t>గల్ఫ్</w:t>
      </w:r>
      <w:r>
        <w:rPr>
          <w:rFonts w:ascii="Times New Roman" w:hAnsi="Times New Roman" w:eastAsia="Times New Roman" w:cs="Times New Roman"/>
        </w:rPr>
        <w:t>‌</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కలిసి</w:t>
      </w:r>
      <w:r>
        <w:rPr>
          <w:rFonts w:ascii="Times New Roman" w:hAnsi="Times New Roman" w:eastAsia="Times New Roman" w:cs="Times New Roman"/>
        </w:rPr>
        <w:t xml:space="preserve"> </w:t>
      </w:r>
      <w:r>
        <w:rPr>
          <w:rFonts w:ascii="Nirmala UI" w:hAnsi="Nirmala UI" w:eastAsia="Nirmala UI" w:cs="Nirmala UI"/>
        </w:rPr>
        <w:t>పోతుంది</w:t>
      </w:r>
      <w:r>
        <w:rPr>
          <w:rFonts w:ascii="Times New Roman" w:hAnsi="Times New Roman" w:eastAsia="Times New Roman" w:cs="Times New Roman"/>
        </w:rPr>
        <w:t xml:space="preserve">. </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ఆత్మీయ</w:t>
      </w:r>
      <w:r>
        <w:rPr>
          <w:rFonts w:ascii="Times New Roman" w:hAnsi="Times New Roman" w:eastAsia="Times New Roman" w:cs="Times New Roman"/>
        </w:rPr>
        <w:t xml:space="preserve"> </w:t>
      </w:r>
      <w:r>
        <w:rPr>
          <w:rFonts w:ascii="Nirmala UI" w:hAnsi="Nirmala UI" w:eastAsia="Nirmala UI" w:cs="Nirmala UI"/>
        </w:rPr>
        <w:t>విషయాలను</w:t>
      </w:r>
      <w:r>
        <w:rPr>
          <w:rFonts w:ascii="Times New Roman" w:hAnsi="Times New Roman" w:eastAsia="Times New Roman" w:cs="Times New Roman"/>
        </w:rPr>
        <w:t xml:space="preserve"> </w:t>
      </w:r>
      <w:r>
        <w:rPr>
          <w:rFonts w:ascii="Nirmala UI" w:hAnsi="Nirmala UI" w:eastAsia="Nirmala UI" w:cs="Nirmala UI"/>
        </w:rPr>
        <w:t>సూచించుటకు</w:t>
      </w:r>
      <w:r>
        <w:rPr>
          <w:rFonts w:ascii="Times New Roman" w:hAnsi="Times New Roman" w:eastAsia="Times New Roman" w:cs="Times New Roman"/>
        </w:rPr>
        <w:t xml:space="preserve"> </w:t>
      </w:r>
      <w:r>
        <w:rPr>
          <w:rFonts w:ascii="Nirmala UI" w:hAnsi="Nirmala UI" w:eastAsia="Nirmala UI" w:cs="Nirmala UI"/>
        </w:rPr>
        <w:t>భౌతిక</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సహజమైన</w:t>
      </w:r>
      <w:r>
        <w:rPr>
          <w:rFonts w:ascii="Times New Roman" w:hAnsi="Times New Roman" w:eastAsia="Times New Roman" w:cs="Times New Roman"/>
        </w:rPr>
        <w:t xml:space="preserve"> </w:t>
      </w:r>
      <w:r>
        <w:rPr>
          <w:rFonts w:ascii="Nirmala UI" w:hAnsi="Nirmala UI" w:eastAsia="Nirmala UI" w:cs="Nirmala UI"/>
        </w:rPr>
        <w:t>వాటిని</w:t>
      </w:r>
      <w:r>
        <w:rPr>
          <w:rFonts w:ascii="Times New Roman" w:hAnsi="Times New Roman" w:eastAsia="Times New Roman" w:cs="Times New Roman"/>
        </w:rPr>
        <w:t xml:space="preserve"> </w:t>
      </w:r>
      <w:r>
        <w:rPr>
          <w:rFonts w:ascii="Nirmala UI" w:hAnsi="Nirmala UI" w:eastAsia="Nirmala UI" w:cs="Nirmala UI"/>
        </w:rPr>
        <w:t>ఉపయోగించుచున్నాడు</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నెరవేర్పు</w:t>
      </w:r>
      <w:r>
        <w:rPr>
          <w:rFonts w:ascii="Times New Roman" w:hAnsi="Times New Roman" w:eastAsia="Times New Roman" w:cs="Times New Roman"/>
        </w:rPr>
        <w:t xml:space="preserve"> </w:t>
      </w:r>
      <w:r>
        <w:rPr>
          <w:rFonts w:ascii="Nirmala UI" w:hAnsi="Nirmala UI" w:eastAsia="Nirmala UI" w:cs="Nirmala UI"/>
        </w:rPr>
        <w:t>ప్రక్రియలో</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నదులతో</w:t>
      </w:r>
      <w:r>
        <w:rPr>
          <w:rFonts w:ascii="Times New Roman" w:hAnsi="Times New Roman" w:eastAsia="Times New Roman" w:cs="Times New Roman"/>
        </w:rPr>
        <w:t xml:space="preserve"> </w:t>
      </w:r>
      <w:r>
        <w:rPr>
          <w:rFonts w:ascii="Nirmala UI" w:hAnsi="Nirmala UI" w:eastAsia="Nirmala UI" w:cs="Nirmala UI"/>
        </w:rPr>
        <w:t>సంబంధమైన</w:t>
      </w:r>
      <w:r>
        <w:rPr>
          <w:rFonts w:ascii="Times New Roman" w:hAnsi="Times New Roman" w:eastAsia="Times New Roman" w:cs="Times New Roman"/>
        </w:rPr>
        <w:t xml:space="preserve"> </w:t>
      </w:r>
      <w:r>
        <w:rPr>
          <w:rFonts w:ascii="Nirmala UI" w:hAnsi="Nirmala UI" w:eastAsia="Nirmala UI" w:cs="Nirmala UI"/>
        </w:rPr>
        <w:t>దర్శనాలు</w:t>
      </w:r>
      <w:r>
        <w:rPr>
          <w:rFonts w:ascii="Times New Roman" w:hAnsi="Times New Roman" w:eastAsia="Times New Roman" w:cs="Times New Roman"/>
        </w:rPr>
        <w:t xml:space="preserve">, </w:t>
      </w:r>
      <w:r>
        <w:rPr>
          <w:rFonts w:ascii="Nirmala UI" w:hAnsi="Nirmala UI" w:eastAsia="Nirmala UI" w:cs="Nirmala UI"/>
        </w:rPr>
        <w:t>సముద్రానికి</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ప్రయాణాంత్యానికి</w:t>
      </w:r>
      <w:r>
        <w:rPr>
          <w:rFonts w:ascii="Times New Roman" w:hAnsi="Times New Roman" w:eastAsia="Times New Roman" w:cs="Times New Roman"/>
        </w:rPr>
        <w:t xml:space="preserve"> </w:t>
      </w:r>
      <w:r>
        <w:rPr>
          <w:rFonts w:ascii="Nirmala UI" w:hAnsi="Nirmala UI" w:eastAsia="Nirmala UI" w:cs="Nirmala UI"/>
        </w:rPr>
        <w:t>చేరుకొనుచుండగా</w:t>
      </w:r>
      <w:r>
        <w:rPr>
          <w:rFonts w:ascii="Times New Roman" w:hAnsi="Times New Roman" w:eastAsia="Times New Roman" w:cs="Times New Roman"/>
        </w:rPr>
        <w:t xml:space="preserve"> </w:t>
      </w:r>
      <w:r>
        <w:rPr>
          <w:rFonts w:ascii="Nirmala UI" w:hAnsi="Nirmala UI" w:eastAsia="Nirmala UI" w:cs="Nirmala UI"/>
        </w:rPr>
        <w:t>సంభవించే</w:t>
      </w:r>
      <w:r>
        <w:rPr>
          <w:rFonts w:ascii="Times New Roman" w:hAnsi="Times New Roman" w:eastAsia="Times New Roman" w:cs="Times New Roman"/>
        </w:rPr>
        <w:t xml:space="preserve"> </w:t>
      </w:r>
      <w:r>
        <w:rPr>
          <w:rFonts w:ascii="Nirmala UI" w:hAnsi="Nirmala UI" w:eastAsia="Nirmala UI" w:cs="Nirmala UI"/>
        </w:rPr>
        <w:t>మానవికమైనది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దైవికమైనది</w:t>
      </w:r>
      <w:r>
        <w:rPr>
          <w:rFonts w:ascii="Times New Roman" w:hAnsi="Times New Roman" w:eastAsia="Times New Roman" w:cs="Times New Roman"/>
        </w:rPr>
        <w:t xml:space="preserve"> </w:t>
      </w:r>
      <w:r>
        <w:rPr>
          <w:rFonts w:ascii="Nirmala UI" w:hAnsi="Nirmala UI" w:eastAsia="Nirmala UI" w:cs="Nirmala UI"/>
        </w:rPr>
        <w:t>మధ్యనున్న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అనుసంధానాన్ని</w:t>
      </w:r>
      <w:r>
        <w:rPr>
          <w:rFonts w:ascii="Times New Roman" w:hAnsi="Times New Roman" w:eastAsia="Times New Roman" w:cs="Times New Roman"/>
        </w:rPr>
        <w:t xml:space="preserve"> </w:t>
      </w:r>
      <w:r>
        <w:rPr>
          <w:rFonts w:ascii="Nirmala UI" w:hAnsi="Nirmala UI" w:eastAsia="Nirmala UI" w:cs="Nirmala UI"/>
        </w:rPr>
        <w:t>సూచించుచున్నవి</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సత్యము</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ఎనిమిదవ</w:t>
      </w:r>
      <w:r>
        <w:rPr>
          <w:rFonts w:ascii="Times New Roman" w:hAnsi="Times New Roman" w:eastAsia="Times New Roman" w:cs="Times New Roman"/>
        </w:rPr>
        <w:t xml:space="preserve"> </w:t>
      </w:r>
      <w:r>
        <w:rPr>
          <w:rFonts w:ascii="Nirmala UI" w:hAnsi="Nirmala UI" w:eastAsia="Nirmala UI" w:cs="Nirmala UI"/>
        </w:rPr>
        <w:t>అధ్యాయం</w:t>
      </w:r>
      <w:r>
        <w:rPr>
          <w:rFonts w:ascii="Times New Roman" w:hAnsi="Times New Roman" w:eastAsia="Times New Roman" w:cs="Times New Roman"/>
        </w:rPr>
        <w:t xml:space="preserve"> </w:t>
      </w:r>
      <w:r>
        <w:rPr>
          <w:rFonts w:ascii="Nirmala UI" w:hAnsi="Nirmala UI" w:eastAsia="Nirmala UI" w:cs="Nirmala UI"/>
        </w:rPr>
        <w:t>పదమూడు</w:t>
      </w:r>
      <w:r>
        <w:rPr>
          <w:rFonts w:ascii="Times New Roman" w:hAnsi="Times New Roman" w:eastAsia="Times New Roman" w:cs="Times New Roman"/>
        </w:rPr>
        <w:t xml:space="preserve">, </w:t>
      </w:r>
      <w:r>
        <w:rPr>
          <w:rFonts w:ascii="Nirmala UI" w:hAnsi="Nirmala UI" w:eastAsia="Nirmala UI" w:cs="Nirmala UI"/>
        </w:rPr>
        <w:t>పద్నాలుగు</w:t>
      </w:r>
      <w:r>
        <w:rPr>
          <w:rFonts w:ascii="Times New Roman" w:hAnsi="Times New Roman" w:eastAsia="Times New Roman" w:cs="Times New Roman"/>
        </w:rPr>
        <w:t xml:space="preserve"> </w:t>
      </w:r>
      <w:r>
        <w:rPr>
          <w:rFonts w:ascii="Nirmala UI" w:hAnsi="Nirmala UI" w:eastAsia="Nirmala UI" w:cs="Nirmala UI"/>
        </w:rPr>
        <w:t>వచనాలలోని</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దర్శనాలచే</w:t>
      </w:r>
      <w:r>
        <w:rPr>
          <w:rFonts w:ascii="Times New Roman" w:hAnsi="Times New Roman" w:eastAsia="Times New Roman" w:cs="Times New Roman"/>
        </w:rPr>
        <w:t xml:space="preserve"> </w:t>
      </w:r>
      <w:r>
        <w:rPr>
          <w:rFonts w:ascii="Nirmala UI" w:hAnsi="Nirmala UI" w:eastAsia="Nirmala UI" w:cs="Nirmala UI"/>
        </w:rPr>
        <w:t>ప్రతినిధిత్వం</w:t>
      </w:r>
      <w:r>
        <w:rPr>
          <w:rFonts w:ascii="Times New Roman" w:hAnsi="Times New Roman" w:eastAsia="Times New Roman" w:cs="Times New Roman"/>
        </w:rPr>
        <w:t xml:space="preserve"> </w:t>
      </w:r>
      <w:r>
        <w:rPr>
          <w:rFonts w:ascii="Nirmala UI" w:hAnsi="Nirmala UI" w:eastAsia="Nirmala UI" w:cs="Nirmala UI"/>
        </w:rPr>
        <w:t>పొందిన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ప్రవచనాల</w:t>
      </w:r>
      <w:r>
        <w:rPr>
          <w:rFonts w:ascii="Times New Roman" w:hAnsi="Times New Roman" w:eastAsia="Times New Roman" w:cs="Times New Roman"/>
        </w:rPr>
        <w:t xml:space="preserve"> </w:t>
      </w:r>
      <w:r>
        <w:rPr>
          <w:rFonts w:ascii="Nirmala UI" w:hAnsi="Nirmala UI" w:eastAsia="Nirmala UI" w:cs="Nirmala UI"/>
        </w:rPr>
        <w:t>ఆరంభంలోనే</w:t>
      </w:r>
      <w:r>
        <w:rPr>
          <w:rFonts w:ascii="Times New Roman" w:hAnsi="Times New Roman" w:eastAsia="Times New Roman" w:cs="Times New Roman"/>
        </w:rPr>
        <w:t xml:space="preserve"> </w:t>
      </w:r>
      <w:r>
        <w:rPr>
          <w:rFonts w:ascii="Nirmala UI" w:hAnsi="Nirmala UI" w:eastAsia="Nirmala UI" w:cs="Nirmala UI"/>
        </w:rPr>
        <w:t>స్థాపించబడినది</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దర్శనం</w:t>
      </w:r>
      <w:r>
        <w:rPr>
          <w:rFonts w:ascii="Times New Roman" w:hAnsi="Times New Roman" w:eastAsia="Times New Roman" w:cs="Times New Roman"/>
        </w:rPr>
        <w:t xml:space="preserve"> </w:t>
      </w:r>
      <w:r>
        <w:rPr>
          <w:rFonts w:ascii="Nirmala UI" w:hAnsi="Nirmala UI" w:eastAsia="Nirmala UI" w:cs="Nirmala UI"/>
        </w:rPr>
        <w:t>ప్రశ్న</w:t>
      </w:r>
      <w:r>
        <w:rPr>
          <w:rFonts w:ascii="Times New Roman" w:hAnsi="Times New Roman" w:eastAsia="Times New Roman" w:cs="Times New Roman"/>
        </w:rPr>
        <w:t xml:space="preserve">, </w:t>
      </w:r>
      <w:r>
        <w:rPr>
          <w:rFonts w:ascii="Nirmala UI" w:hAnsi="Nirmala UI" w:eastAsia="Nirmala UI" w:cs="Nirmala UI"/>
        </w:rPr>
        <w:t>మరొకటి</w:t>
      </w:r>
      <w:r>
        <w:rPr>
          <w:rFonts w:ascii="Times New Roman" w:hAnsi="Times New Roman" w:eastAsia="Times New Roman" w:cs="Times New Roman"/>
        </w:rPr>
        <w:t xml:space="preserve"> </w:t>
      </w:r>
      <w:r>
        <w:rPr>
          <w:rFonts w:ascii="Nirmala UI" w:hAnsi="Nirmala UI" w:eastAsia="Nirmala UI" w:cs="Nirmala UI"/>
        </w:rPr>
        <w:t>సమాధానం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తార్కికంగా</w:t>
      </w:r>
      <w:r>
        <w:rPr>
          <w:rFonts w:ascii="Times New Roman" w:hAnsi="Times New Roman" w:eastAsia="Times New Roman" w:cs="Times New Roman"/>
        </w:rPr>
        <w:t xml:space="preserve"> </w:t>
      </w:r>
      <w:r>
        <w:rPr>
          <w:rFonts w:ascii="Nirmala UI" w:hAnsi="Nirmala UI" w:eastAsia="Nirmala UI" w:cs="Nirmala UI"/>
        </w:rPr>
        <w:t>అవి</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చేయబడలేవు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Ponelopele ya bomotho, e lemogago go gatakelwa fase ga sekgethwa le madira, e thomile ka ngwaga wa 677 BC, gomme ponelopele ya boModimo, yeo e lemogago go tšwelela ga Kriste, e thomile ka ngwaga wa 457 BC. Kgokagano ya boModimo le bomotho e emelwa ke mengwaga e makgolo a mabedi le masome a mabedi, yeo e kgokaganyago dintlha tše pedi tša mathomo tša diponelopele tše pedi. Mengwaga e makgolo a mabedi le masome a mabedi ke seswantšho sa “kgokagano ya bomotho le boModimo,” gomme gape e emelwa ke kgokagano ya koketšego ya tsebo nakong ya bofelo ka 1798, le koketšego ya tsebo nakong ya bofelo ka 1989.</w:t>
      </w:r>
    </w:p>
    <w:p>
      <w:pPr>
        <w:pStyle w:val="ArticleBody"/>
        <w:jc w:val="left"/>
      </w:pPr>
      <w:r>
        <w:rPr>
          <w:rFonts w:ascii="Times New Roman" w:hAnsi="Times New Roman" w:eastAsia="Times New Roman" w:cs="Times New Roman"/>
        </w:rPr>
        <w:t>Mesej yang diformalkan hasil daripada pertambahan pengetahuan pada tahun 1798 mula-mula dipersembahkan oleh Miller pada tahun 1831 (dan kemudian dalam akhbar Vermont Telegraph pada tahun 1833). Tahun 1831 ialah dua ratus dua puluh tahun selepas penerbitan Alkitab King James pada tahun 1611. Alkitab King James melambangkan suatu dokumen dwiganda bagi Perjanjian Lama dan Perjanjian Baru. Permulaan dan pengakhiran bagi dua ratus dua puluh tahun itu “menghubungkan” suatu penerbitan ilahi dengan suatu penerbitan manusia. Maklumat dalam penerbitan manusia itu diperoleh daripada terang ilahi yang telah dibuka meterainya pada waktu kesudahan pada tahun 1798, dan kemudian diformalkan melalui pekerjaan suatu alat manusia, yang telah mula menerbitkannya pada tahun 1831. Itulah suatu penerbitan ilahi, dengan suatu mesej yang dimeteraikan secara ilahi, yang kemudiannya dibuka meterainya oleh manusia, lalu selepas itu dipersembahkan oleh suatu alat manusia. Perkataan Ibrani yang diterjemahkan sebagai “publish” dalam firman Tuhan bermaksud berseru untuk menangis (kepada), menjadi masyhur, tetamu, mengundang, menyebut, menamakan, memberitakan, memaklumkan, mengisytiharkan, menerbitkan. Miller mula menerbitkan mesejnya pada tahun 1831, kemudian pada tahun 1833 ia secara harfiah diterbitkan dalam Vermont Telegraph.</w:t>
      </w:r>
    </w:p>
    <w:p>
      <w:pPr>
        <w:pStyle w:val="ArticleBody"/>
        <w:jc w:val="left"/>
      </w:pPr>
      <w:r>
        <w:rPr>
          <w:rFonts w:ascii="Times New Roman" w:hAnsi="Times New Roman" w:eastAsia="Times New Roman" w:cs="Times New Roman"/>
        </w:rPr>
        <w:t>Msej yang telah diformalkan hasil daripada pertambahan pengetahuan pada tahun 1989 mula-mula diterbitkan pada tahun 1996 (dalam majalah The Time of the End), dua ratus dua puluh tahun selepas penerbitan dua dokumen suci yang dikenali sebagai Declaration of Independence pada tahun 1776 (dan sesudah itu Constitution of the United States) pada tahun 1789. Permulaan dan pengakhiran bagi tempoh dua ratus dua puluh tahun itu menghubungkan keilahian dengan kemanusiaan, dan hal itu dilakukan melalui penerbitan dua dokumen ilahi, bermula pada tahun 1776. Apabila kitab Daniel dimeteraibukakan pada waktu akhir pada tahun 1989, mesej yang telah diformalkan itu, yang telah dibawa tentang melalui pekerjaan suatu alat insani, diterbitkan pada tahun 1996. Urutannya ialah suatu penerbitan ilahi, kemudian suatu pembukaan meterai, dan kemudian suatu penerbitan insani.</w:t>
      </w:r>
    </w:p>
    <w:p>
      <w:pPr>
        <w:pStyle w:val="ArticleBody"/>
        <w:jc w:val="left"/>
      </w:pPr>
      <w:r>
        <w:rPr>
          <w:rFonts w:ascii="Times New Roman" w:hAnsi="Times New Roman" w:eastAsia="Times New Roman" w:cs="Times New Roman"/>
        </w:rPr>
        <w:t>Dalam kedua-dua zaman kesudahan itu, tiga langkah kebenaran dikenal pasti. Kedua-duanya bermula dengan suatu penerbitan ilahi sebagai langkah yang pertama, dan suatu penerbitan manusia yang menjelaskan suatu mesej ilahi merupakan langkah yang terakhir. Langkah yang di tengah ialah apabila Singa daripada suku Yehuda membuka meterai mesej ilahi bagi sejarah yang tertentu itu, dan sesudah itu memilih suatu alat manusia untuk mengumpulkan terang yang telah dibuka meterainya daripada dokumen ilahi itu. Apabila pembukaan meterai itu berlaku, pemberontakan dinyatakan oleh orang-orang fasik yang tidak memahami pertambahan pengetahuan. Oleh itu, suatu penerbitan ilahi dilambangkan oleh huruf pertama abjad Ibrani, pertambahan pengetahuan dilambangkan oleh huruf yang ketiga belas, tempat pemberontakan dinyatakan, dan penerbitan manusia tentang mesej ilahi yang khusus bagi sejarah itu ialah huruf terakhir abjad Ibrani; dan apabila ketiga-tiga huruf itu diambil bersama-sama, ertinya ialah “kebenaran”.</w:t>
      </w:r>
    </w:p>
    <w:p>
      <w:pPr>
        <w:pStyle w:val="ArticleBody"/>
        <w:jc w:val="left"/>
      </w:pPr>
      <w:r>
        <w:rPr>
          <w:rFonts w:ascii="Times New Roman" w:hAnsi="Times New Roman" w:eastAsia="Times New Roman" w:cs="Times New Roman"/>
        </w:rPr>
        <w:t>Penglihatan-penglihatan tentang Sungai Ulai dan Hiddekel yang kini sedang dalam proses penggenapan menunjukkan bahawa pada akhir zaman pertambahan pengetahuan dari kedua-dua sungai itu bergabung bersama untuk membuktikan bahawa keilahian yang dipadukan dengan kemanusiaan tidak berbuat dosa. Daniel menerima penglihatan yang melambangkan penampakan Kristus pada penutupan nubuatan dua ribu tiga ratus tahun pada tahun 1844 ketika berada di tepi Sungai Ulai.</w:t>
      </w:r>
    </w:p>
    <w:p>
      <w:pPr>
        <w:pStyle w:val="ArticleScripture"/>
        <w:jc w:val="left"/>
      </w:pPr>
      <w:r>
        <w:rPr>
          <w:rFonts w:ascii="Times New Roman" w:hAnsi="Times New Roman" w:eastAsia="Times New Roman" w:cs="Times New Roman"/>
        </w:rPr>
        <w:t>Dan aku melihat dalam suatu penglihatan; dan terjadilah, ketika aku melihat, bahwa aku berada di Susan, di dalam istana, yang ada di wilayah Elam; dan aku melihat dalam suatu penglihatan, dan aku berada di tepi sungai Ulai. Daniel 8:2.</w:t>
      </w:r>
    </w:p>
    <w:p>
      <w:pPr>
        <w:pStyle w:val="ArticleBody"/>
        <w:jc w:val="left"/>
      </w:pPr>
      <w:r>
        <w:rPr>
          <w:rFonts w:ascii="Times New Roman" w:hAnsi="Times New Roman" w:eastAsia="Times New Roman" w:cs="Times New Roman"/>
        </w:rPr>
        <w:t>Daniel o ile a amohela pono e emelang pono ea lilemo tse likete tse peli le makholo a mahlano le mashome a mabeli tsa histori ea boprofeta ha a ne a le pela Nōka ea Hiddekele.</w:t>
      </w:r>
    </w:p>
    <w:p>
      <w:pPr>
        <w:pStyle w:val="ArticleScripture"/>
        <w:jc w:val="left"/>
      </w:pPr>
      <w:r>
        <w:rPr>
          <w:rFonts w:ascii="Times New Roman" w:hAnsi="Times New Roman" w:eastAsia="Times New Roman" w:cs="Times New Roman"/>
        </w:rPr>
        <w:t>Lama pada hari kedua puluh empat bulan yang pertama, ketika aku berada di tepi sungai besar itu, yaitu sungai Hiddekel. Daniel 10:4.</w:t>
      </w:r>
    </w:p>
    <w:p>
      <w:pPr>
        <w:pStyle w:val="ArticleBody"/>
        <w:jc w:val="left"/>
      </w:pPr>
      <w:r>
        <w:rPr>
          <w:rFonts w:ascii="Times New Roman" w:hAnsi="Times New Roman" w:eastAsia="Times New Roman" w:cs="Times New Roman"/>
        </w:rPr>
        <w:t>Gabriel jem kedegi ipa chazon onetkakani Hiddekel Awa ni pampam ting, anabuk ni verse fourteen.</w:t>
      </w:r>
    </w:p>
    <w:p>
      <w:pPr>
        <w:pStyle w:val="ArticleScripture"/>
        <w:jc w:val="left"/>
      </w:pPr>
      <w:r>
        <w:rPr>
          <w:rFonts w:ascii="Times New Roman" w:hAnsi="Times New Roman" w:eastAsia="Times New Roman" w:cs="Times New Roman"/>
        </w:rPr>
        <w:t>Sasa nimekuja kukufahamisha litakalowapata watu wako katika siku za mwisho; maana maono haya bado ni ya siku nyingi. Danieli 10:14.</w:t>
      </w:r>
    </w:p>
    <w:p>
      <w:pPr>
        <w:pStyle w:val="ArticleBody"/>
        <w:jc w:val="left"/>
      </w:pPr>
      <w:r>
        <w:rPr>
          <w:rFonts w:ascii="Times New Roman" w:hAnsi="Times New Roman" w:eastAsia="Times New Roman" w:cs="Times New Roman"/>
        </w:rPr>
        <w:t>Penehelo ye e neilwego kgauswi le Noka ya Ulai e hlaola “ponagalo” ya Kriste, (bomodimo) ge A tlile ka tšhoganetšo tempeleng ya gagwe ka la 22 Diphalane, 1844. E be e emela “bomodimo” bo tsena ka tempeleng ya ba Millerite (botho) ka letšatši leo, bakeng sa Letšatši la Poelano, go ra letšatši la “go dirwa batee”, leo le emelago kopanyo ya bomodimo le botho. Penehelo ye e neilwego kgauswi le Noka ya Hiddekel e hlaola seo se tlago go welwa ke batho ba Modimo (botho) mehleng ya bofelo.</w:t>
      </w:r>
    </w:p>
    <w:p>
      <w:pPr>
        <w:pStyle w:val="ArticleBody"/>
        <w:jc w:val="left"/>
      </w:pPr>
      <w:r>
        <w:rPr>
          <w:rFonts w:ascii="Times New Roman" w:hAnsi="Times New Roman" w:eastAsia="Times New Roman" w:cs="Times New Roman"/>
        </w:rPr>
        <w:t>Permulaan penglihatan tentang “penampakan” itu ialah pada tahun 457 SM. Dua ratus dua puluh tahun selepas tempoh nubuatan yang menandai pemijakan ke atas tempat kudus dan bala tentera, yang bermula pada tahun 677 SM. Pengakhiran dua ratus dua puluh tahun yang dihubungkan bersama pada titik permulaan kedua-dua penglihatan itu, telah ditandai oleh Penghitung Ajaib, yang juga ialah Ahli Bahasa Ajaib dalam Habakuk 2:20.</w:t>
      </w:r>
    </w:p>
    <w:p>
      <w:pPr>
        <w:pStyle w:val="ArticleScripture"/>
        <w:jc w:val="left"/>
      </w:pPr>
      <w:r>
        <w:rPr>
          <w:rFonts w:ascii="Times New Roman" w:hAnsi="Times New Roman" w:eastAsia="Times New Roman" w:cs="Times New Roman"/>
        </w:rPr>
        <w:t>Tetapi Tuhan ada di bait-Nya yang kudus: biarlah seluruh bumi berdiam diri di hadapan-Nya. Habakuk 2:20.</w:t>
      </w:r>
    </w:p>
    <w:p>
      <w:pPr>
        <w:pStyle w:val="ArticleBody"/>
        <w:jc w:val="left"/>
      </w:pPr>
      <w:r>
        <w:rPr>
          <w:rFonts w:ascii="Times New Roman" w:hAnsi="Times New Roman" w:eastAsia="Times New Roman" w:cs="Times New Roman"/>
        </w:rPr>
        <w:t>Penghubung antara kemanusiaan dan keilahian yang pada mulanya dilambangkan oleh titik-titik permulaan kedua nubuat itu dikenali pada pengakhiran bersama keduanya melalui pasal dan ayat yang menggambarkan penampakan keilahian yang tiba-tiba datang ke dalam bait suci yang telah dibangun-Nya selama empat puluh enam tahun, bermula pada waktu akhir pada tahun 1798, dan berakhir empat puluh enam tahun kemudian, pada 22 Oktober 1844.</w:t>
      </w:r>
    </w:p>
    <w:p>
      <w:pPr>
        <w:pStyle w:val="ArticleScripture"/>
        <w:jc w:val="left"/>
      </w:pPr>
      <w:r>
        <w:rPr>
          <w:rFonts w:ascii="Times New Roman" w:hAnsi="Times New Roman" w:eastAsia="Times New Roman" w:cs="Times New Roman"/>
        </w:rPr>
        <w:t>A hriat lo em? Nangni chu Pathian biak in in ni a, Pathian Thlarau chu in chhunga a awm tih hi? Tu pawhin Pathian biak in a tihbawlhchhiat chuan, amah chu Pathianin a ti boral ang; Pathian biak in chu thianghlim a ni, chu biak in chu nangni hi in ni. 1 Korinth 3:16, 17.</w:t>
      </w:r>
    </w:p>
    <w:p>
      <w:pPr>
        <w:pStyle w:val="ArticleBody"/>
        <w:jc w:val="left"/>
      </w:pPr>
      <w:r>
        <w:rPr>
          <w:rFonts w:ascii="Times New Roman" w:hAnsi="Times New Roman" w:eastAsia="Times New Roman" w:cs="Times New Roman"/>
        </w:rPr>
        <w:t>Pada 22 Oktober 1844, selaras dengan penglihatan tentang “penampakan” itu, Habakuk mengenal pasti bahawa Tuhan berada di dalam bait-Nya yang kudus. Dia telah mendirikan bait itu, yang telah dimusnahkan dan dipijak-pijak selama dua ribu lima ratus dua puluh tahun, dalam masa empat puluh enam tahun.</w:t>
      </w:r>
    </w:p>
    <w:p>
      <w:pPr>
        <w:pStyle w:val="ArticleScripture"/>
        <w:jc w:val="left"/>
      </w:pPr>
      <w:r>
        <w:rPr>
          <w:rFonts w:ascii="Times New Roman" w:hAnsi="Times New Roman" w:eastAsia="Times New Roman" w:cs="Times New Roman"/>
        </w:rPr>
        <w:t>Dan bertuturlah kepadanya, demikian: Beginilah firman TUHAN semesta alam: Lihatlah, seorang yang namanya TUNAS; ia akan bertunas dari tempatnya, dan ia akan membangun Bait TUHAN. Ya, dialah yang akan membangun Bait TUHAN; dan ia akan memikul kemuliaan, dan akan duduk serta memerintah di atas takhtanya; dan ia akan menjadi imam di atas takhtanya; dan pertimbangan damai sejahtera akan ada di antara mereka berdua. Dan mahkota-mahkota itu akan menjadi bagi Helem, dan bagi Tobia, dan bagi Yedaya, dan bagi Hen anak Zefanya, sebagai peringatan di dalam Bait TUHAN. Dan orang-orang yang jauh akan datang dan membangun di dalam Bait TUHAN, dan kamu akan mengetahui bahwa TUHAN semesta alam telah mengutus aku kepadamu. Dan hal ini akan terjadi, jika kamu sungguh-sungguh menaati suara TUHAN, Allahmu. Zakharia 6:12–15.</w:t>
      </w:r>
    </w:p>
    <w:p>
      <w:pPr>
        <w:pStyle w:val="ArticleBody"/>
        <w:jc w:val="left"/>
      </w:pPr>
      <w:r>
        <w:rPr>
          <w:rFonts w:ascii="Times New Roman" w:hAnsi="Times New Roman" w:eastAsia="Times New Roman" w:cs="Times New Roman"/>
        </w:rPr>
        <w:t>Go Johane 2:20, morago ga gore Keresete a phepafatše tempele, yeo go ya ka Kgaetšedi White e bego e le phethagatšo ya Maleaki kgaolo ya boraro, bjalo ka ge go bile ka October 22, 1844, Motseta wa Kgwerano o ile a tla ka ponyo ya leihlo tempeleng ya Gagwe.</w:t>
      </w:r>
    </w:p>
    <w:p>
      <w:pPr>
        <w:pStyle w:val="ArticleScripture"/>
        <w:jc w:val="left"/>
      </w:pPr>
      <w:r>
        <w:rPr>
          <w:rFonts w:ascii="Times New Roman" w:hAnsi="Times New Roman" w:eastAsia="Times New Roman" w:cs="Times New Roman"/>
        </w:rPr>
        <w:t>Yesus menjawab dan berkata kepada mereka, “Runtuhkanlah bait ini, dan dalam tiga hari Aku akan membangunkannya kembali.” Maka kata orang-orang Yahudi itu, “Empat puluh enam tahun bait ini didirikan, dan Engkau akan membangunkannya dalam tiga hari?” Tetapi yang dimaksudkan-Nya ialah bait tubuh-Nya. Yohanes 2:19–20.</w:t>
      </w:r>
    </w:p>
    <w:p>
      <w:pPr>
        <w:pStyle w:val="ArticleBody"/>
        <w:jc w:val="left"/>
      </w:pPr>
      <w:r>
        <w:rPr>
          <w:rFonts w:ascii="Times New Roman" w:hAnsi="Times New Roman" w:eastAsia="Times New Roman" w:cs="Times New Roman"/>
        </w:rPr>
        <w:t>Go phethagala Malakia kgaolo ya boraro, Keresete o tlile ka ponyo mo tempeleng ya Gagwe ge A hlwekiša tempele mathomong a bodiredi bja Gagwe go Johane kgaolo ya bobedi, seo se bego se swantšha la 22 Diphalane, 1844. Go hlwekišwa ga tempele ke Keresete go Johane kgaolo ya bobedi, le la 22 Diphalane, 1844, e bile phethagalo ya Malakia kgaolo ya boraro. Go Johane kgaolo ya BOBEDI le temana ya MASOMEPEDI, re botšwa gore tempele ya botho e agile nywaga ye masome nne le tshela, gomme tempele ya bomodimo ya tsošwa ka matšatši a mararo. Tempele ya botho e ba fela “tempele e kgethwa” ya Habakuku ge bomodimo bo tsena ka ponyo go yona, bjalo ka ge go diragetše ka la 22 Diphalane, 1844, gobane bomodimo bjo bo kopantšwego le botho ga bo dire sebe. Dipono tša dinoka tše pedi tše kgolo tša Shinara di emela therešo ya gore botho bjo bo kopantšwego le bomodimo ga bo dire sebe.</w:t>
      </w:r>
    </w:p>
    <w:p>
      <w:pPr>
        <w:pStyle w:val="ArticleBody"/>
        <w:jc w:val="left"/>
      </w:pPr>
      <w:r>
        <w:rPr>
          <w:rFonts w:ascii="Times New Roman" w:hAnsi="Times New Roman" w:eastAsia="Times New Roman" w:cs="Times New Roman"/>
        </w:rPr>
        <w:t>Re tla tšwela pele ka go ela hloko temana ya masomenne ya Daniele kgaolo ya lesome le motso o mongwe mo sengwalong se se latelang.</w:t>
      </w:r>
    </w:p>
    <w:p>
      <w:pPr>
        <w:pStyle w:val="ArticleScripture"/>
        <w:jc w:val="left"/>
      </w:pPr>
      <w:r>
        <w:rPr>
          <w:rFonts w:ascii="Times New Roman" w:hAnsi="Times New Roman" w:eastAsia="Times New Roman" w:cs="Times New Roman"/>
        </w:rPr>
        <w:t>Kamu juga, sebagai batu-batu yang hidup, sedang dibangunkan menjadi sebuah rumah rohani, suatu imamat yang kudus, untuk mempersembahkan korban-korban rohani yang berkenan kepada Tuhan melalui Yesus Kristus. 1 Petrus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Bilangan Seratus Dua Puluh Dua</dc:title>
  <dc:subject>Ho Senoloa ha ’Nete: Leeto ka Daniele 11 le Ho Tsukutloa ha Batho ba Molimo</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