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Tiga Puluh Tiga</w:t>
      </w:r>
    </w:p>
    <w:p>
      <w:pPr>
        <w:pStyle w:val="ArticleSubtitle"/>
        <w:jc w:val="left"/>
      </w:pPr>
      <w:r>
        <w:rPr>
          <w:rFonts w:ascii="Nirmala UI" w:hAnsi="Nirmala UI" w:eastAsia="Nirmala UI" w:cs="Nirmala UI"/>
        </w:rPr>
        <w:t>ఒక</w:t>
      </w:r>
      <w:r>
        <w:rPr>
          <w:rFonts w:ascii="Arial" w:hAnsi="Arial" w:eastAsia="Arial" w:cs="Arial"/>
        </w:rPr>
        <w:t xml:space="preserve"> </w:t>
      </w:r>
      <w:r>
        <w:rPr>
          <w:rFonts w:ascii="Nirmala UI" w:hAnsi="Nirmala UI" w:eastAsia="Nirmala UI" w:cs="Nirmala UI"/>
        </w:rPr>
        <w:t>లక్ష</w:t>
      </w:r>
      <w:r>
        <w:rPr>
          <w:rFonts w:ascii="Arial" w:hAnsi="Arial" w:eastAsia="Arial" w:cs="Arial"/>
        </w:rPr>
        <w:t xml:space="preserve"> </w:t>
      </w:r>
      <w:r>
        <w:rPr>
          <w:rFonts w:ascii="Nirmala UI" w:hAnsi="Nirmala UI" w:eastAsia="Nirmala UI" w:cs="Nirmala UI"/>
        </w:rPr>
        <w:t>నలభై</w:t>
      </w:r>
      <w:r>
        <w:rPr>
          <w:rFonts w:ascii="Arial" w:hAnsi="Arial" w:eastAsia="Arial" w:cs="Arial"/>
        </w:rPr>
        <w:t xml:space="preserve"> </w:t>
      </w:r>
      <w:r>
        <w:rPr>
          <w:rFonts w:ascii="Nirmala UI" w:hAnsi="Nirmala UI" w:eastAsia="Nirmala UI" w:cs="Nirmala UI"/>
        </w:rPr>
        <w:t>నాలుగు</w:t>
      </w:r>
      <w:r>
        <w:rPr>
          <w:rFonts w:ascii="Arial" w:hAnsi="Arial" w:eastAsia="Arial" w:cs="Arial"/>
        </w:rPr>
        <w:t xml:space="preserve"> </w:t>
      </w:r>
      <w:r>
        <w:rPr>
          <w:rFonts w:ascii="Nirmala UI" w:hAnsi="Nirmala UI" w:eastAsia="Nirmala UI" w:cs="Nirmala UI"/>
        </w:rPr>
        <w:t>వేల</w:t>
      </w:r>
      <w:r>
        <w:rPr>
          <w:rFonts w:ascii="Arial" w:hAnsi="Arial" w:eastAsia="Arial" w:cs="Arial"/>
        </w:rPr>
        <w:t xml:space="preserve"> </w:t>
      </w:r>
      <w:r>
        <w:rPr>
          <w:rFonts w:ascii="Nirmala UI" w:hAnsi="Nirmala UI" w:eastAsia="Nirmala UI" w:cs="Nirmala UI"/>
        </w:rPr>
        <w:t>మందికి</w:t>
      </w:r>
      <w:r>
        <w:rPr>
          <w:rFonts w:ascii="Arial" w:hAnsi="Arial" w:eastAsia="Arial" w:cs="Arial"/>
        </w:rPr>
        <w:t xml:space="preserve"> </w:t>
      </w:r>
      <w:r>
        <w:rPr>
          <w:rFonts w:ascii="Nirmala UI" w:hAnsi="Nirmala UI" w:eastAsia="Nirmala UI" w:cs="Nirmala UI"/>
        </w:rPr>
        <w:t>ముద్ర</w:t>
      </w:r>
      <w:r>
        <w:rPr>
          <w:rFonts w:ascii="Arial" w:hAnsi="Arial" w:eastAsia="Arial" w:cs="Arial"/>
        </w:rPr>
        <w:t xml:space="preserve"> </w:t>
      </w:r>
      <w:r>
        <w:rPr>
          <w:rFonts w:ascii="Nirmala UI" w:hAnsi="Nirmala UI" w:eastAsia="Nirmala UI" w:cs="Nirmala UI"/>
        </w:rPr>
        <w:t>వేయబడే</w:t>
      </w:r>
      <w:r>
        <w:rPr>
          <w:rFonts w:ascii="Arial" w:hAnsi="Arial" w:eastAsia="Arial" w:cs="Arial"/>
        </w:rPr>
        <w:t xml:space="preserve"> </w:t>
      </w:r>
      <w:r>
        <w:rPr>
          <w:rFonts w:ascii="Nirmala UI" w:hAnsi="Nirmala UI" w:eastAsia="Nirmala UI" w:cs="Nirmala UI"/>
        </w:rPr>
        <w:t>కాలముపై</w:t>
      </w:r>
      <w:r>
        <w:rPr>
          <w:rFonts w:ascii="Arial" w:hAnsi="Arial" w:eastAsia="Arial" w:cs="Arial"/>
        </w:rPr>
        <w:t xml:space="preserve"> </w:t>
      </w:r>
      <w:r>
        <w:rPr>
          <w:rFonts w:ascii="Nirmala UI" w:hAnsi="Nirmala UI" w:eastAsia="Nirmala UI" w:cs="Nirmala UI"/>
        </w:rPr>
        <w:t>ప్రవచనాత్మక</w:t>
      </w:r>
      <w:r>
        <w:rPr>
          <w:rFonts w:ascii="Arial" w:hAnsi="Arial" w:eastAsia="Arial" w:cs="Arial"/>
        </w:rPr>
        <w:t xml:space="preserve"> </w:t>
      </w:r>
      <w:r>
        <w:rPr>
          <w:rFonts w:ascii="Nirmala UI" w:hAnsi="Nirmala UI" w:eastAsia="Nirmala UI" w:cs="Nirmala UI"/>
        </w:rPr>
        <w:t>నేయ్పు</w:t>
      </w:r>
      <w:r>
        <w:rPr>
          <w:rFonts w:ascii="Arial" w:hAnsi="Arial" w:eastAsia="Arial" w:cs="Arial"/>
        </w:rPr>
        <w:t xml:space="preserve"> </w:t>
      </w:r>
      <w:r>
        <w:rPr>
          <w:rFonts w:ascii="Nirmala UI" w:hAnsi="Nirmala UI" w:eastAsia="Nirmala UI" w:cs="Nirmala UI"/>
        </w:rPr>
        <w:t>విప్పి</w:t>
      </w:r>
      <w:r>
        <w:rPr>
          <w:rFonts w:ascii="Arial" w:hAnsi="Arial" w:eastAsia="Arial" w:cs="Arial"/>
        </w:rPr>
        <w:t xml:space="preserve"> </w:t>
      </w:r>
      <w:r>
        <w:rPr>
          <w:rFonts w:ascii="Nirmala UI" w:hAnsi="Nirmala UI" w:eastAsia="Nirmala UI" w:cs="Nirmala UI"/>
        </w:rPr>
        <w:t>చూపు</w:t>
      </w:r>
      <w:r>
        <w:rPr>
          <w:rFonts w:ascii="Arial" w:hAnsi="Arial" w:eastAsia="Arial" w:cs="Arial"/>
        </w:rPr>
        <w:t xml:space="preserve">: </w:t>
      </w:r>
      <w:r>
        <w:rPr>
          <w:rFonts w:ascii="Nirmala UI" w:hAnsi="Nirmala UI" w:eastAsia="Nirmala UI" w:cs="Nirmala UI"/>
        </w:rPr>
        <w:t>అంతర్దృష్టులు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Barofeti bohle ba dumellana mongwe le mongwe, mme botlhe ba supa ka go kgethegileng ka bokhutlo jwa lefatshe go na le malatsi a ba neng ba tshela mo go one. Bosupi jwa bone bo tshwanetse go dirisiwa mo pakeng ya boporofeti ya nako ya go kanela ya ba ba dikete di le lekgolo le masome a manê le bonê, gonne ke gone mo tiragalong ya pono nngwe le nngwe e diragalang teng. Isaia, mo kgaolong ya borataro, mo ponong o ne a letlelelwa go leba ka mo Felong ga Boitshepo jo Bogolo, mo nakong ya go kanela ya ba ba dikete di le lekgolo le masome a manê le bonê, koo a boneng kgalalelo ya Modimo. Re itse gore e ne e le morago ga Lwetse 11, 2001, gonne o ne a utlwa baengele mo temaneng ya boraro ba supa gore ka nako eo lefatshe le ne le tletse ka kgalalelo ya Gagwe.</w:t>
      </w:r>
    </w:p>
    <w:p>
      <w:pPr>
        <w:pStyle w:val="ArticleScripture"/>
        <w:jc w:val="left"/>
      </w:pPr>
      <w:r>
        <w:rPr>
          <w:rFonts w:ascii="Times New Roman" w:hAnsi="Times New Roman" w:eastAsia="Times New Roman" w:cs="Times New Roman"/>
        </w:rPr>
        <w:t>“Tatkala Allah hendak mengutus Yesaya dengan suatu pekabaran kepada umat-Nya, terlebih dahulu Ia mengizinkan nabi itu melihat dalam penglihatan ke dalam tempat yang maha kudus di dalam Bait Suci. Sekonyong-konyong pintu gerbang dan tabir bagian dalam Bait itu tampak terangkat atau tersingkap, dan ia diizinkan memandang ke dalam, kepada tempat yang maha kudus, tempat yang bahkan kaki sang nabi pun tidak boleh memasukinya. Maka tampaklah di hadapannya suatu penglihatan tentang Yahweh yang duduk di atas suatu takhta, tinggi dan terangkat, sedangkan ujung jubah kemuliaan-Nya memenuhi Bait itu. Di sekeliling takhta itu ada para serafim, seperti para pengawal di sekeliling Raja yang agung, dan mereka memantulkan kemuliaan yang mengelilingi mereka. Ketika nyanyian pujian mereka bergema dalam nada-nada penyembahan yang dalam, tiang-tiang gerbang itu bergetar, seakan-akan diguncangkan oleh gempa bumi. Dengan bibir yang tidak dinajiskan oleh dosa, malaikat-malaikat ini mencurahkan puji-pujian kepada Allah. ‘Kudus, kudus, kuduslah TUHAN semesta alam,’ seru mereka; ‘seluruh bumi penuh dengan kemuliaan-Nya.’ [Lihat Yesaya 6:1–8.]”</w:t>
      </w:r>
    </w:p>
    <w:p>
      <w:pPr>
        <w:pStyle w:val="ArticleScripture"/>
        <w:jc w:val="left"/>
      </w:pPr>
      <w:r>
        <w:rPr>
          <w:rFonts w:ascii="Times New Roman" w:hAnsi="Times New Roman" w:eastAsia="Times New Roman" w:cs="Times New Roman"/>
        </w:rPr>
        <w:t>“Pulọ ndị serafim nọ gburugburu ocheeze ahụ jupụtara n’ụjọ nsọ nke nsọpụrụ ka ha na-ele ebube Chineke anya, nke mere na ha adịghị ọbụna otu ntabi anya ele onwe ha anya n’ịmasị onwe ha. Otuto ha bụ nke Onyenwe ndị agha. Ka ha na-ele anya n’ọdịnihu, mgbe ụwa dum ga-ejupụta n’ebube Ya, a na-ekwughachi abụ mmeri ahụ site n’otu gaa n’otu n’ụda abụ dị ụtọ, ‘Nsọ, nsọ, nsọ, bụ Onyenwe ndị agha.’ Ha na-ezu oke n’ịnye Chineke ebube; na-anọgide n’ihu Ya, n’okpuru ọnụ ọchị nnabata Ya, ha achọghị ihe ọ bụla ọzọ. N’ibu onyinyo Ya, n’ime ihe Ọ na-enye iwu, n’ife Ya ofufe, oke ọchịchọ ha kachasị elu eruola.” Gospel Workers, 21.</w:t>
      </w:r>
    </w:p>
    <w:p>
      <w:pPr>
        <w:pStyle w:val="ArticleBody"/>
        <w:jc w:val="left"/>
      </w:pPr>
      <w:r>
        <w:rPr>
          <w:rFonts w:ascii="Times New Roman" w:hAnsi="Times New Roman" w:eastAsia="Times New Roman" w:cs="Times New Roman"/>
        </w:rPr>
        <w:t>Selaras dengan Yesaya, nabi Yehezkiel juga diizinkan melihat ke dalam Tempat Mahakudus. Penglihatan Yehezkiel dimulai dalam pasal satu, ayat satu.</w:t>
      </w:r>
    </w:p>
    <w:p>
      <w:pPr>
        <w:pStyle w:val="ArticleScripture"/>
        <w:jc w:val="left"/>
      </w:pPr>
      <w:r>
        <w:rPr>
          <w:rFonts w:ascii="Times New Roman" w:hAnsi="Times New Roman" w:eastAsia="Times New Roman" w:cs="Times New Roman"/>
        </w:rPr>
        <w:t>Maka terjadilah pada tahun ketiga puluh, pada bulan yang keempat, pada hari yang kelima bulan itu, ketika aku berada di tengah-tengah orang buangan di tepi sungai Kebar, bahwa langit terbuka, dan aku melihat penglihatan-penglihatan dari Allah. Yehezkiel 1:1.</w:t>
      </w:r>
    </w:p>
    <w:p>
      <w:pPr>
        <w:pStyle w:val="ArticleBody"/>
        <w:jc w:val="left"/>
      </w:pPr>
      <w:r>
        <w:rPr>
          <w:rFonts w:ascii="Times New Roman" w:hAnsi="Times New Roman" w:eastAsia="Times New Roman" w:cs="Times New Roman"/>
        </w:rPr>
        <w:t>Pono ya hae e tšwela pele ka dikgaolo, mme ke tswelelopele ya yona pono yeo e lego ka go dikgaolo tša seswai le senyane, yeo e hlalošago go swaya ka leswao ga ba dikete tše lekgolo le masomenne a mane. Re tseba se ka bohlatse bja gagwe bjo bo hlokolosi.</w:t>
      </w:r>
    </w:p>
    <w:p>
      <w:pPr>
        <w:pStyle w:val="ArticleScripture"/>
        <w:jc w:val="left"/>
      </w:pPr>
      <w:r>
        <w:rPr>
          <w:rFonts w:ascii="Times New Roman" w:hAnsi="Times New Roman" w:eastAsia="Times New Roman" w:cs="Times New Roman"/>
        </w:rPr>
        <w:t>Doo naano la, dalam taun kaanam, dalam buan kaanam, pada ari kalima buan itu, samantara aku duduk dalam umahku, lalu para tua-tua Yehuda duduk di adapanku, tangan Tuhan ALLAH turun atas aku di situ. Lalu aku meliat, dan tengoklah, ada suatu rupa seperti kelihatan api: dari kelihatan pinggang-Nya ka bawah, api; dan dari pinggang-Nya ka atas, seperti kelihatan cahaya, seperti warna ambar. Lalu Ia mengulurkan bentuk suatu tangan dan mengambil aku pada sejumput rambut kepalaku; lalu Roh mengangkat aku antara bumi dan langit, dan membawa aku dalam penglihatan-penglihatan Allah ka Yerusalem, ka pintu gerbang dalam yang menghadap ka utara; di sanalah tempat patung kecemburuan, yang membangkitkan kecemburuan. Dan, tengoklah, kemuliaan Allah Israel ada di sana, sesuai dengan penglihatan yang kulihat di padang. Yehezkiel 8:1–4.</w:t>
      </w:r>
    </w:p>
    <w:p>
      <w:pPr>
        <w:pStyle w:val="ArticleBody"/>
        <w:jc w:val="left"/>
      </w:pPr>
      <w:r>
        <w:rPr>
          <w:rFonts w:ascii="Times New Roman" w:hAnsi="Times New Roman" w:eastAsia="Times New Roman" w:cs="Times New Roman"/>
        </w:rPr>
        <w:t>Pono ea likhaolo tsa robeli le tsa robong, e khethollang lihlopha tse peli tse bōptjoang nakong ea ho tiisoa ha ba likete tse lekholo le mashome a mane a metso e mene, e ne e le, “ho ea ka pono eo” Ezekiele a neng a e bone “lebaleng.” Pono eo a neng a e bone lebaleng e tsejoa khaolong ea boraro.</w:t>
      </w:r>
    </w:p>
    <w:p>
      <w:pPr>
        <w:pStyle w:val="ArticleScripture"/>
        <w:jc w:val="left"/>
      </w:pPr>
      <w:r>
        <w:rPr>
          <w:rFonts w:ascii="Leelawadee UI" w:hAnsi="Leelawadee UI" w:eastAsia="Leelawadee UI" w:cs="Leelawadee UI"/>
        </w:rPr>
        <w:t>តែព្រះហស្តនៃព្រះអម្ចាស់បានស្ថិតលើខ្ញុំនៅទីនោះ</w:t>
      </w:r>
      <w:r>
        <w:rPr>
          <w:rFonts w:ascii="Times New Roman" w:hAnsi="Times New Roman" w:eastAsia="Times New Roman" w:cs="Times New Roman"/>
        </w:rPr>
        <w:t xml:space="preserve"> </w:t>
      </w:r>
      <w:r>
        <w:rPr>
          <w:rFonts w:ascii="Leelawadee UI" w:hAnsi="Leelawadee UI" w:eastAsia="Leelawadee UI" w:cs="Leelawadee UI"/>
        </w:rPr>
        <w:t>ហើយទ្រង់មានព្រះបន្ទូលមកកាន់ខ្ញុំថា៖</w:t>
      </w:r>
      <w:r>
        <w:rPr>
          <w:rFonts w:ascii="Times New Roman" w:hAnsi="Times New Roman" w:eastAsia="Times New Roman" w:cs="Times New Roman"/>
        </w:rPr>
        <w:t xml:space="preserve"> «</w:t>
      </w:r>
      <w:r>
        <w:rPr>
          <w:rFonts w:ascii="Leelawadee UI" w:hAnsi="Leelawadee UI" w:eastAsia="Leelawadee UI" w:cs="Leelawadee UI"/>
        </w:rPr>
        <w:t>ចូរក្រោកឡើង</w:t>
      </w:r>
      <w:r>
        <w:rPr>
          <w:rFonts w:ascii="Times New Roman" w:hAnsi="Times New Roman" w:eastAsia="Times New Roman" w:cs="Times New Roman"/>
        </w:rPr>
        <w:t xml:space="preserve"> </w:t>
      </w:r>
      <w:r>
        <w:rPr>
          <w:rFonts w:ascii="Leelawadee UI" w:hAnsi="Leelawadee UI" w:eastAsia="Leelawadee UI" w:cs="Leelawadee UI"/>
        </w:rPr>
        <w:t>ចេញទៅឯវាលទំនាប</w:t>
      </w:r>
      <w:r>
        <w:rPr>
          <w:rFonts w:ascii="Times New Roman" w:hAnsi="Times New Roman" w:eastAsia="Times New Roman" w:cs="Times New Roman"/>
        </w:rPr>
        <w:t xml:space="preserve"> </w:t>
      </w:r>
      <w:r>
        <w:rPr>
          <w:rFonts w:ascii="Leelawadee UI" w:hAnsi="Leelawadee UI" w:eastAsia="Leelawadee UI" w:cs="Leelawadee UI"/>
        </w:rPr>
        <w:t>ហើយនៅទីនោះ</w:t>
      </w:r>
      <w:r>
        <w:rPr>
          <w:rFonts w:ascii="Times New Roman" w:hAnsi="Times New Roman" w:eastAsia="Times New Roman" w:cs="Times New Roman"/>
        </w:rPr>
        <w:t xml:space="preserve"> </w:t>
      </w:r>
      <w:r>
        <w:rPr>
          <w:rFonts w:ascii="Leelawadee UI" w:hAnsi="Leelawadee UI" w:eastAsia="Leelawadee UI" w:cs="Leelawadee UI"/>
        </w:rPr>
        <w:t>យើងនឹងមានពាក្យនិយាយជាមួយអ្នក</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ខ្ញុំក៏ក្រោកឡើង</w:t>
      </w:r>
      <w:r>
        <w:rPr>
          <w:rFonts w:ascii="Times New Roman" w:hAnsi="Times New Roman" w:eastAsia="Times New Roman" w:cs="Times New Roman"/>
        </w:rPr>
        <w:t xml:space="preserve"> </w:t>
      </w:r>
      <w:r>
        <w:rPr>
          <w:rFonts w:ascii="Leelawadee UI" w:hAnsi="Leelawadee UI" w:eastAsia="Leelawadee UI" w:cs="Leelawadee UI"/>
        </w:rPr>
        <w:t>ហើយចេញទៅឯវាលទំនាប។</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សិរីល្អនៃព្រះអម្ចាស់បានឈរនៅទីនោះ</w:t>
      </w:r>
      <w:r>
        <w:rPr>
          <w:rFonts w:ascii="Times New Roman" w:hAnsi="Times New Roman" w:eastAsia="Times New Roman" w:cs="Times New Roman"/>
        </w:rPr>
        <w:t xml:space="preserve"> </w:t>
      </w:r>
      <w:r>
        <w:rPr>
          <w:rFonts w:ascii="Leelawadee UI" w:hAnsi="Leelawadee UI" w:eastAsia="Leelawadee UI" w:cs="Leelawadee UI"/>
        </w:rPr>
        <w:t>ដូចសិរីល្អដែលខ្ញុំបានឃើញនៅក្បែរទន្លេខេបារ</w:t>
      </w:r>
      <w:r>
        <w:rPr>
          <w:rFonts w:ascii="Times New Roman" w:hAnsi="Times New Roman" w:eastAsia="Times New Roman" w:cs="Times New Roman"/>
        </w:rPr>
        <w:t xml:space="preserve"> </w:t>
      </w:r>
      <w:r>
        <w:rPr>
          <w:rFonts w:ascii="Leelawadee UI" w:hAnsi="Leelawadee UI" w:eastAsia="Leelawadee UI" w:cs="Leelawadee UI"/>
        </w:rPr>
        <w:t>ហើយខ្ញុំក៏ដួលផ្កាប់មុខចុះ។</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៣</w:t>
      </w:r>
      <w:r>
        <w:rPr>
          <w:rFonts w:ascii="Times New Roman" w:hAnsi="Times New Roman" w:eastAsia="Times New Roman" w:cs="Times New Roman"/>
        </w:rPr>
        <w:t>:</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២៣។</w:t>
      </w:r>
    </w:p>
    <w:p>
      <w:pPr>
        <w:pStyle w:val="ArticleBody"/>
        <w:jc w:val="left"/>
      </w:pPr>
      <w:r>
        <w:rPr>
          <w:rFonts w:ascii="Times New Roman" w:hAnsi="Times New Roman" w:eastAsia="Times New Roman" w:cs="Times New Roman"/>
        </w:rPr>
        <w:t>Penglihatan Yehezkiel tentang “dataran itu” adalah seperti “kemuliaan yang” Yehezkiel “lihat di tepi sungai Kebar,” dan itulah penglihatan dalam pasal satu, ayat satu. Penglihatan tentang pemeteraian dalam pasal sembilan, dan penglihatan tentang “dataran itu,” hanyalah kelanjutan dari penglihatan di sungai Kebar. Itu adalah suatu penglihatan tentang kemuliaan Allah di Tempat Yang Mahakudus, pada masa pemeteraian seratus empat puluh empat ribu, sama seperti penglihatan Yesaya. Penglihatan Yesaya mengidentifikasikan pekerjaan Allah dalam membangkitkan para utusan pada masa pemeteraian, dan dalam pasal dua dan tiga, Yehezkiel mengidentifikasikan pekerjaan itu sendiri dengan lebih terperinci daripada Yesaya, karena ia menggambarkan seorang utusan yang harus membawa suatu pekabaran kepada Adventisme Laodikia, dan agar ia memahami pekabaran yang harus dibawanya kepada umat yang memberontak yang sedang dilewati, Yehezkiel diperintahkan untuk memakan kitab kecil itu, yang ada di tangan Malaikat ketika Ia turun pada 11 September 2001.</w:t>
      </w:r>
    </w:p>
    <w:p>
      <w:pPr>
        <w:pStyle w:val="ArticleScripture"/>
        <w:jc w:val="left"/>
      </w:pPr>
      <w:r>
        <w:rPr>
          <w:rFonts w:ascii="Times New Roman" w:hAnsi="Times New Roman" w:eastAsia="Times New Roman" w:cs="Times New Roman"/>
        </w:rPr>
        <w:t>Nake O re ho nna, Morwa motho, ja se o se fitlhelang; ja lokwalo lo, o ye o bue le ba ntlo ya Iseraele. Ka jalo ka ahlamisa molomo wa me, mme a ntira gore ke je lokwalo loo. Mme a re ho nna, Morwa motho, dira gore mpa ya gago e je, o tlatse mala a gago ka lokwalo lo ke go lo nayang. Foo ka lo ja; mme mo molomong wa me lwa nna monate jaaka tswina ka botshe. Mme a re ho nna, Morwa motho, tsamaya, o ye kwa ntlong ya Iseraele, o ba bueletse ka mafoko a me. Gonne ga o a romelwa kwa bathong ba puo e sele le ba puo e thata, fa e se kwa ntlong ya Iseraele; e seng kwa merafeng e mentsi ya puo e sele le ya puo e thata, e o ka se kgoneng go tlhaloganya mafoko a yone. Ruri, fa nkabo ke go rometse kwa go bone, ba ka bo ba go reeditse. Mme ba ntlo ya Iseraele ga ba kitla ba go reetsa; gonne ga ba kitla ba ntheetsa: gonne ba ntlo yotlhe ya Iseraele ba pelo e thata, mme ba tlhogoethata. Bona, ke nonotshitse sefatlhego sa gago gore se ganetsane le difatlhego tsa bone, le phatla ya gago gore e ganetsane le diphatla tsa bone. Ke dirile phatla ya gago jaaka taemane, e le thata go feta legakwa; o se ka wa ba boifa, le gone o se ka wa tshosiwa ke ponalo ya bone, le fa e le ntlo e e tletseng botsuolodi. Esekiele 3:1–9.</w:t>
      </w:r>
    </w:p>
    <w:p>
      <w:pPr>
        <w:pStyle w:val="ArticleBody"/>
        <w:jc w:val="left"/>
      </w:pPr>
      <w:r>
        <w:rPr>
          <w:rFonts w:ascii="Times New Roman" w:hAnsi="Times New Roman" w:eastAsia="Times New Roman" w:cs="Times New Roman"/>
        </w:rPr>
        <w:t>Seorang kafir dalam Alkitab ialah seorang asing, dan orang asing bertutur dengan bahasa yang asing. Yehezkiel telah diutus kepada kaum Israel moden, yang pada waktu pemeteraian ialah gereja Masehi Advent Hari Ketujuh Laodikia, yang sedang dilewati. Pekabaran pada masa pemeteraian bagi seratus empat puluh empat ribu itu adalah untuk gereja Tuhan, yang terlebih dahulu dihakimi, dan kemudian pada hukum Ahad yang segera akan datang, suara kedua dari Wahyu pasal lapan belas memanggil kawanan kafir milik Tuhan keluar dari Babilon. Apabila Yesaya, dalam pasal enam, mewakili mereka yang menerima panggilan untuk diutus kepada kaum yang memberontak dengan pekabaran Laodikia, dia telah diperingatkan terlebih dahulu bahawa mereka ialah suatu bangsa yang, sekalipun melihat, tidak memahami, dan sekalipun mendengar, tidak mengerti. Yesaya mencatat sifat yang sama yang Yesus petik dari Yesaya pasal enam, ketika Dia mengenakan sifat itu kepada orang-orang Yahudi yang suka berbantah-bantah, yang sedang dilewati dalam sejarah Kristus.</w:t>
      </w:r>
    </w:p>
    <w:p>
      <w:pPr>
        <w:pStyle w:val="ArticleBody"/>
        <w:jc w:val="left"/>
      </w:pPr>
      <w:r>
        <w:rPr>
          <w:rFonts w:ascii="Times New Roman" w:hAnsi="Times New Roman" w:eastAsia="Times New Roman" w:cs="Times New Roman"/>
        </w:rPr>
        <w:t>Dalam pasal dua belas, Yehezkiel juga menggunakan terminologi yang sama persis, dengan demikian secara khusus menempatkan pasal dua belas ke dalam masa pemeteraian seratus empat puluh empat ribu.</w:t>
      </w:r>
    </w:p>
    <w:p>
      <w:pPr>
        <w:pStyle w:val="ArticleScripture"/>
        <w:jc w:val="left"/>
      </w:pPr>
      <w:r>
        <w:rPr>
          <w:rFonts w:ascii="Times New Roman" w:hAnsi="Times New Roman" w:eastAsia="Times New Roman" w:cs="Times New Roman"/>
        </w:rPr>
        <w:t>Firman Tuhan juga datang kepadaku, demikian: Hai anak manusia, engkau tinggal di tengah-tengah kaum pemberontak, yang mempunyai mata untuk melihat, tetapi tidak melihat; mereka mempunyai telinga untuk mendengar, tetapi tidak mendengar; sebab mereka adalah kaum pemberontak. Yehezkiel 12:1, 2.</w:t>
      </w:r>
    </w:p>
    <w:p>
      <w:pPr>
        <w:pStyle w:val="ArticleBody"/>
        <w:jc w:val="left"/>
      </w:pPr>
      <w:r>
        <w:rPr>
          <w:rFonts w:ascii="Times New Roman" w:hAnsi="Times New Roman" w:eastAsia="Times New Roman" w:cs="Times New Roman"/>
        </w:rPr>
        <w:t>Езекиел поглавје дванаесет го означува времето на запечатувањето на сто и четириесет и четирите илјади, и притоа ја разгледува фалсификуваната порака за доцниот дожд што ја нудат пијаниците на Ефрем, кои владеат над народот во Ерусалим — пијаниците што не можат да ја читаат запечатената книга. Нивната фалсификувана порака за доцниот дожд се темели врз тоа пророчките виденија на Божјата Реч да ги сместуваат далеку во иднината.</w:t>
      </w:r>
    </w:p>
    <w:p>
      <w:pPr>
        <w:pStyle w:val="ArticleBody"/>
        <w:jc w:val="left"/>
      </w:pPr>
      <w:r>
        <w:rPr>
          <w:rFonts w:ascii="Times New Roman" w:hAnsi="Times New Roman" w:eastAsia="Times New Roman" w:cs="Times New Roman"/>
        </w:rPr>
        <w:t>Dalam ayat tiga hingga lima belas, Yehezkiel diperintahkan untuk menggambarkan umat Allah masuk ke dalam penawanan di Babel. Penawanan di Babel melambangkan undang-undang hari Minggu yang segera akan datang, dan kemudian dalam ayat enam belas hingga dua puluh, ia mengenali kelaparan yang menyertai kebinasaan kota-kota yang bermula pada saat gempa bumi besar itu, yaitu undang-undang hari Minggu yang segera akan datang. Manfaat kehidupan di desa pada masa krisis itu dilambangkan di sana, dan kemudian dalam ayat dua puluh satu hingga dua puluh lapan, kita mendapati petikan yang diakui sebagai kebenaran masa kini dalam sejarah Millerit. Petikan itu dipetik kata demi kata dalam The Great Controversy dalam huraian sejarah Millerit di dalam buku itu.</w:t>
      </w:r>
    </w:p>
    <w:p>
      <w:pPr>
        <w:pStyle w:val="ArticleScripture"/>
        <w:jc w:val="left"/>
      </w:pPr>
      <w:r>
        <w:rPr>
          <w:rFonts w:ascii="Times New Roman" w:hAnsi="Times New Roman" w:eastAsia="Times New Roman" w:cs="Times New Roman"/>
        </w:rPr>
        <w:t>Lalu firman TUHAN datang kepadaku, bunyinya: “Hai anak manusia, apakah peribahasa yang ada padamu di tanah Israel ini, yang berbunyi: Hari-hari berlalu panjang, dan setiap penglihatan gagal? Oleh sebab itu katakanlah kepada mereka: Beginilah firman Tuhan ALLAH: Aku akan menghentikan peribahasa ini, dan mereka tidak akan memakainya lagi sebagai peribahasa di Israel; melainkan katakanlah kepada mereka: Hari-hari itu sudah dekat, dan penggenapan setiap penglihatan. Sebab tidak akan ada lagi penglihatan yang sia-sia ataupun tenungan yang menyanjung di tengah kaum Israel. Sebab Aku ini TUHAN; Aku berfirman, dan firman yang akan Kufirmankan itu akan terjadi; itu tidak akan ditangguhkan lagi; sebab pada zamanmu, hai kaum yang memberontak, Aku akan mengucapkan firman itu dan melaksanakannya, demikianlah firman Tuhan ALLAH.” Lalu firman TUHAN datang lagi kepadaku, bunyinya: “Hai anak manusia, sesungguhnya mereka dari kaum Israel berkata: Penglihatan yang dilihatnya itu mengenai hari-hari yang masih jauh, dan ia bernubuat tentang masa-masa yang masih lama. Oleh sebab itu katakanlah kepada mereka: Beginilah firman Tuhan ALLAH: Tidak satu pun dari firman-Ku akan ditangguhkan lagi, melainkan firman yang telah Kufirmankan itu akan terlaksana, demikianlah firman Tuhan ALLAH.” Yehezkiel 12:21–28.</w:t>
      </w:r>
    </w:p>
    <w:p>
      <w:pPr>
        <w:pStyle w:val="ArticleBody"/>
        <w:jc w:val="left"/>
      </w:pPr>
      <w:r>
        <w:rPr>
          <w:rFonts w:ascii="Times New Roman" w:hAnsi="Times New Roman" w:eastAsia="Times New Roman" w:cs="Times New Roman"/>
        </w:rPr>
        <w:t>Khohkhwihna rain hnuai ber thuchah, mi sangli leh pali singli le pali paruk tihte seal hunah hlan chhuak chu, “ni chu a sei tawh a, hmuhtîrna zawng zawng chu a tlu” tih a sawi. A nih lo’m ni, Mosia, Elija, Ezekiela, Isaia leh Johana ten an entîrna hmanrua a nih angin an lo awm kha, July 18, 2020 an sawi lawmawmnaah an tlu ta lo’m ni? Chumi hun laia Laodicea Adventist thuchah chu, “a hmuh hmuhtîrna chu ni tam tak hnu lama atâna ni a, hun hla tak chungchângah a hrilh” tih a ni. Chumi chanchinah chuan hmuhtîrna tinrêng zawng zawng a lo thleng mai bâkah, thuhretu chuan tunlai Israel bo tawh in hnenah, “Lalpa Pathianin heti hian a sawi,” “Laodicea Adventism thu lem,” “thufing” chu “Ka titawp ang” tih a hrilh tûr a ni. An hnênah, “Ni chu a hnaih tawh a, hmuhtîrna tinrêng rah chu a awm tawh” tiin hrilh rawh. “Ka thu zînga pakhat mah a sei leh tawh dâwn lo va, ka thu ka sawi chu tihhlawhtlin a ni ang, Lalpa Pathianin a ti,” tiin.</w:t>
      </w:r>
    </w:p>
    <w:p>
      <w:pPr>
        <w:pStyle w:val="ArticleBody"/>
        <w:jc w:val="left"/>
      </w:pPr>
      <w:r>
        <w:rPr>
          <w:rFonts w:ascii="Times New Roman" w:hAnsi="Times New Roman" w:eastAsia="Times New Roman" w:cs="Times New Roman"/>
        </w:rPr>
        <w:t>Ujumbe wa Laodikia unahitaji kwamba ujumbe huo utambue kuwa siku zimekaribia ambapo matokeo ya kila maono yatatukia, na siku hizo ni siku za kutiwa muhuri kwa wale laki moja na arobaini na nne elfu. Hoja ya msingi isiyopaswa kukosekana katika kifungu hicho ni kwamba Mungu anasema moja kwa moja kuwa katika “siku” hizo, zinazowakilisha kipindi cha wakati wa kutiwa muhuri, Yeye atasababisha “maono ya ubatili” ya Uadventista wa Laodikia, “ubashiri wao wa kujipendekeza,” na “methali” yao ya bandia kukoma. Mungu husababisha ujumbe wao bandia wa mvua ya masika kukoma kabla ya sheria ya Jumapili iliyo karibu kuja, kwa maana Yeye huisababisha ikome katika siku anazozishughulikia. Yeye huisababisha ikome kwa kuuthibitisha ujumbe wa kweli wa mvua ya masika anapowainua wale waliochaguliwa kuwa bendera wakati wa sheria ya Jumapili iliyo karibu kuja. Wale waliochaguliwa hutiwa muhuri kabla ya “tetemeko la nchi”.</w:t>
      </w:r>
    </w:p>
    <w:p>
      <w:pPr>
        <w:pStyle w:val="ArticleBody"/>
        <w:jc w:val="left"/>
      </w:pPr>
      <w:r>
        <w:rPr>
          <w:rFonts w:ascii="Times New Roman" w:hAnsi="Times New Roman" w:eastAsia="Times New Roman" w:cs="Times New Roman"/>
        </w:rPr>
        <w:t>Tsela e nngwe e ka yone A dirisang gore seane sa lefela sa molaetsa wa maaka wa pula ya bofelo se khutle, ke go tla ga dikatlholo tsa Modimo tse di sa lebelelwang e bile di ntse di oketsega, tse di tlang jaaka kgakgamalo e kgolo mo baneng ba lefifi, mme le fa go ntse jalo e le karolo ya molaetsa oo bana ba lesedi ba tla bo ba ntse ba o bolelela pele. Hisetori e re tsenang mo go yone jaanong e tloga e tla lebana le dikatlholo tsa Modimo. Dikatlholo tseo di emetswe gangwe le gape mo Lefokong la Modimo, mme paka ya go tshwaiwa, e e simologileng ka Lwetse 11, 2001, ke yone fa diponatshegelo tsotlhe, go akaretsa le diponatshegelo tsa dikatlholo tsa Modimo, di tshwanetseng go fitlha gone, gonne Lefoko la Gagwe ga le ke le palelwa.</w:t>
      </w:r>
    </w:p>
    <w:p>
      <w:pPr>
        <w:pStyle w:val="ArticleBody"/>
        <w:jc w:val="left"/>
      </w:pPr>
      <w:r>
        <w:rPr>
          <w:rFonts w:ascii="Times New Roman" w:hAnsi="Times New Roman" w:eastAsia="Times New Roman" w:cs="Times New Roman"/>
        </w:rPr>
        <w:t>Mašaleng a a fetile re bontšhitše gore dikgaolo tša pele tše tharo tša puku ya Daniele di emela melaetša ya barongwa ba bararo ya Kutollo kgaolo ya lesome le nne. Kgaolo ya bobedi ke molaetša wa morongwa wa bobedi, gomme ka fao ke seswantšho sa teko ya bobedi nakong ya go swaiwa. Teko ya pele e be e le kgaolo ya pele, gomme e be e le teko ya dijo ya ge e ba motho o tla kgetha dijo tša legodimo goba dijo tša Babilona. Kgaolo ya bobedi e be e emetšwe ke therešo ye e utilwego ka gare ga toro ya Nebukadinetsara ya seswantšho sa dibata, tše e lego mebušo.</w:t>
      </w:r>
    </w:p>
    <w:p>
      <w:pPr>
        <w:pStyle w:val="ArticleBody"/>
        <w:jc w:val="left"/>
      </w:pPr>
      <w:r>
        <w:rPr>
          <w:rFonts w:ascii="Times New Roman" w:hAnsi="Times New Roman" w:eastAsia="Times New Roman" w:cs="Times New Roman"/>
        </w:rPr>
        <w:t>Daniel mbili, huwakilisha mtihani wa sanamu ya mnyama wakati wa kutiwa muhuri kwa wale mia moja na arobaini na nne elfu, nayo ina ufahamu uliofichwa, kwa maana Nebukadneza hakuweza kuikumbuka ndoto hiyo. Huwakilisha ukweli uliofichwa unaofunuliwa katika historia ya wale mia moja na arobaini na nne elfu, na ukweli uliofichwa kuhusu falme za unabii wa Biblia zinazowakilishwa katika ile sanamu. Uliwakilisha mtihani wa uhai au mauti kwa Danieli na wale watatu mashujaa, na pia kwa wenye hekima wa Wakaldayo waliokula chakula cha Babeli.</w:t>
      </w:r>
    </w:p>
    <w:p>
      <w:pPr>
        <w:pStyle w:val="ArticleBody"/>
        <w:jc w:val="left"/>
      </w:pPr>
      <w:r>
        <w:rPr>
          <w:rFonts w:ascii="Times New Roman" w:hAnsi="Times New Roman" w:eastAsia="Times New Roman" w:cs="Times New Roman"/>
        </w:rPr>
        <w:t>Ellen White telah ditunjukkan bahawa patung binatang itu akan dibentuk “sebelum masa percubaan berakhir, kerana itulah ujian besar bagi umat Tuhan, yang olehnya nasib kekal mereka akan diputuskan.” Mimpi Nebukadnezar yang tersembunyi melambangkan ujian itu. Kebenaran tersembunyi tentang patung itu yang telah dinyatakan pada hari-hari ini, ketika kesan setiap penglihatan tidak lagi ditangguhkan, ialah bahawa Yesus, sebagai Alfa dan Omega, telah mengenal pasti dalam rujukan yang pertama dan yang terakhir kepada kerajaan-kerajaan nubuatan Alkitab bahawa binatang yang kelapan itu berasal daripada yang tujuh.</w:t>
      </w:r>
    </w:p>
    <w:p>
      <w:pPr>
        <w:pStyle w:val="ArticleBody"/>
        <w:jc w:val="left"/>
      </w:pPr>
      <w:r>
        <w:rPr>
          <w:rFonts w:ascii="Leelawadee UI" w:hAnsi="Leelawadee UI" w:eastAsia="Leelawadee UI" w:cs="Leelawadee UI"/>
        </w:rPr>
        <w:t>សត្វសាហាវទីប្រាំបីក្នុង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១៧</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មកពីចំណោមទាំងប្រាំពីរ</w:t>
      </w:r>
      <w:r>
        <w:rPr>
          <w:rFonts w:ascii="Times New Roman" w:hAnsi="Times New Roman" w:eastAsia="Times New Roman" w:cs="Times New Roman"/>
        </w:rPr>
        <w:t xml:space="preserve">» </w:t>
      </w:r>
      <w:r>
        <w:rPr>
          <w:rFonts w:ascii="Leelawadee UI" w:hAnsi="Leelawadee UI" w:eastAsia="Leelawadee UI" w:cs="Leelawadee UI"/>
        </w:rPr>
        <w:t>គឺជាអំណាចសម្តេចប៉ាប</w:t>
      </w:r>
      <w:r>
        <w:rPr>
          <w:rFonts w:ascii="Times New Roman" w:hAnsi="Times New Roman" w:eastAsia="Times New Roman" w:cs="Times New Roman"/>
        </w:rPr>
        <w:t xml:space="preserve"> </w:t>
      </w:r>
      <w:r>
        <w:rPr>
          <w:rFonts w:ascii="Leelawadee UI" w:hAnsi="Leelawadee UI" w:eastAsia="Leelawadee UI" w:cs="Leelawadee UI"/>
        </w:rPr>
        <w:t>ដែលត្រូវបាននាំត្រឡប់មកកាន់បល្ល័ង្កនៃផែនដីឡើងវិញ</w:t>
      </w:r>
      <w:r>
        <w:rPr>
          <w:rFonts w:ascii="Times New Roman" w:hAnsi="Times New Roman" w:eastAsia="Times New Roman" w:cs="Times New Roman"/>
        </w:rPr>
        <w:t xml:space="preserve"> </w:t>
      </w:r>
      <w:r>
        <w:rPr>
          <w:rFonts w:ascii="Leelawadee UI" w:hAnsi="Leelawadee UI" w:eastAsia="Leelawadee UI" w:cs="Leelawadee UI"/>
        </w:rPr>
        <w:t>ហើយអាថ៌កំបាំងដ៏ជ្រាលជ្រៅដែលបានត្រូវបើកសម្តែងគឺថា</w:t>
      </w:r>
      <w:r>
        <w:rPr>
          <w:rFonts w:ascii="Times New Roman" w:hAnsi="Times New Roman" w:eastAsia="Times New Roman" w:cs="Times New Roman"/>
        </w:rPr>
        <w:t xml:space="preserve"> </w:t>
      </w:r>
      <w:r>
        <w:rPr>
          <w:rFonts w:ascii="Leelawadee UI" w:hAnsi="Leelawadee UI" w:eastAsia="Leelawadee UI" w:cs="Leelawadee UI"/>
        </w:rPr>
        <w:t>ខណៈដែលសហរដ្ឋអាមេរិកបង្កើតរូបសំណាកនៃសត្វសាហាវនៅក្នុងជាតិនេះ</w:t>
      </w:r>
      <w:r>
        <w:rPr>
          <w:rFonts w:ascii="Times New Roman" w:hAnsi="Times New Roman" w:eastAsia="Times New Roman" w:cs="Times New Roman"/>
        </w:rPr>
        <w:t xml:space="preserve"> </w:t>
      </w:r>
      <w:r>
        <w:rPr>
          <w:rFonts w:ascii="Leelawadee UI" w:hAnsi="Leelawadee UI" w:eastAsia="Leelawadee UI" w:cs="Leelawadee UI"/>
        </w:rPr>
        <w:t>វាក៏នឹងតំណាងឲ្យបាតុភូតនៃទីប្រាំបី</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មកពីចំណោមទាំងប្រាំពីរ</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ប្រធានាធិបតីទីប្រាំមួយ</w:t>
      </w:r>
      <w:r>
        <w:rPr>
          <w:rFonts w:ascii="Times New Roman" w:hAnsi="Times New Roman" w:eastAsia="Times New Roman" w:cs="Times New Roman"/>
        </w:rPr>
        <w:t xml:space="preserve"> </w:t>
      </w:r>
      <w:r>
        <w:rPr>
          <w:rFonts w:ascii="Leelawadee UI" w:hAnsi="Leelawadee UI" w:eastAsia="Leelawadee UI" w:cs="Leelawadee UI"/>
        </w:rPr>
        <w:t>ចាប់តាំងពីពេលវេលាចុងបញ្ចប់ក្នុងឆ្នាំ</w:t>
      </w:r>
      <w:r>
        <w:rPr>
          <w:rFonts w:ascii="Times New Roman" w:hAnsi="Times New Roman" w:eastAsia="Times New Roman" w:cs="Times New Roman"/>
        </w:rPr>
        <w:t xml:space="preserve"> 1989 </w:t>
      </w:r>
      <w:r>
        <w:rPr>
          <w:rFonts w:ascii="Leelawadee UI" w:hAnsi="Leelawadee UI" w:eastAsia="Leelawadee UI" w:cs="Leelawadee UI"/>
        </w:rPr>
        <w:t>ដែលជាប្រធានាធិបតីអ្នកមាន</w:t>
      </w:r>
      <w:r>
        <w:rPr>
          <w:rFonts w:ascii="Times New Roman" w:hAnsi="Times New Roman" w:eastAsia="Times New Roman" w:cs="Times New Roman"/>
        </w:rPr>
        <w:t xml:space="preserve"> </w:t>
      </w:r>
      <w:r>
        <w:rPr>
          <w:rFonts w:ascii="Leelawadee UI" w:hAnsi="Leelawadee UI" w:eastAsia="Leelawadee UI" w:cs="Leelawadee UI"/>
        </w:rPr>
        <w:t>ហើយបានកម្រើកអាណាចក្រទាំងមូលរបស់នាគ</w:t>
      </w:r>
      <w:r>
        <w:rPr>
          <w:rFonts w:ascii="Times New Roman" w:hAnsi="Times New Roman" w:eastAsia="Times New Roman" w:cs="Times New Roman"/>
        </w:rPr>
        <w:t xml:space="preserve"> </w:t>
      </w:r>
      <w:r>
        <w:rPr>
          <w:rFonts w:ascii="Leelawadee UI" w:hAnsi="Leelawadee UI" w:eastAsia="Leelawadee UI" w:cs="Leelawadee UI"/>
        </w:rPr>
        <w:t>បានទទួលរបួសនយោបាយដ៏ស្លាប់មួយ</w:t>
      </w:r>
      <w:r>
        <w:rPr>
          <w:rFonts w:ascii="Times New Roman" w:hAnsi="Times New Roman" w:eastAsia="Times New Roman" w:cs="Times New Roman"/>
        </w:rPr>
        <w:t xml:space="preserve"> </w:t>
      </w:r>
      <w:r>
        <w:rPr>
          <w:rFonts w:ascii="Leelawadee UI" w:hAnsi="Leelawadee UI" w:eastAsia="Leelawadee UI" w:cs="Leelawadee UI"/>
        </w:rPr>
        <w:t>ដោយស្នាដៃរបស់ពួកសកលនិយមនិយមរីកចម្រើន</w:t>
      </w:r>
      <w:r>
        <w:rPr>
          <w:rFonts w:ascii="Times New Roman" w:hAnsi="Times New Roman" w:eastAsia="Times New Roman" w:cs="Times New Roman"/>
        </w:rPr>
        <w:t xml:space="preserve"> </w:t>
      </w:r>
      <w:r>
        <w:rPr>
          <w:rFonts w:ascii="Leelawadee UI" w:hAnsi="Leelawadee UI" w:eastAsia="Leelawadee UI" w:cs="Leelawadee UI"/>
        </w:rPr>
        <w:t>និយមភ្ញាក់ខ្លួន</w:t>
      </w:r>
      <w:r>
        <w:rPr>
          <w:rFonts w:ascii="Times New Roman" w:hAnsi="Times New Roman" w:eastAsia="Times New Roman" w:cs="Times New Roman"/>
        </w:rPr>
        <w:t xml:space="preserve"> </w:t>
      </w:r>
      <w:r>
        <w:rPr>
          <w:rFonts w:ascii="Leelawadee UI" w:hAnsi="Leelawadee UI" w:eastAsia="Leelawadee UI" w:cs="Leelawadee UI"/>
        </w:rPr>
        <w:t>និងសេរីនិយម</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2020 </w:t>
      </w:r>
      <w:r>
        <w:rPr>
          <w:rFonts w:ascii="Leelawadee UI" w:hAnsi="Leelawadee UI" w:eastAsia="Leelawadee UI" w:cs="Leelawadee UI"/>
        </w:rPr>
        <w:t>ខណៈដែលស្នែងសាធារណរដ្ឋត្រូវបានសម្លាប់នៅតាមដងផ្លូវ</w:t>
      </w:r>
      <w:r>
        <w:rPr>
          <w:rFonts w:ascii="Times New Roman" w:hAnsi="Times New Roman" w:eastAsia="Times New Roman" w:cs="Times New Roman"/>
        </w:rPr>
        <w:t xml:space="preserve"> </w:t>
      </w:r>
      <w:r>
        <w:rPr>
          <w:rFonts w:ascii="Leelawadee UI" w:hAnsi="Leelawadee UI" w:eastAsia="Leelawadee UI" w:cs="Leelawadee UI"/>
        </w:rPr>
        <w:t>ដោយសត្វសាហាវអធេវនិយមនៃ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p>
    <w:p>
      <w:pPr>
        <w:pStyle w:val="ArticleBody"/>
        <w:jc w:val="left"/>
      </w:pPr>
      <w:r>
        <w:rPr>
          <w:rFonts w:ascii="Times New Roman" w:hAnsi="Times New Roman" w:eastAsia="Times New Roman" w:cs="Times New Roman"/>
        </w:rPr>
        <w:t>Ka ber akɔ so no mu pɛpɛɛpɛ, ɔbɔfoɔ a ɔtɔ so mmiɛnsa no akuw no nyaa apirakuru a ɛde owuo ba wɔ July 18, 2020, wɔ Nyikyerɛ atiri du-baako no mmoa a ɔyɛ onnyame nni gyidie no nsam. Saa akuw no yɛɛ Laodikea Seventh-day Adventists, na wɔ 2023 mu no, wɔmaa saa akuw no so sɛ ɔbɔfoɔ a ɔtɔ so mmiɛnsa no Philadelphia akuw. Mmen abien no nyinaa wuiɛ wɔ 2020 mu, na mmen abien no nyinaa sɔre gyina hɔ bio wɔ nna mmiɛnsa ne fa a ɛyɛ sɛnkyerɛnneɛ no akyi. Mmoa no honi a amanyɔsɛm mu no bɛyɛ no mu ahyehyɛdeɛ no yɛ Asɔre ne Ɔman a wɔde bɔ mu wɔ United States mu no, na mmoa a wɔyɛ ne honi wɔ nna a ɛtwa toɔ no mu no yɛ mmoa a ɔtɔ so nwɔtwe a ɔfiri baason no mu no. Sɛ wɔhyehyɛ honi mmoa no wɔ United States mu a, ɛbɛnya saa nkɔmhyɛ mu suban pɔtee a ɛyɛ Roma mmoa a ɔtɔ so nwɔtwe no de no.</w:t>
      </w:r>
    </w:p>
    <w:p>
      <w:pPr>
        <w:pStyle w:val="ArticleBody"/>
        <w:jc w:val="left"/>
      </w:pPr>
      <w:r>
        <w:rPr>
          <w:rFonts w:ascii="Times New Roman" w:hAnsi="Times New Roman" w:eastAsia="Times New Roman" w:cs="Times New Roman"/>
        </w:rPr>
        <w:t>Apabila ujian patung binatang itu digenapi atas tanduk Protestan yang sejati, mereka yang mengenali kebenaran-kebenaran nubuat yang berkaitan dengan pembentukan patung binatang itu pada kedua-dua tanduk binatang bumi akan dimeteraikan untuk selama-lamanya dengan gambaran Kristus. Anak-anak dara yang bodoh, yang telah menerima penglihatan yang sia-sia dan menyanjung-nyanjung, akan telah membentuk patung binatang itu untuk selama-lamanya.</w:t>
      </w:r>
    </w:p>
    <w:p>
      <w:pPr>
        <w:pStyle w:val="ArticleScripture"/>
        <w:jc w:val="left"/>
      </w:pPr>
      <w:r>
        <w:rPr>
          <w:rFonts w:ascii="Times New Roman" w:hAnsi="Times New Roman" w:eastAsia="Times New Roman" w:cs="Times New Roman"/>
        </w:rPr>
        <w:t>“Eyi ne odiyifo Hesekiel hui bere a wɔde nsɛnkyerɛnne a ɛdaa Tumi bi a edi asase so ahene nsɛm nyinaa so no adi kyerɛɛ no wɔ n’anim a ɛmaa no ho dwiriw no. Ntamadan a ɛhyia wɔn ho wɔn ho no, abɔde anan a nkwa wom na ɛde wɔn kɔ. Na eyinom nyinaa so koraa no, ‘na ahengua bi sɛɛbea wɔ hɔ, na ne hwɛbea te sɛ ahwehwɛboɔ sapaia; na ahengua no sɛɛbea no so no, na biribi a ne sɛbea te sɛ onipa suban bi te hɔ.’ Hesekiel 1:26, RSV.”</w:t>
      </w:r>
    </w:p>
    <w:p>
      <w:pPr>
        <w:pStyle w:val="ArticleScripture"/>
        <w:jc w:val="left"/>
      </w:pPr>
      <w:r>
        <w:rPr>
          <w:rFonts w:ascii="Times New Roman" w:hAnsi="Times New Roman" w:eastAsia="Times New Roman" w:cs="Times New Roman"/>
        </w:rPr>
        <w:t>“Lembulir-lembulir itu, ya mo melakit ko ihimpit om di penglihatan poinsikou tu noimbobog, monginumud doidop do kosilapan. Omponiboon doid lembulir iolo no, id mga tondug di sorga. I pangaayaan di poingod-ongod no panambangan di manusia no ikot di kawasa di Tuhan. Id tonga-tonga do pagaal do pomburuan om kagagazanan di bansa-bansa, Iso no momori omboi di kerubim, masih mongowoyou do kapangaanan di tana’ iti. Om id tiap bansa om individu, Tuhan no minongkod di satu pomusatan id pelan-Nya no agazo. Tadau iti, i manusia om bansa-bansa, doid pilihon diri, kopipili do nasib diri, om Tuhan no monguasa di sagalanya supay napakumbul do tujuan-tujuan-Nya.”</w:t>
      </w:r>
    </w:p>
    <w:p>
      <w:pPr>
        <w:pStyle w:val="ArticleScripture"/>
        <w:jc w:val="left"/>
      </w:pPr>
      <w:r>
        <w:rPr>
          <w:rFonts w:ascii="Times New Roman" w:hAnsi="Times New Roman" w:eastAsia="Times New Roman" w:cs="Times New Roman"/>
        </w:rPr>
        <w:t>“Nabiiɗɗe ɗe AN MIJOOƊO mawɗo hokkii e Wolde Muɗum no mbi’a en to hol no min ngoni e yaasi jamanuuji. Fuu ko annabaaku waɗi kaŋko haa hannden, ɗum rewtii e kelleeji tarihi, e fuu ko heddii arde ɗum hebboto e laawol mum.”</w:t>
      </w:r>
    </w:p>
    <w:p>
      <w:pPr>
        <w:pStyle w:val="ArticleScripture"/>
        <w:jc w:val="left"/>
      </w:pPr>
      <w:r>
        <w:rPr>
          <w:rFonts w:ascii="Times New Roman" w:hAnsi="Times New Roman" w:eastAsia="Times New Roman" w:cs="Times New Roman"/>
        </w:rPr>
        <w:t>“Lipontšo tsa linako li bolela hore re eme monyako oa liketsahalo tse kholo le tse hlomphehang. Ntho e ’ngoe le e ’ngoe lefatsheng la rona e khathatsehile. Mopholosi o ile a porofeta ka liketsahalo tse tla etella ho tla ha Hae pele: ‘Le tla utloa ka dintwa le menyenyetsi ya dintwa…. Setjhaba se tla tsohela setjhaba matla, le mmuso o tla tsohela mmuso matla; mme ho tla ba le ditlala, le mafu a sewa, le ditshisinyeho tsa lefatshe dibakeng tse ngata.’ Mattheu 24:6, 7. Babusi le banna ba mmuso ba hlokomela hore ho haufi le ho etsahala ntho e kholo le e nang le qeto—hore lefatshe le mothating wa koluoa e makatsang haholo.”</w:t>
      </w:r>
    </w:p>
    <w:p>
      <w:pPr>
        <w:pStyle w:val="ArticleScripture"/>
        <w:jc w:val="left"/>
      </w:pPr>
      <w:r>
        <w:rPr>
          <w:rFonts w:ascii="Times New Roman" w:hAnsi="Times New Roman" w:eastAsia="Times New Roman" w:cs="Times New Roman"/>
        </w:rPr>
        <w:t>“Baebol, go baebol fela, e naya pono e e siameng ka ga ditiragalo tse jaanong di setseng di latlhela meriti ya tsone kwa pele, modumo wa go atamela ga tsone o dira gore lefatshe le rorome le gore dipelo tsa batho di felelwe ke maatla ka ntlha ya poifo. ‘Bonang, Morena o tla senya lefatshe a le tlogele le le kgakgabetseng, mme o tla sokamisa bogodimo jwa lone a gasamise banni ba lone.’ ‘Gonne ba tlodile melao, ba gatakile ditaelo, ba robile kgolagano e e sa khutleng. Ke gone ka moo phutso e komolang lefatshe, mme banni ba lone ba boga ka ntlha ya molato wa bone.’ Isaia 24:1, 5, 6, RSV.</w:t>
      </w:r>
    </w:p>
    <w:p>
      <w:pPr>
        <w:pStyle w:val="ArticleScripture"/>
        <w:jc w:val="left"/>
      </w:pPr>
      <w:r>
        <w:rPr>
          <w:rFonts w:ascii="Times New Roman" w:hAnsi="Times New Roman" w:eastAsia="Times New Roman" w:cs="Times New Roman"/>
        </w:rPr>
        <w:t>“‘Celakalah! kerana hari itu besar, sehingga tiada suatu pun yang seumpamanya: itulah juga masa kesusahan Yakub; namun ia akan diselamatkan daripadanya.’ Yeremia 30:7.</w:t>
      </w:r>
    </w:p>
    <w:p>
      <w:pPr>
        <w:pStyle w:val="ArticleScripture"/>
        <w:jc w:val="left"/>
      </w:pPr>
      <w:r>
        <w:rPr>
          <w:rFonts w:ascii="Times New Roman" w:hAnsi="Times New Roman" w:eastAsia="Times New Roman" w:cs="Times New Roman"/>
        </w:rPr>
        <w:t>“Gape o dirile Morena, e lego setšhabelo sa ka, yena Yo Godimo-dimo, bodulo bja gago; ga go bobe bo tlago go go welago, le gona ga go leuba le le tlago go batamela ntlo ya gago.” Psalme 91:9, 10.</w:t>
      </w:r>
    </w:p>
    <w:p>
      <w:pPr>
        <w:pStyle w:val="ArticleScripture"/>
        <w:jc w:val="left"/>
      </w:pPr>
      <w:r>
        <w:rPr>
          <w:rFonts w:ascii="Times New Roman" w:hAnsi="Times New Roman" w:eastAsia="Times New Roman" w:cs="Times New Roman"/>
        </w:rPr>
        <w:t>“Molimo a ka se lahle Kereke ya Hae mo nakong ya kotsi ya yona e kgolohadi. O tshepisitse topollo. Melao-motheo ya mmuso wa Hae e tla hlomphuwa ke bohle ba phelang tlasa letsatsi.” Historical Sketches 277–279.</w:t>
      </w:r>
    </w:p>
    <w:p>
      <w:pPr>
        <w:pStyle w:val="ArticleBody"/>
        <w:jc w:val="left"/>
      </w:pPr>
      <w:r>
        <w:rPr>
          <w:rFonts w:ascii="Times New Roman" w:hAnsi="Times New Roman" w:eastAsia="Times New Roman" w:cs="Times New Roman"/>
        </w:rPr>
        <w:t>ꞌ</w:t>
      </w:r>
      <w:r>
        <w:rPr>
          <w:rFonts w:ascii="Nirmala UI" w:hAnsi="Nirmala UI" w:eastAsia="Nirmala UI" w:cs="Nirmala UI"/>
        </w:rPr>
        <w:t>கிம்பிலிக்கிதாம்</w:t>
      </w:r>
      <w:r>
        <w:rPr>
          <w:rFonts w:ascii="Times New Roman" w:hAnsi="Times New Roman" w:eastAsia="Times New Roman" w:cs="Times New Roman"/>
        </w:rPr>
        <w:t xml:space="preserve"> </w:t>
      </w:r>
      <w:r>
        <w:rPr>
          <w:rFonts w:ascii="Nirmala UI" w:hAnsi="Nirmala UI" w:eastAsia="Nirmala UI" w:cs="Nirmala UI"/>
        </w:rPr>
        <w:t>சாகிக்</w:t>
      </w:r>
      <w:r>
        <w:rPr>
          <w:rFonts w:ascii="Times New Roman" w:hAnsi="Times New Roman" w:eastAsia="Times New Roman" w:cs="Times New Roman"/>
        </w:rPr>
        <w:t xml:space="preserve"> </w:t>
      </w:r>
      <w:r>
        <w:rPr>
          <w:rFonts w:ascii="Nirmala UI" w:hAnsi="Nirmala UI" w:eastAsia="Nirmala UI" w:cs="Nirmala UI"/>
        </w:rPr>
        <w:t>லிமாவ்</w:t>
      </w:r>
      <w:r>
        <w:rPr>
          <w:rFonts w:ascii="Times New Roman" w:hAnsi="Times New Roman" w:eastAsia="Times New Roman" w:cs="Times New Roman"/>
        </w:rPr>
        <w:t xml:space="preserve"> </w:t>
      </w:r>
      <w:r>
        <w:rPr>
          <w:rFonts w:ascii="Nirmala UI" w:hAnsi="Nirmala UI" w:eastAsia="Nirmala UI" w:cs="Nirmala UI"/>
        </w:rPr>
        <w:t>அ</w:t>
      </w:r>
      <w:r>
        <w:rPr>
          <w:rFonts w:ascii="Times New Roman" w:hAnsi="Times New Roman" w:eastAsia="Times New Roman" w:cs="Times New Roman"/>
        </w:rPr>
        <w:t>ꞌ</w:t>
      </w:r>
      <w:r>
        <w:rPr>
          <w:rFonts w:ascii="Nirmala UI" w:hAnsi="Nirmala UI" w:eastAsia="Nirmala UI" w:cs="Nirmala UI"/>
        </w:rPr>
        <w:t>பாசக்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ஹொராக்</w:t>
      </w:r>
      <w:r>
        <w:rPr>
          <w:rFonts w:ascii="Times New Roman" w:hAnsi="Times New Roman" w:eastAsia="Times New Roman" w:cs="Times New Roman"/>
        </w:rPr>
        <w:t>ꞌ “</w:t>
      </w:r>
      <w:r>
        <w:rPr>
          <w:rFonts w:ascii="Nirmala UI" w:hAnsi="Nirmala UI" w:eastAsia="Nirmala UI" w:cs="Nirmala UI"/>
        </w:rPr>
        <w:t>மனுங்</w:t>
      </w:r>
      <w:r>
        <w:rPr>
          <w:rFonts w:ascii="Times New Roman" w:hAnsi="Times New Roman" w:eastAsia="Times New Roman" w:cs="Times New Roman"/>
        </w:rPr>
        <w:t xml:space="preserve"> </w:t>
      </w:r>
      <w:r>
        <w:rPr>
          <w:rFonts w:ascii="Nirmala UI" w:hAnsi="Nirmala UI" w:eastAsia="Nirmala UI" w:cs="Nirmala UI"/>
        </w:rPr>
        <w:t>அசால்சொய்</w:t>
      </w:r>
      <w:r>
        <w:rPr>
          <w:rFonts w:ascii="Times New Roman" w:hAnsi="Times New Roman" w:eastAsia="Times New Roman" w:cs="Times New Roman"/>
        </w:rPr>
        <w:t xml:space="preserve"> </w:t>
      </w:r>
      <w:r>
        <w:rPr>
          <w:rFonts w:ascii="Nirmala UI" w:hAnsi="Nirmala UI" w:eastAsia="Nirmala UI" w:cs="Nirmala UI"/>
        </w:rPr>
        <w:t>தாநி</w:t>
      </w:r>
      <w:r>
        <w:rPr>
          <w:rFonts w:ascii="Times New Roman" w:hAnsi="Times New Roman" w:eastAsia="Times New Roman" w:cs="Times New Roman"/>
        </w:rPr>
        <w:t xml:space="preserve"> </w:t>
      </w:r>
      <w:r>
        <w:rPr>
          <w:rFonts w:ascii="Nirmala UI" w:hAnsi="Nirmala UI" w:eastAsia="Nirmala UI" w:cs="Nirmala UI"/>
        </w:rPr>
        <w:t>லைகி</w:t>
      </w:r>
      <w:r>
        <w:rPr>
          <w:rFonts w:ascii="Times New Roman" w:hAnsi="Times New Roman" w:eastAsia="Times New Roman" w:cs="Times New Roman"/>
        </w:rPr>
        <w:t xml:space="preserve">” </w:t>
      </w:r>
      <w:r>
        <w:rPr>
          <w:rFonts w:ascii="Nirmala UI" w:hAnsi="Nirmala UI" w:eastAsia="Nirmala UI" w:cs="Nirmala UI"/>
        </w:rPr>
        <w:t>செத்</w:t>
      </w:r>
      <w:r>
        <w:rPr>
          <w:rFonts w:ascii="Times New Roman" w:hAnsi="Times New Roman" w:eastAsia="Times New Roman" w:cs="Times New Roman"/>
        </w:rPr>
        <w:t xml:space="preserve"> </w:t>
      </w:r>
      <w:r>
        <w:rPr>
          <w:rFonts w:ascii="Nirmala UI" w:hAnsi="Nirmala UI" w:eastAsia="Nirmala UI" w:cs="Nirmala UI"/>
        </w:rPr>
        <w:t>யேகியேல்</w:t>
      </w:r>
      <w:r>
        <w:rPr>
          <w:rFonts w:ascii="Times New Roman" w:hAnsi="Times New Roman" w:eastAsia="Times New Roman" w:cs="Times New Roman"/>
        </w:rPr>
        <w:t xml:space="preserve"> </w:t>
      </w:r>
      <w:r>
        <w:rPr>
          <w:rFonts w:ascii="Nirmala UI" w:hAnsi="Nirmala UI" w:eastAsia="Nirmala UI" w:cs="Nirmala UI"/>
        </w:rPr>
        <w:t>அ</w:t>
      </w:r>
      <w:r>
        <w:rPr>
          <w:rFonts w:ascii="Times New Roman" w:hAnsi="Times New Roman" w:eastAsia="Times New Roman" w:cs="Times New Roman"/>
        </w:rPr>
        <w:t>ꞌ</w:t>
      </w:r>
      <w:r>
        <w:rPr>
          <w:rFonts w:ascii="Nirmala UI" w:hAnsi="Nirmala UI" w:eastAsia="Nirmala UI" w:cs="Nirmala UI"/>
        </w:rPr>
        <w:t>பாச்</w:t>
      </w:r>
      <w:r>
        <w:rPr>
          <w:rFonts w:ascii="Times New Roman" w:hAnsi="Times New Roman" w:eastAsia="Times New Roman" w:cs="Times New Roman"/>
        </w:rPr>
        <w:t xml:space="preserve"> </w:t>
      </w:r>
      <w:r>
        <w:rPr>
          <w:rFonts w:ascii="Nirmala UI" w:hAnsi="Nirmala UI" w:eastAsia="Nirmala UI" w:cs="Nirmala UI"/>
        </w:rPr>
        <w:t>நுங்நை</w:t>
      </w:r>
      <w:r>
        <w:rPr>
          <w:rFonts w:ascii="Times New Roman" w:hAnsi="Times New Roman" w:eastAsia="Times New Roman" w:cs="Times New Roman"/>
        </w:rPr>
        <w:t xml:space="preserve"> </w:t>
      </w:r>
      <w:r>
        <w:rPr>
          <w:rFonts w:ascii="Nirmala UI" w:hAnsi="Nirmala UI" w:eastAsia="Nirmala UI" w:cs="Nirmala UI"/>
        </w:rPr>
        <w:t>ஒய்பகி</w:t>
      </w:r>
      <w:r>
        <w:rPr>
          <w:rFonts w:ascii="Times New Roman" w:hAnsi="Times New Roman" w:eastAsia="Times New Roman" w:cs="Times New Roman"/>
        </w:rPr>
        <w:t xml:space="preserve"> </w:t>
      </w:r>
      <w:r>
        <w:rPr>
          <w:rFonts w:ascii="Nirmala UI" w:hAnsi="Nirmala UI" w:eastAsia="Nirmala UI" w:cs="Nirmala UI"/>
        </w:rPr>
        <w:t>மஹௌ</w:t>
      </w:r>
      <w:r>
        <w:rPr>
          <w:rFonts w:ascii="Times New Roman" w:hAnsi="Times New Roman" w:eastAsia="Times New Roman" w:cs="Times New Roman"/>
        </w:rPr>
        <w:t>-</w:t>
      </w:r>
      <w:r>
        <w:rPr>
          <w:rFonts w:ascii="Nirmala UI" w:hAnsi="Nirmala UI" w:eastAsia="Nirmala UI" w:cs="Nirmala UI"/>
        </w:rPr>
        <w:t>மருவை</w:t>
      </w:r>
      <w:r>
        <w:rPr>
          <w:rFonts w:ascii="Times New Roman" w:hAnsi="Times New Roman" w:eastAsia="Times New Roman" w:cs="Times New Roman"/>
        </w:rPr>
        <w:t xml:space="preserve"> </w:t>
      </w:r>
      <w:r>
        <w:rPr>
          <w:rFonts w:ascii="Nirmala UI" w:hAnsi="Nirmala UI" w:eastAsia="Nirmala UI" w:cs="Nirmala UI"/>
        </w:rPr>
        <w:t>தௌபா</w:t>
      </w:r>
      <w:r>
        <w:rPr>
          <w:rFonts w:ascii="Times New Roman" w:hAnsi="Times New Roman" w:eastAsia="Times New Roman" w:cs="Times New Roman"/>
        </w:rPr>
        <w:t xml:space="preserve"> </w:t>
      </w:r>
      <w:r>
        <w:rPr>
          <w:rFonts w:ascii="Nirmala UI" w:hAnsi="Nirmala UI" w:eastAsia="Nirmala UI" w:cs="Nirmala UI"/>
        </w:rPr>
        <w:t>மஹாகி</w:t>
      </w:r>
      <w:r>
        <w:rPr>
          <w:rFonts w:ascii="Times New Roman" w:hAnsi="Times New Roman" w:eastAsia="Times New Roman" w:cs="Times New Roman"/>
        </w:rPr>
        <w:t xml:space="preserve"> </w:t>
      </w:r>
      <w:r>
        <w:rPr>
          <w:rFonts w:ascii="Nirmala UI" w:hAnsi="Nirmala UI" w:eastAsia="Nirmala UI" w:cs="Nirmala UI"/>
        </w:rPr>
        <w:t>தர்சன்தா</w:t>
      </w:r>
      <w:r>
        <w:rPr>
          <w:rFonts w:ascii="Times New Roman" w:hAnsi="Times New Roman" w:eastAsia="Times New Roman" w:cs="Times New Roman"/>
        </w:rPr>
        <w:t xml:space="preserve"> </w:t>
      </w:r>
      <w:r>
        <w:rPr>
          <w:rFonts w:ascii="Nirmala UI" w:hAnsi="Nirmala UI" w:eastAsia="Nirmala UI" w:cs="Nirmala UI"/>
        </w:rPr>
        <w:t>சக்காய்</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சக்காய்</w:t>
      </w:r>
      <w:r>
        <w:rPr>
          <w:rFonts w:ascii="Times New Roman" w:hAnsi="Times New Roman" w:eastAsia="Times New Roman" w:cs="Times New Roman"/>
        </w:rPr>
        <w:t xml:space="preserve"> </w:t>
      </w:r>
      <w:r>
        <w:rPr>
          <w:rFonts w:ascii="Nirmala UI" w:hAnsi="Nirmala UI" w:eastAsia="Nirmala UI" w:cs="Nirmala UI"/>
        </w:rPr>
        <w:t>கன்னபா</w:t>
      </w:r>
      <w:r>
        <w:rPr>
          <w:rFonts w:ascii="Times New Roman" w:hAnsi="Times New Roman" w:eastAsia="Times New Roman" w:cs="Times New Roman"/>
        </w:rPr>
        <w:t xml:space="preserve"> </w:t>
      </w:r>
      <w:r>
        <w:rPr>
          <w:rFonts w:ascii="Nirmala UI" w:hAnsi="Nirmala UI" w:eastAsia="Nirmala UI" w:cs="Nirmala UI"/>
        </w:rPr>
        <w:t>மரம்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தௌபா</w:t>
      </w:r>
      <w:r>
        <w:rPr>
          <w:rFonts w:ascii="Times New Roman" w:hAnsi="Times New Roman" w:eastAsia="Times New Roman" w:cs="Times New Roman"/>
        </w:rPr>
        <w:t xml:space="preserve"> </w:t>
      </w:r>
      <w:r>
        <w:rPr>
          <w:rFonts w:ascii="Nirmala UI" w:hAnsi="Nirmala UI" w:eastAsia="Nirmala UI" w:cs="Nirmala UI"/>
        </w:rPr>
        <w:t>மதுதா</w:t>
      </w:r>
      <w:r>
        <w:rPr>
          <w:rFonts w:ascii="Times New Roman" w:hAnsi="Times New Roman" w:eastAsia="Times New Roman" w:cs="Times New Roman"/>
        </w:rPr>
        <w:t xml:space="preserve">. </w:t>
      </w:r>
      <w:r>
        <w:rPr>
          <w:rFonts w:ascii="Nirmala UI" w:hAnsi="Nirmala UI" w:eastAsia="Nirmala UI" w:cs="Nirmala UI"/>
        </w:rPr>
        <w:t>மது</w:t>
      </w:r>
      <w:r>
        <w:rPr>
          <w:rFonts w:ascii="Times New Roman" w:hAnsi="Times New Roman" w:eastAsia="Times New Roman" w:cs="Times New Roman"/>
        </w:rPr>
        <w:t xml:space="preserve"> </w:t>
      </w:r>
      <w:r>
        <w:rPr>
          <w:rFonts w:ascii="Nirmala UI" w:hAnsi="Nirmala UI" w:eastAsia="Nirmala UI" w:cs="Nirmala UI"/>
        </w:rPr>
        <w:t>கூம்</w:t>
      </w:r>
      <w:r>
        <w:rPr>
          <w:rFonts w:ascii="Times New Roman" w:hAnsi="Times New Roman" w:eastAsia="Times New Roman" w:cs="Times New Roman"/>
        </w:rPr>
        <w:t xml:space="preserve"> </w:t>
      </w:r>
      <w:r>
        <w:rPr>
          <w:rFonts w:ascii="Nirmala UI" w:hAnsi="Nirmala UI" w:eastAsia="Nirmala UI" w:cs="Nirmala UI"/>
        </w:rPr>
        <w:t>ঈশ্বরগী</w:t>
      </w:r>
      <w:r>
        <w:rPr>
          <w:rFonts w:ascii="Times New Roman" w:hAnsi="Times New Roman" w:eastAsia="Times New Roman" w:cs="Times New Roman"/>
        </w:rPr>
        <w:t xml:space="preserve"> </w:t>
      </w:r>
      <w:r>
        <w:rPr>
          <w:rFonts w:ascii="Nirmala UI" w:hAnsi="Nirmala UI" w:eastAsia="Nirmala UI" w:cs="Nirmala UI"/>
        </w:rPr>
        <w:t>ললোন</w:t>
      </w:r>
      <w:r>
        <w:rPr>
          <w:rFonts w:ascii="Times New Roman" w:hAnsi="Times New Roman" w:eastAsia="Times New Roman" w:cs="Times New Roman"/>
        </w:rPr>
        <w:t>-</w:t>
      </w:r>
      <w:r>
        <w:rPr>
          <w:rFonts w:ascii="Nirmala UI" w:hAnsi="Nirmala UI" w:eastAsia="Nirmala UI" w:cs="Nirmala UI"/>
        </w:rPr>
        <w:t>মরক্তা</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ঈশ্বরগী</w:t>
      </w:r>
      <w:r>
        <w:rPr>
          <w:rFonts w:ascii="Times New Roman" w:hAnsi="Times New Roman" w:eastAsia="Times New Roman" w:cs="Times New Roman"/>
        </w:rPr>
        <w:t xml:space="preserve"> </w:t>
      </w:r>
      <w:r>
        <w:rPr>
          <w:rFonts w:ascii="Nirmala UI" w:hAnsi="Nirmala UI" w:eastAsia="Nirmala UI" w:cs="Nirmala UI"/>
        </w:rPr>
        <w:t>ৱাহৈগী</w:t>
      </w:r>
      <w:r>
        <w:rPr>
          <w:rFonts w:ascii="Times New Roman" w:hAnsi="Times New Roman" w:eastAsia="Times New Roman" w:cs="Times New Roman"/>
        </w:rPr>
        <w:t xml:space="preserve"> </w:t>
      </w:r>
      <w:r>
        <w:rPr>
          <w:rFonts w:ascii="Nirmala UI" w:hAnsi="Nirmala UI" w:eastAsia="Nirmala UI" w:cs="Nirmala UI"/>
        </w:rPr>
        <w:t>পুম্নমক্কী</w:t>
      </w:r>
      <w:r>
        <w:rPr>
          <w:rFonts w:ascii="Times New Roman" w:hAnsi="Times New Roman" w:eastAsia="Times New Roman" w:cs="Times New Roman"/>
        </w:rPr>
        <w:t xml:space="preserve"> </w:t>
      </w:r>
      <w:r>
        <w:rPr>
          <w:rFonts w:ascii="Nirmala UI" w:hAnsi="Nirmala UI" w:eastAsia="Nirmala UI" w:cs="Nirmala UI"/>
        </w:rPr>
        <w:t>দর্সনশিংগী</w:t>
      </w:r>
      <w:r>
        <w:rPr>
          <w:rFonts w:ascii="Times New Roman" w:hAnsi="Times New Roman" w:eastAsia="Times New Roman" w:cs="Times New Roman"/>
        </w:rPr>
        <w:t xml:space="preserve"> </w:t>
      </w:r>
      <w:r>
        <w:rPr>
          <w:rFonts w:ascii="Nirmala UI" w:hAnsi="Nirmala UI" w:eastAsia="Nirmala UI" w:cs="Nirmala UI"/>
        </w:rPr>
        <w:t>অপুন্বা</w:t>
      </w:r>
      <w:r>
        <w:rPr>
          <w:rFonts w:ascii="Times New Roman" w:hAnsi="Times New Roman" w:eastAsia="Times New Roman" w:cs="Times New Roman"/>
        </w:rPr>
        <w:t xml:space="preserve"> </w:t>
      </w:r>
      <w:r>
        <w:rPr>
          <w:rFonts w:ascii="Nirmala UI" w:hAnsi="Nirmala UI" w:eastAsia="Nirmala UI" w:cs="Nirmala UI"/>
        </w:rPr>
        <w:t>মপোক</w:t>
      </w:r>
      <w:r>
        <w:rPr>
          <w:rFonts w:ascii="Times New Roman" w:hAnsi="Times New Roman" w:eastAsia="Times New Roman" w:cs="Times New Roman"/>
        </w:rPr>
        <w:t xml:space="preserve"> </w:t>
      </w:r>
      <w:r>
        <w:rPr>
          <w:rFonts w:ascii="Nirmala UI" w:hAnsi="Nirmala UI" w:eastAsia="Nirmala UI" w:cs="Nirmala UI"/>
        </w:rPr>
        <w:t>অসিনি</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অরোইবা</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মপুংফাবা</w:t>
      </w:r>
      <w:r>
        <w:rPr>
          <w:rFonts w:ascii="Times New Roman" w:hAnsi="Times New Roman" w:eastAsia="Times New Roman" w:cs="Times New Roman"/>
        </w:rPr>
        <w:t xml:space="preserve"> </w:t>
      </w:r>
      <w:r>
        <w:rPr>
          <w:rFonts w:ascii="Nirmala UI" w:hAnsi="Nirmala UI" w:eastAsia="Nirmala UI" w:cs="Nirmala UI"/>
        </w:rPr>
        <w:t>মফমদি</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মদুদা</w:t>
      </w:r>
      <w:r>
        <w:rPr>
          <w:rFonts w:ascii="Times New Roman" w:hAnsi="Times New Roman" w:eastAsia="Times New Roman" w:cs="Times New Roman"/>
        </w:rPr>
        <w:t xml:space="preserve"> </w:t>
      </w:r>
      <w:r>
        <w:rPr>
          <w:rFonts w:ascii="Nirmala UI" w:hAnsi="Nirmala UI" w:eastAsia="Nirmala UI" w:cs="Nirmala UI"/>
        </w:rPr>
        <w:t>ফংই।</w:t>
      </w:r>
      <w:r>
        <w:rPr>
          <w:rFonts w:ascii="Times New Roman" w:hAnsi="Times New Roman" w:eastAsia="Times New Roman" w:cs="Times New Roman"/>
        </w:rPr>
        <w:t xml:space="preserve"> “</w:t>
      </w:r>
      <w:r>
        <w:rPr>
          <w:rFonts w:ascii="Nirmala UI" w:hAnsi="Nirmala UI" w:eastAsia="Nirmala UI" w:cs="Nirmala UI"/>
        </w:rPr>
        <w:t>অচৌবা</w:t>
      </w:r>
      <w:r>
        <w:rPr>
          <w:rFonts w:ascii="Times New Roman" w:hAnsi="Times New Roman" w:eastAsia="Times New Roman" w:cs="Times New Roman"/>
        </w:rPr>
        <w:t xml:space="preserve"> </w:t>
      </w:r>
      <w:r>
        <w:rPr>
          <w:rFonts w:ascii="Nirmala UI" w:hAnsi="Nirmala UI" w:eastAsia="Nirmala UI" w:cs="Nirmala UI"/>
        </w:rPr>
        <w:t>সংকট</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w:t>
      </w:r>
      <w:r>
        <w:rPr>
          <w:rFonts w:ascii="Nirmala UI" w:hAnsi="Nirmala UI" w:eastAsia="Nirmala UI" w:cs="Nirmala UI"/>
        </w:rPr>
        <w:t>মালেম</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নক্না</w:t>
      </w:r>
      <w:r>
        <w:rPr>
          <w:rFonts w:ascii="Times New Roman" w:hAnsi="Times New Roman" w:eastAsia="Times New Roman" w:cs="Times New Roman"/>
        </w:rPr>
        <w:t xml:space="preserve"> </w:t>
      </w:r>
      <w:r>
        <w:rPr>
          <w:rFonts w:ascii="Nirmala UI" w:hAnsi="Nirmala UI" w:eastAsia="Nirmala UI" w:cs="Nirmala UI"/>
        </w:rPr>
        <w:t>ফংবা</w:t>
      </w:r>
      <w:r>
        <w:rPr>
          <w:rFonts w:ascii="Times New Roman" w:hAnsi="Times New Roman" w:eastAsia="Times New Roman" w:cs="Times New Roman"/>
        </w:rPr>
        <w:t xml:space="preserve"> </w:t>
      </w:r>
      <w:r>
        <w:rPr>
          <w:rFonts w:ascii="Nirmala UI" w:hAnsi="Nirmala UI" w:eastAsia="Nirmala UI" w:cs="Nirmala UI"/>
        </w:rPr>
        <w:t>ঙম্মিন্নবা</w:t>
      </w:r>
      <w:r>
        <w:rPr>
          <w:rFonts w:ascii="Times New Roman" w:hAnsi="Times New Roman" w:eastAsia="Times New Roman" w:cs="Times New Roman"/>
        </w:rPr>
        <w:t xml:space="preserve"> </w:t>
      </w:r>
      <w:r>
        <w:rPr>
          <w:rFonts w:ascii="Nirmala UI" w:hAnsi="Nirmala UI" w:eastAsia="Nirmala UI" w:cs="Nirmala UI"/>
        </w:rPr>
        <w:t>মফমদা</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খঙহনগদবা</w:t>
      </w:r>
      <w:r>
        <w:rPr>
          <w:rFonts w:ascii="Times New Roman" w:hAnsi="Times New Roman" w:eastAsia="Times New Roman" w:cs="Times New Roman"/>
        </w:rPr>
        <w:t xml:space="preserve"> “</w:t>
      </w:r>
      <w:r>
        <w:rPr>
          <w:rFonts w:ascii="Nirmala UI" w:hAnsi="Nirmala UI" w:eastAsia="Nirmala UI" w:cs="Nirmala UI"/>
        </w:rPr>
        <w:t>খোঞ্জেল</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খোঞ্জেল</w:t>
      </w:r>
      <w:r>
        <w:rPr>
          <w:rFonts w:ascii="Times New Roman" w:hAnsi="Times New Roman" w:eastAsia="Times New Roman" w:cs="Times New Roman"/>
        </w:rPr>
        <w:t xml:space="preserve">” </w:t>
      </w:r>
      <w:r>
        <w:rPr>
          <w:rFonts w:ascii="Nirmala UI" w:hAnsi="Nirmala UI" w:eastAsia="Nirmala UI" w:cs="Nirmala UI"/>
        </w:rPr>
        <w:t>অদুনা</w:t>
      </w:r>
      <w:r>
        <w:rPr>
          <w:rFonts w:ascii="Times New Roman" w:hAnsi="Times New Roman" w:eastAsia="Times New Roman" w:cs="Times New Roman"/>
        </w:rPr>
        <w:t xml:space="preserve"> “</w:t>
      </w:r>
      <w:r>
        <w:rPr>
          <w:rFonts w:ascii="Nirmala UI" w:hAnsi="Nirmala UI" w:eastAsia="Nirmala UI" w:cs="Nirmala UI"/>
        </w:rPr>
        <w:t>লৈরাং</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ইয়েত্নহনই</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মীওইবশিংগী</w:t>
      </w:r>
      <w:r>
        <w:rPr>
          <w:rFonts w:ascii="Times New Roman" w:hAnsi="Times New Roman" w:eastAsia="Times New Roman" w:cs="Times New Roman"/>
        </w:rPr>
        <w:t xml:space="preserve"> </w:t>
      </w:r>
      <w:r>
        <w:rPr>
          <w:rFonts w:ascii="Nirmala UI" w:hAnsi="Nirmala UI" w:eastAsia="Nirmala UI" w:cs="Nirmala UI"/>
        </w:rPr>
        <w:t>থম্মোয়শিং</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অকক্নবা</w:t>
      </w:r>
      <w:r>
        <w:rPr>
          <w:rFonts w:ascii="Times New Roman" w:hAnsi="Times New Roman" w:eastAsia="Times New Roman" w:cs="Times New Roman"/>
        </w:rPr>
        <w:t xml:space="preserve"> </w:t>
      </w:r>
      <w:r>
        <w:rPr>
          <w:rFonts w:ascii="Nirmala UI" w:hAnsi="Nirmala UI" w:eastAsia="Nirmala UI" w:cs="Nirmala UI"/>
        </w:rPr>
        <w:t>মীৎকোয়না</w:t>
      </w:r>
      <w:r>
        <w:rPr>
          <w:rFonts w:ascii="Times New Roman" w:hAnsi="Times New Roman" w:eastAsia="Times New Roman" w:cs="Times New Roman"/>
        </w:rPr>
        <w:t xml:space="preserve"> </w:t>
      </w:r>
      <w:r>
        <w:rPr>
          <w:rFonts w:ascii="Nirmala UI" w:hAnsi="Nirmala UI" w:eastAsia="Nirmala UI" w:cs="Nirmala UI"/>
        </w:rPr>
        <w:t>ফৈবা</w:t>
      </w:r>
      <w:r>
        <w:rPr>
          <w:rFonts w:ascii="Times New Roman" w:hAnsi="Times New Roman" w:eastAsia="Times New Roman" w:cs="Times New Roman"/>
        </w:rPr>
        <w:t xml:space="preserve"> </w:t>
      </w:r>
      <w:r>
        <w:rPr>
          <w:rFonts w:ascii="Nirmala UI" w:hAnsi="Nirmala UI" w:eastAsia="Nirmala UI" w:cs="Nirmala UI"/>
        </w:rPr>
        <w:t>ওইহনই।</w:t>
      </w:r>
      <w:r>
        <w:rPr>
          <w:rFonts w:ascii="Times New Roman" w:hAnsi="Times New Roman" w:eastAsia="Times New Roman" w:cs="Times New Roman"/>
        </w:rPr>
        <w:t xml:space="preserve">” </w:t>
      </w:r>
      <w:r>
        <w:rPr>
          <w:rFonts w:ascii="Nirmala UI" w:hAnsi="Nirmala UI" w:eastAsia="Nirmala UI" w:cs="Nirmala UI"/>
        </w:rPr>
        <w:t>লৈরাং</w:t>
      </w:r>
      <w:r>
        <w:rPr>
          <w:rFonts w:ascii="Times New Roman" w:hAnsi="Times New Roman" w:eastAsia="Times New Roman" w:cs="Times New Roman"/>
        </w:rPr>
        <w:t xml:space="preserve"> </w:t>
      </w:r>
      <w:r>
        <w:rPr>
          <w:rFonts w:ascii="Nirmala UI" w:hAnsi="Nirmala UI" w:eastAsia="Nirmala UI" w:cs="Nirmala UI"/>
        </w:rPr>
        <w:t>ইয়েত্নহনবা</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মীওইবশিংগী</w:t>
      </w:r>
      <w:r>
        <w:rPr>
          <w:rFonts w:ascii="Times New Roman" w:hAnsi="Times New Roman" w:eastAsia="Times New Roman" w:cs="Times New Roman"/>
        </w:rPr>
        <w:t xml:space="preserve"> </w:t>
      </w:r>
      <w:r>
        <w:rPr>
          <w:rFonts w:ascii="Nirmala UI" w:hAnsi="Nirmala UI" w:eastAsia="Nirmala UI" w:cs="Nirmala UI"/>
        </w:rPr>
        <w:t>থম্মোয়শিং</w:t>
      </w:r>
      <w:r>
        <w:rPr>
          <w:rFonts w:ascii="Times New Roman" w:hAnsi="Times New Roman" w:eastAsia="Times New Roman" w:cs="Times New Roman"/>
        </w:rPr>
        <w:t xml:space="preserve"> </w:t>
      </w:r>
      <w:r>
        <w:rPr>
          <w:rFonts w:ascii="Nirmala UI" w:hAnsi="Nirmala UI" w:eastAsia="Nirmala UI" w:cs="Nirmala UI"/>
        </w:rPr>
        <w:t>অকক্নবা</w:t>
      </w:r>
      <w:r>
        <w:rPr>
          <w:rFonts w:ascii="Times New Roman" w:hAnsi="Times New Roman" w:eastAsia="Times New Roman" w:cs="Times New Roman"/>
        </w:rPr>
        <w:t xml:space="preserve"> </w:t>
      </w:r>
      <w:r>
        <w:rPr>
          <w:rFonts w:ascii="Nirmala UI" w:hAnsi="Nirmala UI" w:eastAsia="Nirmala UI" w:cs="Nirmala UI"/>
        </w:rPr>
        <w:t>মীৎকোয়না</w:t>
      </w:r>
      <w:r>
        <w:rPr>
          <w:rFonts w:ascii="Times New Roman" w:hAnsi="Times New Roman" w:eastAsia="Times New Roman" w:cs="Times New Roman"/>
        </w:rPr>
        <w:t xml:space="preserve"> </w:t>
      </w:r>
      <w:r>
        <w:rPr>
          <w:rFonts w:ascii="Nirmala UI" w:hAnsi="Nirmala UI" w:eastAsia="Nirmala UI" w:cs="Nirmala UI"/>
        </w:rPr>
        <w:t>ফৈবা</w:t>
      </w:r>
      <w:r>
        <w:rPr>
          <w:rFonts w:ascii="Times New Roman" w:hAnsi="Times New Roman" w:eastAsia="Times New Roman" w:cs="Times New Roman"/>
        </w:rPr>
        <w:t xml:space="preserve"> </w:t>
      </w:r>
      <w:r>
        <w:rPr>
          <w:rFonts w:ascii="Nirmala UI" w:hAnsi="Nirmala UI" w:eastAsia="Nirmala UI" w:cs="Nirmala UI"/>
        </w:rPr>
        <w:t>ওইহনবা</w:t>
      </w:r>
      <w:r>
        <w:rPr>
          <w:rFonts w:ascii="Times New Roman" w:hAnsi="Times New Roman" w:eastAsia="Times New Roman" w:cs="Times New Roman"/>
        </w:rPr>
        <w:t xml:space="preserve"> </w:t>
      </w:r>
      <w:r>
        <w:rPr>
          <w:rFonts w:ascii="Nirmala UI" w:hAnsi="Nirmala UI" w:eastAsia="Nirmala UI" w:cs="Nirmala UI"/>
        </w:rPr>
        <w:t>অনীমক্কী</w:t>
      </w:r>
      <w:r>
        <w:rPr>
          <w:rFonts w:ascii="Times New Roman" w:hAnsi="Times New Roman" w:eastAsia="Times New Roman" w:cs="Times New Roman"/>
        </w:rPr>
        <w:t xml:space="preserve"> </w:t>
      </w:r>
      <w:r>
        <w:rPr>
          <w:rFonts w:ascii="Nirmala UI" w:hAnsi="Nirmala UI" w:eastAsia="Nirmala UI" w:cs="Nirmala UI"/>
        </w:rPr>
        <w:t>তাখিবা</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অহুমসুবা</w:t>
      </w:r>
      <w:r>
        <w:rPr>
          <w:rFonts w:ascii="Times New Roman" w:hAnsi="Times New Roman" w:eastAsia="Times New Roman" w:cs="Times New Roman"/>
        </w:rPr>
        <w:t xml:space="preserve"> </w:t>
      </w:r>
      <w:r>
        <w:rPr>
          <w:rFonts w:ascii="Nirmala UI" w:hAnsi="Nirmala UI" w:eastAsia="Nirmala UI" w:cs="Nirmala UI"/>
        </w:rPr>
        <w:t>ৱাই</w:t>
      </w:r>
      <w:r>
        <w:rPr>
          <w:rFonts w:ascii="Times New Roman" w:hAnsi="Times New Roman" w:eastAsia="Times New Roman" w:cs="Times New Roman"/>
        </w:rPr>
        <w:t xml:space="preserve"> </w:t>
      </w:r>
      <w:r>
        <w:rPr>
          <w:rFonts w:ascii="Nirmala UI" w:hAnsi="Nirmala UI" w:eastAsia="Nirmala UI" w:cs="Nirmala UI"/>
        </w:rPr>
        <w:t>ওইবা</w:t>
      </w:r>
      <w:r>
        <w:rPr>
          <w:rFonts w:ascii="Times New Roman" w:hAnsi="Times New Roman" w:eastAsia="Times New Roman" w:cs="Times New Roman"/>
        </w:rPr>
        <w:t xml:space="preserve"> </w:t>
      </w:r>
      <w:r>
        <w:rPr>
          <w:rFonts w:ascii="Nirmala UI" w:hAnsi="Nirmala UI" w:eastAsia="Nirmala UI" w:cs="Nirmala UI"/>
        </w:rPr>
        <w:t>তুরেলগী</w:t>
      </w:r>
      <w:r>
        <w:rPr>
          <w:rFonts w:ascii="Times New Roman" w:hAnsi="Times New Roman" w:eastAsia="Times New Roman" w:cs="Times New Roman"/>
        </w:rPr>
        <w:t xml:space="preserve"> </w:t>
      </w:r>
      <w:r>
        <w:rPr>
          <w:rFonts w:ascii="Nirmala UI" w:hAnsi="Nirmala UI" w:eastAsia="Nirmala UI" w:cs="Nirmala UI"/>
        </w:rPr>
        <w:t>অরোইবা</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তারেতসুবা</w:t>
      </w:r>
      <w:r>
        <w:rPr>
          <w:rFonts w:ascii="Times New Roman" w:hAnsi="Times New Roman" w:eastAsia="Times New Roman" w:cs="Times New Roman"/>
        </w:rPr>
        <w:t xml:space="preserve"> </w:t>
      </w:r>
      <w:r>
        <w:rPr>
          <w:rFonts w:ascii="Nirmala UI" w:hAnsi="Nirmala UI" w:eastAsia="Nirmala UI" w:cs="Nirmala UI"/>
        </w:rPr>
        <w:t>ত্রাম্পেত্কী</w:t>
      </w:r>
      <w:r>
        <w:rPr>
          <w:rFonts w:ascii="Times New Roman" w:hAnsi="Times New Roman" w:eastAsia="Times New Roman" w:cs="Times New Roman"/>
        </w:rPr>
        <w:t xml:space="preserve"> </w:t>
      </w:r>
      <w:r>
        <w:rPr>
          <w:rFonts w:ascii="Nirmala UI" w:hAnsi="Nirmala UI" w:eastAsia="Nirmala UI" w:cs="Nirmala UI"/>
        </w:rPr>
        <w:t>খোঞ্জেলগী</w:t>
      </w:r>
      <w:r>
        <w:rPr>
          <w:rFonts w:ascii="Times New Roman" w:hAnsi="Times New Roman" w:eastAsia="Times New Roman" w:cs="Times New Roman"/>
        </w:rPr>
        <w:t xml:space="preserve"> </w:t>
      </w:r>
      <w:r>
        <w:rPr>
          <w:rFonts w:ascii="Nirmala UI" w:hAnsi="Nirmala UI" w:eastAsia="Nirmala UI" w:cs="Nirmala UI"/>
        </w:rPr>
        <w:t>মর্তক্কী</w:t>
      </w:r>
      <w:r>
        <w:rPr>
          <w:rFonts w:ascii="Times New Roman" w:hAnsi="Times New Roman" w:eastAsia="Times New Roman" w:cs="Times New Roman"/>
        </w:rPr>
        <w:t xml:space="preserve"> </w:t>
      </w:r>
      <w:r>
        <w:rPr>
          <w:rFonts w:ascii="Nirmala UI" w:hAnsi="Nirmala UI" w:eastAsia="Nirmala UI" w:cs="Nirmala UI"/>
        </w:rPr>
        <w:t>খুদম</w:t>
      </w:r>
      <w:r>
        <w:rPr>
          <w:rFonts w:ascii="Times New Roman" w:hAnsi="Times New Roman" w:eastAsia="Times New Roman" w:cs="Times New Roman"/>
        </w:rPr>
        <w:t xml:space="preserve"> </w:t>
      </w:r>
      <w:r>
        <w:rPr>
          <w:rFonts w:ascii="Nirmala UI" w:hAnsi="Nirmala UI" w:eastAsia="Nirmala UI" w:cs="Nirmala UI"/>
        </w:rPr>
        <w:t>ওই।</w:t>
      </w:r>
    </w:p>
    <w:p>
      <w:pPr>
        <w:pStyle w:val="ArticleBody"/>
        <w:jc w:val="left"/>
      </w:pPr>
      <w:r>
        <w:rPr>
          <w:rFonts w:ascii="Times New Roman" w:hAnsi="Times New Roman" w:eastAsia="Times New Roman" w:cs="Times New Roman"/>
        </w:rPr>
        <w:t>Bokgale bja ditšhaba ke Boislamo bja madimabe a boraro bo swana le mosadi wa pelego; ka gona bo emela bothata bjo bo oketšegago, bo gola ka maatla. Bothata bjoo bjo bo golago bo thomile ka la 11 Setemere 2001; gomme ka la 7 Diphalane 2023, bohloko bjo bo latelago bja pelego bjo bo feteletšego bo ile bja hlasela, gomme ka ge Lentšu la Modimo le sa palelwe le ka mohla, bohloko bjo bo latelago bja pelego bo tla kgauswinyane kudu, gomme bo tla ba bjo bo senyago le go feta. Na o sa dutše o dula motseng?</w:t>
      </w:r>
    </w:p>
    <w:p>
      <w:pPr>
        <w:pStyle w:val="ArticleBody"/>
        <w:jc w:val="left"/>
      </w:pPr>
      <w:r>
        <w:rPr>
          <w:rFonts w:ascii="Times New Roman" w:hAnsi="Times New Roman" w:eastAsia="Times New Roman" w:cs="Times New Roman"/>
        </w:rPr>
        <w:t>N'a to'ne mikho'da ahohcha ya̱li ilȧppa i lĭsha̱lli' chito̱.</w:t>
      </w:r>
    </w:p>
    <w:p>
      <w:pPr>
        <w:pStyle w:val="ArticleScripture"/>
        <w:jc w:val="left"/>
      </w:pPr>
      <w:r>
        <w:rPr>
          <w:rFonts w:ascii="Times New Roman" w:hAnsi="Times New Roman" w:eastAsia="Times New Roman" w:cs="Times New Roman"/>
        </w:rPr>
        <w:t>“Kwa nabii, gurudumu ndani ya gurudumu, sura ya viumbe wenye uhai vilivyounganishwa navyo, vyote vilionekana kuwa vya kutatiza na visivyoweza kuelezwa. Lakini mkono wa Hekima Isiyo na Kikomo unaonekana katikati ya magurudumu, nayo utaratibu mkamilifu ni matokeo ya kazi yake. Kila gurudumu, likiongozwa na mkono wa Mungu, hufanya kazi kwa upatano mkamilifu na kila gurudumu jingine. Nimeonyeshwa kwamba vyombo vya kibinadamu vina uwezekano wa kutafuta mamlaka mengi kupita kiasi na kujaribu kudhibiti kazi vyenyewe. Vinamwacha Bwana Mungu, Mtenda Kazi Mkuu, nje ya mbinu na mipango yao kwa kadiri ilivyo kubwa mno, wala havimkabidhi Yeye kila kitu kuhusu kuendelezwa kwa kazi. Mtu awaye yote hapaswi hata kwa muda wa kitambo kudhani kwamba anaweza kusimamia mambo yale yaliyo ya Yule MIMI NIKO mkuu. Mungu katika majaliwa yake anatayarisha njia ili kazi iweze kufanywa na watendaji wa kibinadamu. Basi na kila mtu asimame mahali pa wajibu wake, ili atende sehemu yake kwa wakati huu na kujua kwamba Mungu ndiye mwalimu wake.”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Tiga Puluh Tiga</dc:title>
  <dc:subject>ఒక లక్ష నలభై నాలుగు వేల మందికి ముద్ర వేయబడే కాలముపై ప్రవచనాత్మక నేయ్పు విప్పి చూపు: అంతర్దృష్టులు</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