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Tiga Puluh Empat</w:t>
      </w:r>
    </w:p>
    <w:p>
      <w:pPr>
        <w:pStyle w:val="ArticleSubtitle"/>
        <w:jc w:val="left"/>
      </w:pPr>
      <w:r>
        <w:rPr>
          <w:rFonts w:ascii="Arial" w:hAnsi="Arial" w:eastAsia="Arial" w:cs="Arial"/>
        </w:rPr>
        <w:t>Ukembuka Kwa Uprofeti: Kuanzia Septemba 11, 2001, hadi Sheria ya Jumapili Inayokaribia nchini Marekani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Inkathi yokubekwa uphawu kwabayi ikhulu namashumi amane nane ezinkulungwane, kusukela ngoSepthemba 11, 2001, kuze kube ngumthetho weSonto ozayo maduze e-United States, iyisikhathi sesiprofetho lapho kugcwaliseka khona yonke imibono yeZwi likaNkulunkulu ezinsukwini zokugcina.</w:t>
      </w:r>
    </w:p>
    <w:p>
      <w:pPr>
        <w:pStyle w:val="ArticleScripture"/>
        <w:jc w:val="left"/>
      </w:pPr>
      <w:r>
        <w:rPr>
          <w:rFonts w:ascii="Times New Roman" w:hAnsi="Times New Roman" w:eastAsia="Times New Roman" w:cs="Times New Roman"/>
        </w:rPr>
        <w:t>Oleh itu, katakanlah kepada mereka, Beginilah firman Tuhan ALLAH: Aku akan menghentikan peribahasa ini, dan mereka tidak akan memakainya lagi sebagai peribahasa di Israel; tetapi katakanlah kepada mereka: Hari-harinya sudah dekat, dan penggenapan setiap penglihatan. Yehezkiel 12:23.</w:t>
      </w:r>
    </w:p>
    <w:p>
      <w:pPr>
        <w:pStyle w:val="ArticleBody"/>
        <w:jc w:val="left"/>
      </w:pPr>
      <w:r>
        <w:rPr>
          <w:rFonts w:ascii="Times New Roman" w:hAnsi="Times New Roman" w:eastAsia="Times New Roman" w:cs="Times New Roman"/>
        </w:rPr>
        <w:t>Mu laini yi, lengeloi la boraro le fihla hape, ’me ka ho etsa joalo, le emeloa ke ho fihla ha lengeloi la boraro ka la 22 Mphalane, 1844, ho isa bofetoheling ba 1863. Bofetoheli ba 1863 bo ne bo emetsoe ke bofetoheli ba pele ba Iseraele ea boholo-holo Kadeshe, ’me ka hona bo emeloa ke histori eohle ho tloha tšeleng ea Leoatle le Lefubelu ho fihlela bofetoheli ba pele ba Kadeshe. Bofetoheli ba pele ba Kadeshe bo ne bo tšoantšetsa bofetoheli ba bobeli ba Kadeshe, ’me ka hona laini ho tloha lefung la Arone ho isa bofetoheling ba bobeli ba Kadeshe e phetoa laineng la ho tiisoa.</w:t>
      </w:r>
    </w:p>
    <w:p>
      <w:pPr>
        <w:pStyle w:val="ArticleBody"/>
        <w:jc w:val="left"/>
      </w:pPr>
      <w:r>
        <w:rPr>
          <w:rFonts w:ascii="Times New Roman" w:hAnsi="Times New Roman" w:eastAsia="Times New Roman" w:cs="Times New Roman"/>
        </w:rPr>
        <w:t>Ia diulangi dalam sejarah kaum Millerit, dari tahun 1840 hingga 1844, yang ditipologikan oleh baptisan Kristus hingga salib, yang juga melambangkan sejarah dari salib hingga pelemparan batu terhadap Stefanus. Baris demi baris, setiap nabi zaman dahulu berbicara tentang kurun waktu ini lebih daripada tentang masa hidup mereka sendiri.</w:t>
      </w:r>
    </w:p>
    <w:p>
      <w:pPr>
        <w:pStyle w:val="ArticleScripture"/>
        <w:jc w:val="left"/>
      </w:pPr>
      <w:r>
        <w:rPr>
          <w:rFonts w:ascii="Times New Roman" w:hAnsi="Times New Roman" w:eastAsia="Times New Roman" w:cs="Times New Roman"/>
        </w:rPr>
        <w:t>“Setiap nabi zaman dahulu berbicara kurang bagi zaman mereka sendiri daripada bagi zaman kita, sehingga nubuat mereka berlaku bagi kita. ‘Sekarang semuanya ini telah menimpa mereka sebagai teladan, dan semuanya itu telah dituliskan untuk menjadi peringatan bagi kita, yang pada kita akhir zaman telah tiba.’ 1 Korintus 10:11. ‘Bukan untuk diri mereka sendiri, melainkan untuk kita mereka melayani hal-hal yang sekarang diberitakan kepadamu oleh mereka yang telah memberitakan Injil kepadamu dengan Roh Kudus yang diutus dari surga; hal-hal itulah yang ingin diketahui oleh malaikat-malaikat.’ 1 Petrus 1:12....”</w:t>
      </w:r>
    </w:p>
    <w:p>
      <w:pPr>
        <w:pStyle w:val="ArticleScripture"/>
        <w:jc w:val="left"/>
      </w:pPr>
      <w:r>
        <w:rPr>
          <w:rFonts w:ascii="Times New Roman" w:hAnsi="Times New Roman" w:eastAsia="Times New Roman" w:cs="Times New Roman"/>
        </w:rPr>
        <w:t>“Bibele yi hwanyetile ni ku boha swin’we vukosi bya yona hikwalaho ka rixaka leri ra makumu. Hinkwaswo swiendlakalo leswikulu ni timhaka ta nkoka ta matimu ya Testamente ya Khale a swi vile kona, naswona swa ha ri karhi swi vuyeleriwa ekerekeni emasikwini lawa ya makumu.” Selected Messages, buku 3, 338, 339.</w:t>
      </w:r>
    </w:p>
    <w:p>
      <w:pPr>
        <w:pStyle w:val="ArticleBody"/>
        <w:jc w:val="left"/>
      </w:pPr>
      <w:r>
        <w:rPr>
          <w:rFonts w:ascii="Times New Roman" w:hAnsi="Times New Roman" w:eastAsia="Times New Roman" w:cs="Times New Roman"/>
        </w:rPr>
        <w:t>“Generasi terakhir” ialah generasi pilihan Petrus, iaitu seratus empat puluh empat ribu, dan mereka dipilih mulai 11 September 2001 hingga undang-undang Ahad yang akan segera datang, pada waktu itu mereka kemudian diangkat sebagai panji-panji. “Semua,” bukan sebahagian, melainkan “semua peristiwa besar dan urusan yang khidmat” dalam Firman Tuhan, sedang “berulang kembali” dalam “generasi terakhir” daripada “gereja” pada “akhir zaman.” Dalam garis pemeteraian, semua kitab dalam Alkitab bertemu dan berakhir.</w:t>
      </w:r>
    </w:p>
    <w:p>
      <w:pPr>
        <w:pStyle w:val="ArticleScripture"/>
        <w:jc w:val="left"/>
      </w:pPr>
      <w:r>
        <w:rPr>
          <w:rFonts w:ascii="Times New Roman" w:hAnsi="Times New Roman" w:eastAsia="Times New Roman" w:cs="Times New Roman"/>
        </w:rPr>
        <w:t>“Dalam Wahyu, semua kitab dalam Alkitab bertemu dan berakhir. Di sinilah pelengkap kitab Daniel. Yang satu adalah nubuatan; yang lain adalah wahyu. Kitab yang dimeteraikan itu bukanlah Wahyu, melainkan bagian dari nubuatan Daniel yang berhubungan dengan hari-hari terakhir. Malaikat itu memerintahkan, ‘Tetapi engkau, hai Daniel, tutuplah segala firman itu dan meteraikanlah kitab itu sampai pada akhir zaman.’ Daniel 12:4.” Kisah Para Rasul, 585.</w:t>
      </w:r>
    </w:p>
    <w:p>
      <w:pPr>
        <w:pStyle w:val="ArticleBody"/>
        <w:jc w:val="left"/>
      </w:pPr>
      <w:r>
        <w:rPr>
          <w:rFonts w:ascii="Times New Roman" w:hAnsi="Times New Roman" w:eastAsia="Times New Roman" w:cs="Times New Roman"/>
        </w:rPr>
        <w:t>“</w:t>
      </w:r>
      <w:r>
        <w:rPr>
          <w:rFonts w:ascii="Nirmala UI" w:hAnsi="Nirmala UI" w:eastAsia="Nirmala UI" w:cs="Nirmala UI"/>
        </w:rPr>
        <w:t>भविष्यवक्ता</w:t>
      </w:r>
      <w:r>
        <w:rPr>
          <w:rFonts w:ascii="Times New Roman" w:hAnsi="Times New Roman" w:eastAsia="Times New Roman" w:cs="Times New Roman"/>
        </w:rPr>
        <w:t xml:space="preserve"> </w:t>
      </w:r>
      <w:r>
        <w:rPr>
          <w:rFonts w:ascii="Nirmala UI" w:hAnsi="Nirmala UI" w:eastAsia="Nirmala UI" w:cs="Nirmala UI"/>
        </w:rPr>
        <w:t>दानिय्येलको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दिनहरूसँग</w:t>
      </w:r>
      <w:r>
        <w:rPr>
          <w:rFonts w:ascii="Times New Roman" w:hAnsi="Times New Roman" w:eastAsia="Times New Roman" w:cs="Times New Roman"/>
        </w:rPr>
        <w:t xml:space="preserve"> </w:t>
      </w:r>
      <w:r>
        <w:rPr>
          <w:rFonts w:ascii="Nirmala UI" w:hAnsi="Nirmala UI" w:eastAsia="Nirmala UI" w:cs="Nirmala UI"/>
        </w:rPr>
        <w:t>सम्बन्धित</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अंश</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खोलियो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शिनारका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नदीहरू</w:t>
      </w:r>
      <w:r>
        <w:rPr>
          <w:rFonts w:ascii="Times New Roman" w:hAnsi="Times New Roman" w:eastAsia="Times New Roman" w:cs="Times New Roman"/>
        </w:rPr>
        <w:t xml:space="preserve">, </w:t>
      </w:r>
      <w:r>
        <w:rPr>
          <w:rFonts w:ascii="Nirmala UI" w:hAnsi="Nirmala UI" w:eastAsia="Nirmala UI" w:cs="Nirmala UI"/>
        </w:rPr>
        <w:t>उलै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हिद्देकेलको</w:t>
      </w:r>
      <w:r>
        <w:rPr>
          <w:rFonts w:ascii="Times New Roman" w:hAnsi="Times New Roman" w:eastAsia="Times New Roman" w:cs="Times New Roman"/>
        </w:rPr>
        <w:t xml:space="preserve"> </w:t>
      </w:r>
      <w:r>
        <w:rPr>
          <w:rFonts w:ascii="Nirmala UI" w:hAnsi="Nirmala UI" w:eastAsia="Nirmala UI" w:cs="Nirmala UI"/>
        </w:rPr>
        <w:t>किनारमा</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दर्शनहरूले</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चौध</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चालीसदेखि</w:t>
      </w:r>
      <w:r>
        <w:rPr>
          <w:rFonts w:ascii="Times New Roman" w:hAnsi="Times New Roman" w:eastAsia="Times New Roman" w:cs="Times New Roman"/>
        </w:rPr>
        <w:t xml:space="preserve"> </w:t>
      </w:r>
      <w:r>
        <w:rPr>
          <w:rFonts w:ascii="Nirmala UI" w:hAnsi="Nirmala UI" w:eastAsia="Nirmala UI" w:cs="Nirmala UI"/>
        </w:rPr>
        <w:t>पैंतालीससम्मलाई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लगाइने</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पूजाहारीको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चुनिएकाहरूलाई</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मानवीय</w:t>
      </w:r>
      <w:r>
        <w:rPr>
          <w:rFonts w:ascii="Times New Roman" w:hAnsi="Times New Roman" w:eastAsia="Times New Roman" w:cs="Times New Roman"/>
        </w:rPr>
        <w:t xml:space="preserve"> </w:t>
      </w:r>
      <w:r>
        <w:rPr>
          <w:rFonts w:ascii="Nirmala UI" w:hAnsi="Nirmala UI" w:eastAsia="Nirmala UI" w:cs="Nirmala UI"/>
        </w:rPr>
        <w:t>तत्त्वले</w:t>
      </w:r>
      <w:r>
        <w:rPr>
          <w:rFonts w:ascii="Times New Roman" w:hAnsi="Times New Roman" w:eastAsia="Times New Roman" w:cs="Times New Roman"/>
        </w:rPr>
        <w:t xml:space="preserve"> </w:t>
      </w:r>
      <w:r>
        <w:rPr>
          <w:rFonts w:ascii="Nirmala UI" w:hAnsi="Nirmala UI" w:eastAsia="Nirmala UI" w:cs="Nirmala UI"/>
        </w:rPr>
        <w:t>बनेको</w:t>
      </w:r>
      <w:r>
        <w:rPr>
          <w:rFonts w:ascii="Times New Roman" w:hAnsi="Times New Roman" w:eastAsia="Times New Roman" w:cs="Times New Roman"/>
        </w:rPr>
        <w:t xml:space="preserve"> </w:t>
      </w:r>
      <w:r>
        <w:rPr>
          <w:rFonts w:ascii="Nirmala UI" w:hAnsi="Nirmala UI" w:eastAsia="Nirmala UI" w:cs="Nirmala UI"/>
        </w:rPr>
        <w:t>सम्बन्धभित्र</w:t>
      </w:r>
      <w:r>
        <w:rPr>
          <w:rFonts w:ascii="Times New Roman" w:hAnsi="Times New Roman" w:eastAsia="Times New Roman" w:cs="Times New Roman"/>
        </w:rPr>
        <w:t xml:space="preserve"> </w:t>
      </w:r>
      <w:r>
        <w:rPr>
          <w:rFonts w:ascii="Nirmala UI" w:hAnsi="Nirmala UI" w:eastAsia="Nirmala UI" w:cs="Nirmala UI"/>
        </w:rPr>
        <w:t>अनन्तकालका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लगाउनुहुन्छ।</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एघारको</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चालीसले</w:t>
      </w:r>
      <w:r>
        <w:rPr>
          <w:rFonts w:ascii="Times New Roman" w:hAnsi="Times New Roman" w:eastAsia="Times New Roman" w:cs="Times New Roman"/>
        </w:rPr>
        <w:t xml:space="preserve">, </w:t>
      </w:r>
      <w:r>
        <w:rPr>
          <w:rFonts w:ascii="Nirmala UI" w:hAnsi="Nirmala UI" w:eastAsia="Nirmala UI" w:cs="Nirmala UI"/>
        </w:rPr>
        <w:t>अजिङ्गर</w:t>
      </w:r>
      <w:r>
        <w:rPr>
          <w:rFonts w:ascii="Times New Roman" w:hAnsi="Times New Roman" w:eastAsia="Times New Roman" w:cs="Times New Roman"/>
        </w:rPr>
        <w:t xml:space="preserve">, </w:t>
      </w:r>
      <w:r>
        <w:rPr>
          <w:rFonts w:ascii="Nirmala UI" w:hAnsi="Nirmala UI" w:eastAsia="Nirmala UI" w:cs="Nirmala UI"/>
        </w:rPr>
        <w:t>जनावर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अगमवक्ताको</w:t>
      </w:r>
      <w:r>
        <w:rPr>
          <w:rFonts w:ascii="Times New Roman" w:hAnsi="Times New Roman" w:eastAsia="Times New Roman" w:cs="Times New Roman"/>
        </w:rPr>
        <w:t xml:space="preserve"> </w:t>
      </w:r>
      <w:r>
        <w:rPr>
          <w:rFonts w:ascii="Nirmala UI" w:hAnsi="Nirmala UI" w:eastAsia="Nirmala UI" w:cs="Nirmala UI"/>
        </w:rPr>
        <w:t>सम्बन्धलाई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अहिले</w:t>
      </w:r>
      <w:r>
        <w:rPr>
          <w:rFonts w:ascii="Times New Roman" w:hAnsi="Times New Roman" w:eastAsia="Times New Roman" w:cs="Times New Roman"/>
        </w:rPr>
        <w:t xml:space="preserve"> </w:t>
      </w:r>
      <w:r>
        <w:rPr>
          <w:rFonts w:ascii="Nirmala UI" w:hAnsi="Nirmala UI" w:eastAsia="Nirmala UI" w:cs="Nirmala UI"/>
        </w:rPr>
        <w:t>संसारलाई</w:t>
      </w:r>
      <w:r>
        <w:rPr>
          <w:rFonts w:ascii="Times New Roman" w:hAnsi="Times New Roman" w:eastAsia="Times New Roman" w:cs="Times New Roman"/>
        </w:rPr>
        <w:t xml:space="preserve"> </w:t>
      </w:r>
      <w:r>
        <w:rPr>
          <w:rFonts w:ascii="Nirmala UI" w:hAnsi="Nirmala UI" w:eastAsia="Nirmala UI" w:cs="Nirmala UI"/>
        </w:rPr>
        <w:t>आर्मागेडोनतर्फ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याइरहेका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शासन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जनावरमाथिको</w:t>
      </w:r>
      <w:r>
        <w:rPr>
          <w:rFonts w:ascii="Times New Roman" w:hAnsi="Times New Roman" w:eastAsia="Times New Roman" w:cs="Times New Roman"/>
        </w:rPr>
        <w:t xml:space="preserve"> </w:t>
      </w:r>
      <w:r>
        <w:rPr>
          <w:rFonts w:ascii="Nirmala UI" w:hAnsi="Nirmala UI" w:eastAsia="Nirmala UI" w:cs="Nirmala UI"/>
        </w:rPr>
        <w:t>रिपब्लिकनवादको</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इतिहासद्वारा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चालीसले</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प्रोटेस्टेन्टवादको</w:t>
      </w:r>
      <w:r>
        <w:rPr>
          <w:rFonts w:ascii="Times New Roman" w:hAnsi="Times New Roman" w:eastAsia="Times New Roman" w:cs="Times New Roman"/>
        </w:rPr>
        <w:t xml:space="preserve"> </w:t>
      </w:r>
      <w:r>
        <w:rPr>
          <w:rFonts w:ascii="Nirmala UI" w:hAnsi="Nirmala UI" w:eastAsia="Nirmala UI" w:cs="Nirmala UI"/>
        </w:rPr>
        <w:t>सिङको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मूर्खबीचको</w:t>
      </w:r>
      <w:r>
        <w:rPr>
          <w:rFonts w:ascii="Times New Roman" w:hAnsi="Times New Roman" w:eastAsia="Times New Roman" w:cs="Times New Roman"/>
        </w:rPr>
        <w:t xml:space="preserve"> </w:t>
      </w:r>
      <w:r>
        <w:rPr>
          <w:rFonts w:ascii="Nirmala UI" w:hAnsi="Nirmala UI" w:eastAsia="Nirmala UI" w:cs="Nirmala UI"/>
        </w:rPr>
        <w:t>विभाजनलाई</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१७९८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चाँडै</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आइतबारको</w:t>
      </w:r>
      <w:r>
        <w:rPr>
          <w:rFonts w:ascii="Times New Roman" w:hAnsi="Times New Roman" w:eastAsia="Times New Roman" w:cs="Times New Roman"/>
        </w:rPr>
        <w:t xml:space="preserve"> </w:t>
      </w:r>
      <w:r>
        <w:rPr>
          <w:rFonts w:ascii="Nirmala UI" w:hAnsi="Nirmala UI" w:eastAsia="Nirmala UI" w:cs="Nirmala UI"/>
        </w:rPr>
        <w:t>व्यवस्थासम्म</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हुन्छ।</w:t>
      </w:r>
    </w:p>
    <w:p>
      <w:pPr>
        <w:pStyle w:val="ArticleBody"/>
        <w:jc w:val="left"/>
      </w:pPr>
      <w:r>
        <w:rPr>
          <w:rFonts w:ascii="Times New Roman" w:hAnsi="Times New Roman" w:eastAsia="Times New Roman" w:cs="Times New Roman"/>
        </w:rPr>
        <w:t>Buka tsohle tsa Baebele di “kopana mme di felela” mo bukeng ya Tshenolo, mme fa di kopana, buka ya Tshenolo e “tlatsa” buka ya Daniele, mme lefoko “tlatsa” le raya go fitlisa mo boitekanelong. Mo nakong ya go kanela ga ba ba dikete di le lekgolo le masome a manè le bonè, jaaka go emetswe mo bukeng ya Tshenolo, diporofeto tsa Daniele tse di neng tsa bulwa mo metlheng ya bofelo di fitlisiwa mo boitekanelong, fa di kopanngwa mola godimo ga mola, godimo ga mola wa hisetori o o emetsweng mo kgaolong ya lesome le borobedi ya Tshenolo, o o simololang ka lentswe mo ditemaneng tsa bongwe go ya go boraro, mme o felela ka lentswe la bobedi la temana ya bonè.</w:t>
      </w:r>
    </w:p>
    <w:p>
      <w:pPr>
        <w:pStyle w:val="ArticleBody"/>
        <w:jc w:val="left"/>
      </w:pPr>
      <w:r>
        <w:rPr>
          <w:rFonts w:ascii="Times New Roman" w:hAnsi="Times New Roman" w:eastAsia="Times New Roman" w:cs="Times New Roman"/>
        </w:rPr>
        <w:t>Kesempurnaan penglihatan nubuatan yang dilambangkan oleh Sungai Hiddekel dalam kitab Daniel melambangkan kesempurnaan penglihatan lahiriah dari musuh-musuh umat Allah yang menginjak-injak tempat kudus dan bala tentara. Kesempurnaan penglihatan nubuatan yang dilambangkan oleh Sungai Ulai dalam kitab Daniel melambangkan kesempurnaan penglihatan batiniah tentang Kristus yang menyatakan diri di dalam umat-Nya ketika Ia menggenapi janji perjanjian untuk mempersatukan keilahian dengan kemanusiaan atas generasi pilihan yang terakhir.</w:t>
      </w:r>
    </w:p>
    <w:p>
      <w:pPr>
        <w:pStyle w:val="ArticleBody"/>
        <w:jc w:val="left"/>
      </w:pPr>
      <w:r>
        <w:rPr>
          <w:rFonts w:ascii="Times New Roman" w:hAnsi="Times New Roman" w:eastAsia="Times New Roman" w:cs="Times New Roman"/>
        </w:rPr>
        <w:t>Histori ya kukhindikiza, komwe kumayang’ana pa nyanga ya Republican ya chilombo cha padziko lapansi, kumayamba ndi chilombo cha padziko lapansi kulankhula Patriot Act mu 2001, ndipo kumathera ndi kulankhula kumene kunayimiridwa ndi Alien and Sedition Acts za 1798, zomwe mu Chivumbulutso chaputala cha khumi ndi chitatu, ziyimiridwa monga chilombo cha padziko lapansi cholankhula monga chinjoka. Alien and Sedition Acts za 1798, ziyimira mapeto a mzere umene unayamba ndi kulankhula kwa Declaration of Independence mu 1776. Pakati pa nthawi imeneyo ya mbiri ya uneneri, chilombo cha padziko lapansi chinakhazikitsa Constitution mwa kulankhula mu 1789.</w:t>
      </w:r>
    </w:p>
    <w:p>
      <w:pPr>
        <w:pStyle w:val="ArticleBody"/>
        <w:jc w:val="left"/>
      </w:pPr>
      <w:r>
        <w:rPr>
          <w:rFonts w:ascii="Times New Roman" w:hAnsi="Times New Roman" w:eastAsia="Times New Roman" w:cs="Times New Roman"/>
        </w:rPr>
        <w:t>Pengucapan tahun 1776, selaras dengan pengucapan Akta Patriot, dan Akta Orang Asing dan Hasutan melambangkan undang-undang Ahad yang akan segera datang di Amerika Syarikat. Di tengah-tengah sejarah itu seharusnya ada satu lagi pengucapan yang selaras dengan tahun 1789. Suara pertama dalam Wahyu lapan belas, ayat satu hingga tiga, dengan jelas dikenal pasti sebagai tiba ketika bangunan-bangunan besar di New York City dijatuhkan. Suara kedua dalam ayat empat juga dengan jelas dikenal pasti sebagai undang-undang Ahad yang akan segera datang. Kedua-dua suara itu ialah suara ilahi, kerana kedua-duanya ialah suara malaikat yang akan menerangi bumi dengan kemuliaan-Nya, yang dikenal pasti oleh Sister White sebagai malaikat pertama dalam Wahyu empat belas. Yesus ialah malaikat pertama itu, dan Dia sentiasa menggambarkan pengakhiran sesuatu dengan permulaannya, maka Dia juga ialah malaikat ketiga, iaitu malaikat yang menerangi bumi dengan kemuliaan-Nya.</w:t>
      </w:r>
    </w:p>
    <w:p>
      <w:pPr>
        <w:pStyle w:val="ArticleBody"/>
        <w:jc w:val="left"/>
      </w:pPr>
      <w:r>
        <w:rPr>
          <w:rFonts w:ascii="Nirmala UI" w:hAnsi="Nirmala UI" w:eastAsia="Nirmala UI" w:cs="Nirmala UI"/>
        </w:rPr>
        <w:t>ආරම්භක</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දහවන</w:t>
      </w:r>
      <w:r>
        <w:rPr>
          <w:rFonts w:ascii="Times New Roman" w:hAnsi="Times New Roman" w:eastAsia="Times New Roman" w:cs="Times New Roman"/>
        </w:rPr>
        <w:t xml:space="preserve"> </w:t>
      </w:r>
      <w:r>
        <w:rPr>
          <w:rFonts w:ascii="Nirmala UI" w:hAnsi="Nirmala UI" w:eastAsia="Nirmala UI" w:cs="Nirmala UI"/>
        </w:rPr>
        <w:t>පරිච්ඡේදයේද</w:t>
      </w:r>
      <w:r>
        <w:rPr>
          <w:rFonts w:ascii="Times New Roman" w:hAnsi="Times New Roman" w:eastAsia="Times New Roman" w:cs="Times New Roman"/>
        </w:rPr>
        <w:t xml:space="preserve">, 1840 </w:t>
      </w:r>
      <w:r>
        <w:rPr>
          <w:rFonts w:ascii="Nirmala UI" w:hAnsi="Nirmala UI" w:eastAsia="Nirmala UI" w:cs="Nirmala UI"/>
        </w:rPr>
        <w:t>අගෝස්තු</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එන</w:t>
      </w:r>
      <w:r>
        <w:rPr>
          <w:rFonts w:ascii="Times New Roman" w:hAnsi="Times New Roman" w:eastAsia="Times New Roman" w:cs="Times New Roman"/>
        </w:rPr>
        <w:t xml:space="preserve"> </w:t>
      </w:r>
      <w:r>
        <w:rPr>
          <w:rFonts w:ascii="Nirmala UI" w:hAnsi="Nirmala UI" w:eastAsia="Nirmala UI" w:cs="Nirmala UI"/>
        </w:rPr>
        <w:t>තැනැත්තෙකු</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නිරූපිතය</w:t>
      </w:r>
      <w:r>
        <w:rPr>
          <w:rFonts w:ascii="Times New Roman" w:hAnsi="Times New Roman" w:eastAsia="Times New Roman" w:cs="Times New Roman"/>
        </w:rPr>
        <w:t xml:space="preserve">; </w:t>
      </w:r>
      <w:r>
        <w:rPr>
          <w:rFonts w:ascii="Nirmala UI" w:hAnsi="Nirmala UI" w:eastAsia="Nirmala UI" w:cs="Nirmala UI"/>
        </w:rPr>
        <w:t>එමගින්</w:t>
      </w:r>
      <w:r>
        <w:rPr>
          <w:rFonts w:ascii="Times New Roman" w:hAnsi="Times New Roman" w:eastAsia="Times New Roman" w:cs="Times New Roman"/>
        </w:rPr>
        <w:t xml:space="preserve"> 2001 </w:t>
      </w:r>
      <w:r>
        <w:rPr>
          <w:rFonts w:ascii="Nirmala UI" w:hAnsi="Nirmala UI" w:eastAsia="Nirmala UI" w:cs="Nirmala UI"/>
        </w:rPr>
        <w:t>සැප්තැම්බර්</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දූතයාගේ</w:t>
      </w:r>
      <w:r>
        <w:rPr>
          <w:rFonts w:ascii="Times New Roman" w:hAnsi="Times New Roman" w:eastAsia="Times New Roman" w:cs="Times New Roman"/>
        </w:rPr>
        <w:t xml:space="preserve"> </w:t>
      </w:r>
      <w:r>
        <w:rPr>
          <w:rFonts w:ascii="Nirmala UI" w:hAnsi="Nirmala UI" w:eastAsia="Nirmala UI" w:cs="Nirmala UI"/>
        </w:rPr>
        <w:t>බැසීමට</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රතිරූපයක්</w:t>
      </w:r>
      <w:r>
        <w:rPr>
          <w:rFonts w:ascii="Times New Roman" w:hAnsi="Times New Roman" w:eastAsia="Times New Roman" w:cs="Times New Roman"/>
        </w:rPr>
        <w:t xml:space="preserve"> </w:t>
      </w:r>
      <w:r>
        <w:rPr>
          <w:rFonts w:ascii="Nirmala UI" w:hAnsi="Nirmala UI" w:eastAsia="Nirmala UI" w:cs="Nirmala UI"/>
        </w:rPr>
        <w:t>දක්වයි</w:t>
      </w:r>
      <w:r>
        <w:rPr>
          <w:rFonts w:ascii="Times New Roman" w:hAnsi="Times New Roman" w:eastAsia="Times New Roman" w:cs="Times New Roman"/>
        </w:rPr>
        <w:t xml:space="preserve">. </w:t>
      </w:r>
      <w:r>
        <w:rPr>
          <w:rFonts w:ascii="Nirmala UI" w:hAnsi="Nirmala UI" w:eastAsia="Nirmala UI" w:cs="Nirmala UI"/>
        </w:rPr>
        <w:t>සහෝදරි</w:t>
      </w:r>
      <w:r>
        <w:rPr>
          <w:rFonts w:ascii="Times New Roman" w:hAnsi="Times New Roman" w:eastAsia="Times New Roman" w:cs="Times New Roman"/>
        </w:rPr>
        <w:t xml:space="preserve"> </w:t>
      </w:r>
      <w:r>
        <w:rPr>
          <w:rFonts w:ascii="Nirmala UI" w:hAnsi="Nirmala UI" w:eastAsia="Nirmala UI" w:cs="Nirmala UI"/>
        </w:rPr>
        <w:t>වයිට්</w:t>
      </w:r>
      <w:r>
        <w:rPr>
          <w:rFonts w:ascii="Times New Roman" w:hAnsi="Times New Roman" w:eastAsia="Times New Roman" w:cs="Times New Roman"/>
        </w:rPr>
        <w:t xml:space="preserve"> </w:t>
      </w:r>
      <w:r>
        <w:rPr>
          <w:rFonts w:ascii="Nirmala UI" w:hAnsi="Nirmala UI" w:eastAsia="Nirmala UI" w:cs="Nirmala UI"/>
        </w:rPr>
        <w:t>සෘජුව</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දහවන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වහන්සේට</w:t>
      </w:r>
      <w:r>
        <w:rPr>
          <w:rFonts w:ascii="Times New Roman" w:hAnsi="Times New Roman" w:eastAsia="Times New Roman" w:cs="Times New Roman"/>
        </w:rPr>
        <w:t xml:space="preserve"> </w:t>
      </w:r>
      <w:r>
        <w:rPr>
          <w:rFonts w:ascii="Nirmala UI" w:hAnsi="Nirmala UI" w:eastAsia="Nirmala UI" w:cs="Nirmala UI"/>
        </w:rPr>
        <w:t>වඩා</w:t>
      </w:r>
      <w:r>
        <w:rPr>
          <w:rFonts w:ascii="Times New Roman" w:hAnsi="Times New Roman" w:eastAsia="Times New Roman" w:cs="Times New Roman"/>
        </w:rPr>
        <w:t xml:space="preserve"> </w:t>
      </w:r>
      <w:r>
        <w:rPr>
          <w:rFonts w:ascii="Nirmala UI" w:hAnsi="Nirmala UI" w:eastAsia="Nirmala UI" w:cs="Nirmala UI"/>
        </w:rPr>
        <w:t>අඩු</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පුද්ගලයෙකු</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අටළොස්වන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හඬවල්</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හඬය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1776, 1789 </w:t>
      </w:r>
      <w:r>
        <w:rPr>
          <w:rFonts w:ascii="Nirmala UI" w:hAnsi="Nirmala UI" w:eastAsia="Nirmala UI" w:cs="Nirmala UI"/>
        </w:rPr>
        <w:t>සහ</w:t>
      </w:r>
      <w:r>
        <w:rPr>
          <w:rFonts w:ascii="Times New Roman" w:hAnsi="Times New Roman" w:eastAsia="Times New Roman" w:cs="Times New Roman"/>
        </w:rPr>
        <w:t xml:space="preserve"> 1798 </w:t>
      </w:r>
      <w:r>
        <w:rPr>
          <w:rFonts w:ascii="Nirmala UI" w:hAnsi="Nirmala UI" w:eastAsia="Nirmala UI" w:cs="Nirmala UI"/>
        </w:rPr>
        <w:t>මගින්</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රතිරූපිත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පෘථිවි</w:t>
      </w:r>
      <w:r>
        <w:rPr>
          <w:rFonts w:ascii="Times New Roman" w:hAnsi="Times New Roman" w:eastAsia="Times New Roman" w:cs="Times New Roman"/>
        </w:rPr>
        <w:t xml:space="preserve"> </w:t>
      </w:r>
      <w:r>
        <w:rPr>
          <w:rFonts w:ascii="Nirmala UI" w:hAnsi="Nirmala UI" w:eastAsia="Nirmala UI" w:cs="Nirmala UI"/>
        </w:rPr>
        <w:t>මෘගයා</w:t>
      </w:r>
      <w:r>
        <w:rPr>
          <w:rFonts w:ascii="Times New Roman" w:hAnsi="Times New Roman" w:eastAsia="Times New Roman" w:cs="Times New Roman"/>
        </w:rPr>
        <w:t xml:space="preserve"> </w:t>
      </w:r>
      <w:r>
        <w:rPr>
          <w:rFonts w:ascii="Nirmala UI" w:hAnsi="Nirmala UI" w:eastAsia="Nirmala UI" w:cs="Nirmala UI"/>
        </w:rPr>
        <w:t>තුන්</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කතා</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අටළොස්වන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අතරමැද</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රිස්තුස්</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හඬ</w:t>
      </w:r>
      <w:r>
        <w:rPr>
          <w:rFonts w:ascii="Times New Roman" w:hAnsi="Times New Roman" w:eastAsia="Times New Roman" w:cs="Times New Roman"/>
        </w:rPr>
        <w:t xml:space="preserve">, </w:t>
      </w:r>
      <w:r>
        <w:rPr>
          <w:rFonts w:ascii="Nirmala UI" w:hAnsi="Nirmala UI" w:eastAsia="Nirmala UI" w:cs="Nirmala UI"/>
        </w:rPr>
        <w:t>උන්වහන්සේ</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w:t>
      </w:r>
      <w:r>
        <w:rPr>
          <w:rFonts w:ascii="Nirmala UI" w:hAnsi="Nirmala UI" w:eastAsia="Nirmala UI" w:cs="Nirmala UI"/>
        </w:rPr>
        <w:t>එකොළොස්වන</w:t>
      </w:r>
      <w:r>
        <w:rPr>
          <w:rFonts w:ascii="Times New Roman" w:hAnsi="Times New Roman" w:eastAsia="Times New Roman" w:cs="Times New Roman"/>
        </w:rPr>
        <w:t xml:space="preserve"> </w:t>
      </w:r>
      <w:r>
        <w:rPr>
          <w:rFonts w:ascii="Nirmala UI" w:hAnsi="Nirmala UI" w:eastAsia="Nirmala UI" w:cs="Nirmala UI"/>
        </w:rPr>
        <w:t>පරිච්ඡේදයේ</w:t>
      </w:r>
      <w:r>
        <w:rPr>
          <w:rFonts w:ascii="Times New Roman" w:hAnsi="Times New Roman" w:eastAsia="Times New Roman" w:cs="Times New Roman"/>
        </w:rPr>
        <w:t xml:space="preserve"> </w:t>
      </w:r>
      <w:r>
        <w:rPr>
          <w:rFonts w:ascii="Nirmala UI" w:hAnsi="Nirmala UI" w:eastAsia="Nirmala UI" w:cs="Nirmala UI"/>
        </w:rPr>
        <w:t>කථා</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අවස්ථාවයි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ima nyuma ya siku tatu na nusu, Roho ya uzima itokayo kwa Mungu ikaingia ndani yao, nao wakasimama kwa miguu yao; na hofu kuu ikawapata wale waliowaona. Nao wakasikia sauti kuu kutoka mbinguni ikiwambia, Njoni huku juu. Wakapanda juu mbinguni katika wingu; na adui zao wakawaona. Ufunuo 11:11, 12.</w:t>
      </w:r>
    </w:p>
    <w:p>
      <w:pPr>
        <w:pStyle w:val="ArticleBody"/>
        <w:jc w:val="left"/>
      </w:pPr>
      <w:r>
        <w:rPr>
          <w:rFonts w:ascii="Times New Roman" w:hAnsi="Times New Roman" w:eastAsia="Times New Roman" w:cs="Times New Roman"/>
        </w:rPr>
        <w:t>Pada bulan Julai 2023, suatu suara dari syurga (suara Kristus) mula membangkitkan kedua-dua saksi yang telah dibunuh di jalan-jalan oleh naga ateistik dari jurang maut. Pada saat itu, isu-isu yang berkaitan dengan Perlembagaan Amerika Syarikat menjadi suatu subjek nubuat, kerana pada suara yang berikutnya, yang dilambangkan oleh 1798, Perlembagaan itu akan digulingkan sepenuhnya. Setiap satu daripada tiga tanda jalan 1776, 1789, dan 1798, selaras dengan tiga suara ilahi yang ditandai sebagai 11 September 2001, Julai 2023, dan undang-undang Ahad yang akan segera datang.</w:t>
      </w:r>
    </w:p>
    <w:p>
      <w:pPr>
        <w:pStyle w:val="ArticleBody"/>
        <w:jc w:val="left"/>
      </w:pPr>
      <w:r>
        <w:rPr>
          <w:rFonts w:ascii="Times New Roman" w:hAnsi="Times New Roman" w:eastAsia="Times New Roman" w:cs="Times New Roman"/>
        </w:rPr>
        <w:t>Dingwaga tse tharo di tsamaisana le dikgato tse tharo tsa masetlapelo a boraro, a emetsweng ke Lwetse 11, 2001, Diphalane 7, 2023 le molao wa Sontaga o tlang ka bonako fa terompeta ya bosupa, e leng Masetlapelo a boraro, e goroga ka tshoganyetso mo oureng ya “thoromo e kgolo ya lefatshe”. Ka 2023, phetogo ya dinaka tsotlhe tse pedi tsa sebatana sa lefatshe e ne ya simolola, jaaka go emetswe ke toro ya setshwantsho ya sephiri ya ga Nebukadenesare. Toro ya ga Nebukadenesare mo kgaolong ya bobedi e ne e le sephiri se Modimo a le esi fela a neng a ka se senola, mme O ne a se senolela bao ba neng ba fetile teko ya ntlha e e emetsweng mo kgaolong ya ntlha ya Baebele ya ga Daniele.</w:t>
      </w:r>
    </w:p>
    <w:p>
      <w:pPr>
        <w:pStyle w:val="ArticleBody"/>
        <w:jc w:val="left"/>
      </w:pPr>
      <w:r>
        <w:rPr>
          <w:rFonts w:ascii="Times New Roman" w:hAnsi="Times New Roman" w:eastAsia="Times New Roman" w:cs="Times New Roman"/>
        </w:rPr>
        <w:t>Daniel dan ketiga-tiga orang saleh dalam fasal satu yang telah lulus ujian pertama, ialah mereka yang memilih untuk makan makanan syurgawi dan menolak santapan Babilon. Mereka ialah orang-orang yang dilambangkan oleh Yohanes dalam Wahyu fasal sepuluh, yang mengambil kitab kecil itu dari tangan malaikat itu, yang tidak lain daripada Yesus Kristus, lalu memakan pekhabaran yang terkandung di dalamnya. Mereka ialah orang-orang dalam Yohanes fasal enam, yang memilih untuk makan daging dan minum darah manna syurgawi, yang telah ditolak oleh golongan yang satu lagi, lalu mereka itu berpaling daripada Kristus dan tidak lagi berjalan bersama-sama dengan Dia untuk selama-lamanya, dalam fasal ENAM, ayat ENAM PULUH ENAM.</w:t>
      </w:r>
    </w:p>
    <w:p>
      <w:pPr>
        <w:pStyle w:val="ArticleBody"/>
        <w:jc w:val="left"/>
      </w:pPr>
      <w:r>
        <w:rPr>
          <w:rFonts w:ascii="Times New Roman" w:hAnsi="Times New Roman" w:eastAsia="Times New Roman" w:cs="Times New Roman"/>
        </w:rPr>
        <w:t>Dalam garis itu Kristus sedang mengajar di Galilea, yang berarti “sebuah engsel” atau “sebuah titik balik”. Di sana Ia menyampaikan pekabaran tentang manna surgawi, yang harus dimakan oleh murid-murid-Nya, sama seperti Yohanes telah memakannya dalam Wahyu pasal sepuluh, dan seperti Yehezkiel telah memakannya dalam pasal tiga, dan Yeremia telah memakannya dalam pasal lima belas. Sejarah yang dilambangkan oleh Yohanes dalam Wahyu pasal sepuluh, ketika ia memakan kitab kecil itu, melambangkan sejarah kaum Millerit dari tahun 1840 sampai 1844, tetapi secara lebih langsung melambangkan masa pemeteraian seratus empat puluh empat ribu daripada sejarah kaum Millerit. Hal ini tampak dalam pasal itu melalui petunjuk-petunjuk yang diberikan kepada Yohanes ketika ia diperintahkan untuk memakan kitab kecil itu.</w:t>
      </w:r>
    </w:p>
    <w:p>
      <w:pPr>
        <w:pStyle w:val="ArticleScripture"/>
        <w:jc w:val="left"/>
      </w:pPr>
      <w:r>
        <w:rPr>
          <w:rFonts w:ascii="Leelawadee UI" w:hAnsi="Leelawadee UI" w:eastAsia="Leelawadee UI" w:cs="Leelawadee UI"/>
        </w:rPr>
        <w:t>ខ្ញុំក៏ទៅរកទេវតានោះ</w:t>
      </w:r>
      <w:r>
        <w:rPr>
          <w:rFonts w:ascii="Times New Roman" w:hAnsi="Times New Roman" w:eastAsia="Times New Roman" w:cs="Times New Roman"/>
        </w:rPr>
        <w:t xml:space="preserve"> </w:t>
      </w:r>
      <w:r>
        <w:rPr>
          <w:rFonts w:ascii="Leelawadee UI" w:hAnsi="Leelawadee UI" w:eastAsia="Leelawadee UI" w:cs="Leelawadee UI"/>
        </w:rPr>
        <w:t>ហើយទូលសុំគាត់ថា</w:t>
      </w:r>
      <w:r>
        <w:rPr>
          <w:rFonts w:ascii="Times New Roman" w:hAnsi="Times New Roman" w:eastAsia="Times New Roman" w:cs="Times New Roman"/>
        </w:rPr>
        <w:t xml:space="preserve"> </w:t>
      </w:r>
      <w:r>
        <w:rPr>
          <w:rFonts w:ascii="Leelawadee UI" w:hAnsi="Leelawadee UI" w:eastAsia="Leelawadee UI" w:cs="Leelawadee UI"/>
        </w:rPr>
        <w:t>សូមប្រទានសៀវភៅតូចនោះមកខ្ញុំ។</w:t>
      </w:r>
      <w:r>
        <w:rPr>
          <w:rFonts w:ascii="Times New Roman" w:hAnsi="Times New Roman" w:eastAsia="Times New Roman" w:cs="Times New Roman"/>
        </w:rPr>
        <w:t xml:space="preserve"> </w:t>
      </w:r>
      <w:r>
        <w:rPr>
          <w:rFonts w:ascii="Leelawadee UI" w:hAnsi="Leelawadee UI" w:eastAsia="Leelawadee UI" w:cs="Leelawadee UI"/>
        </w:rPr>
        <w:t>ហើយគាត់មានប្រសាសន៍មកខ្ញុំថា</w:t>
      </w:r>
      <w:r>
        <w:rPr>
          <w:rFonts w:ascii="Times New Roman" w:hAnsi="Times New Roman" w:eastAsia="Times New Roman" w:cs="Times New Roman"/>
        </w:rPr>
        <w:t xml:space="preserve"> </w:t>
      </w:r>
      <w:r>
        <w:rPr>
          <w:rFonts w:ascii="Leelawadee UI" w:hAnsi="Leelawadee UI" w:eastAsia="Leelawadee UI" w:cs="Leelawadee UI"/>
        </w:rPr>
        <w:t>ចូរយកវា</w:t>
      </w:r>
      <w:r>
        <w:rPr>
          <w:rFonts w:ascii="Times New Roman" w:hAnsi="Times New Roman" w:eastAsia="Times New Roman" w:cs="Times New Roman"/>
        </w:rPr>
        <w:t xml:space="preserve"> </w:t>
      </w:r>
      <w:r>
        <w:rPr>
          <w:rFonts w:ascii="Leelawadee UI" w:hAnsi="Leelawadee UI" w:eastAsia="Leelawadee UI" w:cs="Leelawadee UI"/>
        </w:rPr>
        <w:t>ហើយបរិភោគវាទាំងមូលចុះ</w:t>
      </w:r>
      <w:r>
        <w:rPr>
          <w:rFonts w:ascii="Times New Roman" w:hAnsi="Times New Roman" w:eastAsia="Times New Roman" w:cs="Times New Roman"/>
        </w:rPr>
        <w:t xml:space="preserve">; </w:t>
      </w:r>
      <w:r>
        <w:rPr>
          <w:rFonts w:ascii="Leelawadee UI" w:hAnsi="Leelawadee UI" w:eastAsia="Leelawadee UI" w:cs="Leelawadee UI"/>
        </w:rPr>
        <w:t>វានឹងធ្វើឲ្យពោះរបស់អ្នកល្វីង</w:t>
      </w:r>
      <w:r>
        <w:rPr>
          <w:rFonts w:ascii="Times New Roman" w:hAnsi="Times New Roman" w:eastAsia="Times New Roman" w:cs="Times New Roman"/>
        </w:rPr>
        <w:t xml:space="preserve"> </w:t>
      </w:r>
      <w:r>
        <w:rPr>
          <w:rFonts w:ascii="Leelawadee UI" w:hAnsi="Leelawadee UI" w:eastAsia="Leelawadee UI" w:cs="Leelawadee UI"/>
        </w:rPr>
        <w:t>ប៉ុន្តែនៅក្នុងមាត់របស់អ្នក</w:t>
      </w:r>
      <w:r>
        <w:rPr>
          <w:rFonts w:ascii="Times New Roman" w:hAnsi="Times New Roman" w:eastAsia="Times New Roman" w:cs="Times New Roman"/>
        </w:rPr>
        <w:t xml:space="preserve"> </w:t>
      </w:r>
      <w:r>
        <w:rPr>
          <w:rFonts w:ascii="Leelawadee UI" w:hAnsi="Leelawadee UI" w:eastAsia="Leelawadee UI" w:cs="Leelawadee UI"/>
        </w:rPr>
        <w:t>វានឹងផ្អែមដូចទឹកឃ្មុំ។</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10:9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Dalam ayat itu, Yohanes telah diberitahukan terlebih dahulu, sebelum ia mengambil dan memakan kitab kecil itu, pengalaman apa yang akan dihasilkan oleh pekabaran yang dimakannya. Kaum Miller tidak memahami terlebih dahulu pengalaman manis-pahit itu sebelum penggenapan historis mereka atas perlambangan Yohanes mengenai garis sejarah nubuatan mereka. Tetapi seratus empat puluh empat ribu telah diberitahukan terlebih dahulu, dan dituntut untuk mengetahuinya. Ketika Yohanes menggambarkan baik sejarah pergerakan malaikat pertama maupun sejarah malaikat ketiga, pekabaran itu menghasilkan dua golongan penyembah, lalu berakhir dengan kekecewaan yang pahit. Ketika Yeremia memakan kitab kecil itu, ia kemudian menolak untuk bergaul dengan “perkumpulan para pencemooh.”</w:t>
      </w:r>
    </w:p>
    <w:p>
      <w:pPr>
        <w:pStyle w:val="ArticleScripture"/>
        <w:jc w:val="left"/>
      </w:pPr>
      <w:r>
        <w:rPr>
          <w:rFonts w:ascii="Times New Roman" w:hAnsi="Times New Roman" w:eastAsia="Times New Roman" w:cs="Times New Roman"/>
        </w:rPr>
        <w:t>Ndzi nga tshamanga enhlengeletanweni ya vahlekuri, naswona a ndzi tsakanga; ndzi tshame ndzi ri ndzexe hikwalaho ka voko ra wena, hikuva u ndzi tatisile hi ku kariha. Yeremiya 15:17.</w:t>
      </w:r>
    </w:p>
    <w:p>
      <w:pPr>
        <w:pStyle w:val="ArticleBody"/>
        <w:jc w:val="left"/>
      </w:pPr>
      <w:r>
        <w:rPr>
          <w:rFonts w:ascii="Times New Roman" w:hAnsi="Times New Roman" w:eastAsia="Times New Roman" w:cs="Times New Roman"/>
        </w:rPr>
        <w:t>Ngenkathi Hezekeli edla incwadzi lencane, watjelwa kutsi anikete umlayeto kulabo labavukelambuso bendlu yaka-Israyeli, lebebangeke balalele.</w:t>
      </w:r>
    </w:p>
    <w:p>
      <w:pPr>
        <w:pStyle w:val="ArticleScripture"/>
        <w:jc w:val="left"/>
      </w:pPr>
      <w:r>
        <w:rPr>
          <w:rFonts w:ascii="Times New Roman" w:hAnsi="Times New Roman" w:eastAsia="Times New Roman" w:cs="Times New Roman"/>
        </w:rPr>
        <w:t>Lagipun Dia berfirman kepadaku, Hai anak manusia, makanlah apa yang engkau dapati; makanlah gulungan kitab ini, lalu pergilah, berbicaralah kepada kaum Israel.... Tetapi kaum Israel tidak akan mendengarkan engkau; sebab mereka tidak mau mendengarkan Aku: karena seluruh kaum Israel adalah orang-orang yang keras kepala dan keras hati. Yehezkiel 3:1,7.</w:t>
      </w:r>
    </w:p>
    <w:p>
      <w:pPr>
        <w:pStyle w:val="ArticleBody"/>
        <w:jc w:val="left"/>
      </w:pPr>
      <w:r>
        <w:rPr>
          <w:rFonts w:ascii="Times New Roman" w:hAnsi="Times New Roman" w:eastAsia="Times New Roman" w:cs="Times New Roman"/>
        </w:rPr>
        <w:t>Ndi Khristu aṋekedza tshinkwa tsha ṱaḓulu, tshine tsha vha ṋama Yawe na malofha Awe, kha kereke Yawe ya hayani ngei Galilea, tshigwada tshe tsha furalela a tsho ngo tsha dovha tsha tshimbila Naye; nahone tshenetshi tshiitisi tsha uri hezwi zwo itea kha ndima ya VHU-RATHI, ndimana ya MAṰANṰA-ṰANṰA NA VHU-RATHI, tshi sumbedza uri u ḽa ndi tshipiḓa tsha u thoma tsha maitele a mulingo a magato mararu, ane a thoma nga u tsela fhasi ha muruṅwa. Mulingo wa vhuvhili ndi hune zwigwada zwivhili zwa vhonadzwa hone, hu sa londwi uri ndi phambano vhukati ha Hesekiele na nṋu ya Isiraele ya mbilu dzi konḓaho, kana vhananyana vha vhuṱali na vha matsilu vha u thoma na u fhedza ha Adventism, kana Yeremia na tshivhidzo tsha vhasekisi, kana nga Daniele na vhanna vhararu vha ndeme zwi tshi vhambedzwa na vhalivhi vha Babele kha ndima ya vhuvhili ya Daniele.</w:t>
      </w:r>
    </w:p>
    <w:p>
      <w:pPr>
        <w:pStyle w:val="ArticleBody"/>
        <w:jc w:val="left"/>
      </w:pPr>
      <w:r>
        <w:rPr>
          <w:rFonts w:ascii="Times New Roman" w:hAnsi="Times New Roman" w:eastAsia="Times New Roman" w:cs="Times New Roman"/>
        </w:rPr>
        <w:t>Dalam alur Yohanes pasal enam, kedatangan di Galilea adalah 11 September 2001. Pekabaran untuk memakan daging dan meminum darah adalah sejarah yang pada akhirnya menuntun kepada undang-undang hari Minggu yang segera datang. “Engkau adalah apa yang engkau makan,” sebagaimana dilambangkan oleh Daniel dan ketiga sahabatnya dalam pasal satu, dan dalam Yohanes enam, mereka yang memilih untuk memakan daging Kristus dan meminum darah-Nya menjadi gambaran dari apa yang mereka makan. Mereka menjadi gambaran Kristus, sedangkan golongan lain yang berbalik dan tidak lagi berjalan bersama Kristus menyatakan gambaran binatang itu. Satu golongan adalah gambaran Sang Pencipta, yang lain gambaran ciptaan. Yohanes pasal enam menambahkan makna “Galilea” kepada 11 September 2001, sebab maknanya adalah “engsel”, dengan demikian menandai titik balik bagi para murid. Akankah mereka beralih kepada pola makan surgawi atau kepada pola makan Babel? Pada titik-titik balik nubuatanlah Kristus menyatakan terang bagi periode berikutnya, sebagaimana dilambangkan oleh turunnya Dia pada tahun 2001, ketika bumi diterangi dengan kemuliaan-Nya.</w:t>
      </w:r>
    </w:p>
    <w:p>
      <w:pPr>
        <w:pStyle w:val="ArticleScripture"/>
        <w:jc w:val="left"/>
      </w:pPr>
      <w:r>
        <w:rPr>
          <w:rFonts w:ascii="Times New Roman" w:hAnsi="Times New Roman" w:eastAsia="Times New Roman" w:cs="Times New Roman"/>
        </w:rPr>
        <w:t>“Ko teh kawm tau qee zaj lus los ntawm keeb kwm yav tag los; thiab raug hu kom muab siab rau tej no, kom sawv daws to taub tias Vajtswv ua hauj lwm raws tib txoj kab niaj hnub no ib yam li Nws ib txwm tau ua los. Nws txhais tes pom tseeb hauv Nws tes dej num thiab nyob hauv tej haiv neeg niaj hnub no tib yam nkaus li nws tau muaj txij thaum xub thawj txoj moo zoo raug tshaj tawm rau Adas hauv Edees.</w:t>
      </w:r>
    </w:p>
    <w:p>
      <w:pPr>
        <w:pStyle w:val="ArticleScripture"/>
        <w:jc w:val="left"/>
      </w:pPr>
      <w:r>
        <w:rPr>
          <w:rFonts w:ascii="Times New Roman" w:hAnsi="Times New Roman" w:eastAsia="Times New Roman" w:cs="Times New Roman"/>
        </w:rPr>
        <w:t>“Aba ni ibihe bihindura amateka y’amahanga n’ay’itorero. Mu buyobozi bw’Imana, iyo ibyo bihe by’ingorane bitandukanye bigeze, umucyo ukwiriye iyo gihe uratangwa. Iyo wakiriwe, habaho gutera imbere mu by’umwuka; iyo wananzwe, hakurikiraho gusubira inyuma mu by’umwuka no kumeneka k’ubwato. Uwiteka mu Ijambo rye yahishuye umurimo w’ubutumwa bwiza wo kujya imbere nk’uko wakomeje gukorwa mu bihe byashize, kandi uzakorwa no mu bihe bizaza, kugeza ku ntambara ya nyuma isoza byose, ubwo ibikorwa bya Satani bizakora urugendo rwabyo rwa nyuma rutangaje.” Bible Echo, August 26, 1895.</w:t>
      </w:r>
    </w:p>
    <w:p>
      <w:pPr>
        <w:pStyle w:val="ArticleBody"/>
        <w:jc w:val="left"/>
      </w:pPr>
      <w:r>
        <w:rPr>
          <w:rFonts w:ascii="Times New Roman" w:hAnsi="Times New Roman" w:eastAsia="Times New Roman" w:cs="Times New Roman"/>
        </w:rPr>
        <w:t>Allah selalu bekerja menurut garis sejarah masa lalu yang sama, dan Dia tidak pernah berubah. Terdapat “titik-titik balik” (Galilea), yaitu “krisis-krisis,” dan pada “titik-titik balik” itu “terang untuk waktu itu diberikan.” Terang bagi masa pemeteraian seratus empat puluh empat ribu diberikan pada krisis yang dimulai pada 11 September 2001. Jika terang itu “diterima, ada kemajuan rohani; jika ditolak, kemunduran rohani dan karam iman menyusul.” Terang itu menghasilkan dua golongan penyembah. Terang yang mengikuti titik balik itu melambangkan pekabaran yang menghasilkan dua golongan penyembah.</w:t>
      </w:r>
    </w:p>
    <w:p>
      <w:pPr>
        <w:pStyle w:val="ArticleBody"/>
        <w:jc w:val="left"/>
      </w:pPr>
      <w:r>
        <w:rPr>
          <w:rFonts w:ascii="Times New Roman" w:hAnsi="Times New Roman" w:eastAsia="Times New Roman" w:cs="Times New Roman"/>
        </w:rPr>
        <w:t>Daniel bab 2 menggambarkan ujian yang kedua, iaitu ujian yang menyusuli ujian pemakanan dalam bab 1. Dalam ayat 1 bab 1 kitab Daniel, Yehuda baru sahaja ditakluk oleh Nebukadnezar, yang kemudiannya menjadi kerajaan pertama dalam nubuatan Alkitab. Itu merupakan suatu titik perubahan dalam sejarah bangsa-bangsa dan juga gereja; itu suatu krisis besar, dan pada waktu itu terang tentang suatu ujian pemakanan telah diberikan. Daniel dan tiga sahabat yang unggul itu telah lulus ujian tersebut, dan kemudian dalam bab 2, mereka sekali lagi melambangkan mereka yang telah lulus ujian yang kedua. Ujian yang kedua itu ialah suatu ujian berkenaan suatu rahsia yang tidak diketahui oleh seorang pun, bahkan Nebukadnezar sendiri tidak mengetahuinya.</w:t>
      </w:r>
    </w:p>
    <w:p>
      <w:pPr>
        <w:pStyle w:val="ArticleBody"/>
        <w:jc w:val="left"/>
      </w:pPr>
      <w:r>
        <w:rPr>
          <w:rFonts w:ascii="Times New Roman" w:hAnsi="Times New Roman" w:eastAsia="Times New Roman" w:cs="Times New Roman"/>
        </w:rPr>
        <w:t>Tanda ujian itu ialah patung dalam mimpi Nebukadnezar. Itu ialah ujian hidup dan mati berkenaan suatu patung yang tidak diketahui oleh sesiapa pun. Patung itu mengenal pasti kerajaan-kerajaan dalam nubuatan Alkitab, dan dalam Daniel fasal tujuh dan lapan, kerajaan-kerajaan yang sama seperti dalam Daniel dua digambarkan sebagai binatang-binatang. Ujian Nebukadnezar ialah ujian tentang “patung binatang-binatang itu”, yang pada hari-hari terakhir, berlaku dalam tempoh pemeteraian seratus empat puluh empat ribu orang.</w:t>
      </w:r>
    </w:p>
    <w:p>
      <w:pPr>
        <w:pStyle w:val="ArticleBody"/>
        <w:jc w:val="left"/>
      </w:pPr>
      <w:r>
        <w:rPr>
          <w:rFonts w:ascii="Times New Roman" w:hAnsi="Times New Roman" w:eastAsia="Times New Roman" w:cs="Times New Roman"/>
        </w:rPr>
        <w:t>Dalam akhir zaman, pembentukan patung binatang itu merupakan ujian besar bagi umat Allah, yang dilambangkan oleh Daniel dan ketiga sahabat yang saleh itu. Itulah ujian yang harus mereka lalui sebelum mereka dimeteraikan; karena itu, inilah pekabaran pemeteraian-penguji yang menghasilkan salah satu dari dua golongan: golongan yang menerima meterai Allah dan memantulkan gambar Allah, atau golongan yang menerima meterai binatang itu, dan karena itu memantulkan gambar binatang itu. Dalam Daniel pasal dua, pekabaran tentang patung binatang itu dimeteraikan sampai kepada sejarah ketika hal itu menjadi persoalan hidup dan mati. Patung Nebukadnezar dipahami dengan benar oleh kaum Millerit, tetapi dalam sejarah pemeteraian suatu kebenaran rahasia yang berhubungan dengan patung Nebukadnezar dibukakan meterainya, namun hanya kepada mereka yang telah menerima pekabaran yang harus dimakan ketika titik balik itu tiba.</w:t>
      </w:r>
    </w:p>
    <w:p>
      <w:pPr>
        <w:pStyle w:val="ArticleBody"/>
        <w:jc w:val="left"/>
      </w:pPr>
      <w:r>
        <w:rPr>
          <w:rFonts w:ascii="Times New Roman" w:hAnsi="Times New Roman" w:eastAsia="Times New Roman" w:cs="Times New Roman"/>
        </w:rPr>
        <w:t>Makanan itu ialah pekhabaran hujan akhir yang bermula ketika malaikat dalam Wahyu lapan belas turun, dan pekhabaran hujan akhir itu ialah metodologi “baris demi baris”. Tanpa memakan kebenaran itu, pekhabaran rahsia tentang pembentukan patung binatang itu tidak dapat dilihat.</w:t>
      </w:r>
    </w:p>
    <w:p>
      <w:pPr>
        <w:pStyle w:val="ArticleBody"/>
        <w:jc w:val="left"/>
      </w:pPr>
      <w:r>
        <w:rPr>
          <w:rFonts w:ascii="Times New Roman" w:hAnsi="Times New Roman" w:eastAsia="Times New Roman" w:cs="Times New Roman"/>
        </w:rPr>
        <w:t>Ellen White a ne “na talen krra, fanong nan miin ti teiloeng nei dingna tawh, satolraangna a khan satol sawi ciangin ciang a sih khin, mihingte a ding in thu khan hong piang ding hi” ci in kiensak hi. Daniel bung 2 sung a satolraangna limpi hong kibawl ding thu thupuak in, “hehnaak hun” nungah tangthu sungah khatvei bek hmuh theih ding, tua nung ciang khan khuavak hong piak ding limpi kibawlna khat a ento hi. Tu in Nebuchadnezzar limpi tawh kisai a theihcianna pen, tua limpi in Laisiangtho genkholhna sung a gamli masa li bek a lak khia lo a, gam gual giat vek a lak khia hi; tua theihcianna khan satolraangna-limpi kibawlna thak khat a suaksak hi.</w:t>
      </w:r>
    </w:p>
    <w:p>
      <w:pPr>
        <w:pStyle w:val="ArticleBody"/>
        <w:jc w:val="left"/>
      </w:pPr>
      <w:r>
        <w:rPr>
          <w:rFonts w:ascii="Ebrima" w:hAnsi="Ebrima" w:eastAsia="Ebrima" w:cs="Ebrima"/>
        </w:rPr>
        <w:t>ታሪ</w:t>
      </w:r>
      <w:r>
        <w:rPr>
          <w:rFonts w:ascii="Times New Roman" w:hAnsi="Times New Roman" w:eastAsia="Times New Roman" w:cs="Times New Roman"/>
        </w:rPr>
        <w:t xml:space="preserve"> </w:t>
      </w:r>
      <w:r>
        <w:rPr>
          <w:rFonts w:ascii="Ebrima" w:hAnsi="Ebrima" w:eastAsia="Ebrima" w:cs="Ebrima"/>
        </w:rPr>
        <w:t>ሽን</w:t>
      </w:r>
      <w:r>
        <w:rPr>
          <w:rFonts w:ascii="Times New Roman" w:hAnsi="Times New Roman" w:eastAsia="Times New Roman" w:cs="Times New Roman"/>
        </w:rPr>
        <w:t xml:space="preserve"> </w:t>
      </w:r>
      <w:r>
        <w:rPr>
          <w:rFonts w:ascii="Ebrima" w:hAnsi="Ebrima" w:eastAsia="Ebrima" w:cs="Ebrima"/>
        </w:rPr>
        <w:t>ይግለጻል፣</w:t>
      </w:r>
      <w:r>
        <w:rPr>
          <w:rFonts w:ascii="Times New Roman" w:hAnsi="Times New Roman" w:eastAsia="Times New Roman" w:cs="Times New Roman"/>
        </w:rPr>
        <w:t xml:space="preserve"> </w:t>
      </w:r>
      <w:r>
        <w:rPr>
          <w:rFonts w:ascii="Ebrima" w:hAnsi="Ebrima" w:eastAsia="Ebrima" w:cs="Ebrima"/>
        </w:rPr>
        <w:t>ማለትም</w:t>
      </w:r>
      <w:r>
        <w:rPr>
          <w:rFonts w:ascii="Times New Roman" w:hAnsi="Times New Roman" w:eastAsia="Times New Roman" w:cs="Times New Roman"/>
        </w:rPr>
        <w:t xml:space="preserve"> </w:t>
      </w:r>
      <w:r>
        <w:rPr>
          <w:rFonts w:ascii="Ebrima" w:hAnsi="Ebrima" w:eastAsia="Ebrima" w:cs="Ebrima"/>
        </w:rPr>
        <w:t>ስምንተኛው</w:t>
      </w:r>
      <w:r>
        <w:rPr>
          <w:rFonts w:ascii="Times New Roman" w:hAnsi="Times New Roman" w:eastAsia="Times New Roman" w:cs="Times New Roman"/>
        </w:rPr>
        <w:t xml:space="preserve"> </w:t>
      </w:r>
      <w:r>
        <w:rPr>
          <w:rFonts w:ascii="Ebrima" w:hAnsi="Ebrima" w:eastAsia="Ebrima" w:cs="Ebrima"/>
        </w:rPr>
        <w:t>አውሬ</w:t>
      </w:r>
      <w:r>
        <w:rPr>
          <w:rFonts w:ascii="Times New Roman" w:hAnsi="Times New Roman" w:eastAsia="Times New Roman" w:cs="Times New Roman"/>
        </w:rPr>
        <w:t xml:space="preserve"> </w:t>
      </w:r>
      <w:r>
        <w:rPr>
          <w:rFonts w:ascii="Ebrima" w:hAnsi="Ebrima" w:eastAsia="Ebrima" w:cs="Ebrima"/>
        </w:rPr>
        <w:t>ከሰባቱ</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በመጀመሪያ</w:t>
      </w:r>
      <w:r>
        <w:rPr>
          <w:rFonts w:ascii="Times New Roman" w:hAnsi="Times New Roman" w:eastAsia="Times New Roman" w:cs="Times New Roman"/>
        </w:rPr>
        <w:t xml:space="preserve"> </w:t>
      </w:r>
      <w:r>
        <w:rPr>
          <w:rFonts w:ascii="Ebrima" w:hAnsi="Ebrima" w:eastAsia="Ebrima" w:cs="Ebrima"/>
        </w:rPr>
        <w:t>የአውሬውን</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የሚያቆም</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ዓለምን</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እንዲሁ</w:t>
      </w:r>
      <w:r>
        <w:rPr>
          <w:rFonts w:ascii="Times New Roman" w:hAnsi="Times New Roman" w:eastAsia="Times New Roman" w:cs="Times New Roman"/>
        </w:rPr>
        <w:t xml:space="preserve"> </w:t>
      </w:r>
      <w:r>
        <w:rPr>
          <w:rFonts w:ascii="Ebrima" w:hAnsi="Ebrima" w:eastAsia="Ebrima" w:cs="Ebrima"/>
        </w:rPr>
        <w:t>እንዲያደርግ</w:t>
      </w:r>
      <w:r>
        <w:rPr>
          <w:rFonts w:ascii="Times New Roman" w:hAnsi="Times New Roman" w:eastAsia="Times New Roman" w:cs="Times New Roman"/>
        </w:rPr>
        <w:t xml:space="preserve"> </w:t>
      </w:r>
      <w:r>
        <w:rPr>
          <w:rFonts w:ascii="Ebrima" w:hAnsi="Ebrima" w:eastAsia="Ebrima" w:cs="Ebrima"/>
        </w:rPr>
        <w:t>የሚያስገድድ</w:t>
      </w:r>
      <w:r>
        <w:rPr>
          <w:rFonts w:ascii="Times New Roman" w:hAnsi="Times New Roman" w:eastAsia="Times New Roman" w:cs="Times New Roman"/>
        </w:rPr>
        <w:t xml:space="preserve"> </w:t>
      </w:r>
      <w:r>
        <w:rPr>
          <w:rFonts w:ascii="Ebrima" w:hAnsi="Ebrima" w:eastAsia="Ebrima" w:cs="Ebrima"/>
        </w:rPr>
        <w:t>ዩናይትድ</w:t>
      </w:r>
      <w:r>
        <w:rPr>
          <w:rFonts w:ascii="Times New Roman" w:hAnsi="Times New Roman" w:eastAsia="Times New Roman" w:cs="Times New Roman"/>
        </w:rPr>
        <w:t xml:space="preserve"> </w:t>
      </w:r>
      <w:r>
        <w:rPr>
          <w:rFonts w:ascii="Ebrima" w:hAnsi="Ebrima" w:eastAsia="Ebrima" w:cs="Ebrima"/>
        </w:rPr>
        <w:t>ስቴትስ፣</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የሚያቆመው</w:t>
      </w:r>
      <w:r>
        <w:rPr>
          <w:rFonts w:ascii="Times New Roman" w:hAnsi="Times New Roman" w:eastAsia="Times New Roman" w:cs="Times New Roman"/>
        </w:rPr>
        <w:t xml:space="preserve"> </w:t>
      </w:r>
      <w:r>
        <w:rPr>
          <w:rFonts w:ascii="Ebrima" w:hAnsi="Ebrima" w:eastAsia="Ebrima" w:cs="Ebrima"/>
        </w:rPr>
        <w:t>የአውሬው</w:t>
      </w:r>
      <w:r>
        <w:rPr>
          <w:rFonts w:ascii="Times New Roman" w:hAnsi="Times New Roman" w:eastAsia="Times New Roman" w:cs="Times New Roman"/>
        </w:rPr>
        <w:t xml:space="preserve"> </w:t>
      </w:r>
      <w:r>
        <w:rPr>
          <w:rFonts w:ascii="Ebrima" w:hAnsi="Ebrima" w:eastAsia="Ebrima" w:cs="Ebrima"/>
        </w:rPr>
        <w:t>ትንቢታዊ</w:t>
      </w:r>
      <w:r>
        <w:rPr>
          <w:rFonts w:ascii="Times New Roman" w:hAnsi="Times New Roman" w:eastAsia="Times New Roman" w:cs="Times New Roman"/>
        </w:rPr>
        <w:t xml:space="preserve"> </w:t>
      </w:r>
      <w:r>
        <w:rPr>
          <w:rFonts w:ascii="Ebrima" w:hAnsi="Ebrima" w:eastAsia="Ebrima" w:cs="Ebrima"/>
        </w:rPr>
        <w:t>ባሕርይ</w:t>
      </w:r>
      <w:r>
        <w:rPr>
          <w:rFonts w:ascii="Times New Roman" w:hAnsi="Times New Roman" w:eastAsia="Times New Roman" w:cs="Times New Roman"/>
        </w:rPr>
        <w:t xml:space="preserve"> </w:t>
      </w:r>
      <w:r>
        <w:rPr>
          <w:rFonts w:ascii="Ebrima" w:hAnsi="Ebrima" w:eastAsia="Ebrima" w:cs="Ebrima"/>
        </w:rPr>
        <w:t>እንደሚኖረው</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ምስል</w:t>
      </w:r>
      <w:r>
        <w:rPr>
          <w:rFonts w:ascii="Times New Roman" w:hAnsi="Times New Roman" w:eastAsia="Times New Roman" w:cs="Times New Roman"/>
        </w:rPr>
        <w:t xml:space="preserve"> </w:t>
      </w:r>
      <w:r>
        <w:rPr>
          <w:rFonts w:ascii="Ebrima" w:hAnsi="Ebrima" w:eastAsia="Ebrima" w:cs="Ebrima"/>
        </w:rPr>
        <w:t>ስምንተኛ</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ከሰባቱም</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ያካትታል፤</w:t>
      </w:r>
      <w:r>
        <w:rPr>
          <w:rFonts w:ascii="Times New Roman" w:hAnsi="Times New Roman" w:eastAsia="Times New Roman" w:cs="Times New Roman"/>
        </w:rPr>
        <w:t xml:space="preserve"> </w:t>
      </w:r>
      <w:r>
        <w:rPr>
          <w:rFonts w:ascii="Ebrima" w:hAnsi="Ebrima" w:eastAsia="Ebrima" w:cs="Ebrima"/>
        </w:rPr>
        <w:t>እንዲሁም</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ሦስቱ</w:t>
      </w:r>
      <w:r>
        <w:rPr>
          <w:rFonts w:ascii="Times New Roman" w:hAnsi="Times New Roman" w:eastAsia="Times New Roman" w:cs="Times New Roman"/>
        </w:rPr>
        <w:t xml:space="preserve"> </w:t>
      </w:r>
      <w:r>
        <w:rPr>
          <w:rFonts w:ascii="Ebrima" w:hAnsi="Ebrima" w:eastAsia="Ebrima" w:cs="Ebrima"/>
        </w:rPr>
        <w:t>ድምፆች</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የሴፕቴምበር</w:t>
      </w:r>
      <w:r>
        <w:rPr>
          <w:rFonts w:ascii="Times New Roman" w:hAnsi="Times New Roman" w:eastAsia="Times New Roman" w:cs="Times New Roman"/>
        </w:rPr>
        <w:t xml:space="preserve"> 11, 2001 </w:t>
      </w:r>
      <w:r>
        <w:rPr>
          <w:rFonts w:ascii="Ebrima" w:hAnsi="Ebrima" w:eastAsia="Ebrima" w:cs="Ebrima"/>
        </w:rPr>
        <w:t>የመቀየሪያ</w:t>
      </w:r>
      <w:r>
        <w:rPr>
          <w:rFonts w:ascii="Times New Roman" w:hAnsi="Times New Roman" w:eastAsia="Times New Roman" w:cs="Times New Roman"/>
        </w:rPr>
        <w:t xml:space="preserve"> </w:t>
      </w:r>
      <w:r>
        <w:rPr>
          <w:rFonts w:ascii="Ebrima" w:hAnsi="Ebrima" w:eastAsia="Ebrima" w:cs="Ebrima"/>
        </w:rPr>
        <w:t>ነጥብን፣</w:t>
      </w:r>
      <w:r>
        <w:rPr>
          <w:rFonts w:ascii="Times New Roman" w:hAnsi="Times New Roman" w:eastAsia="Times New Roman" w:cs="Times New Roman"/>
        </w:rPr>
        <w:t xml:space="preserve"> </w:t>
      </w:r>
      <w:r>
        <w:rPr>
          <w:rFonts w:ascii="Ebrima" w:hAnsi="Ebrima" w:eastAsia="Ebrima" w:cs="Ebrima"/>
        </w:rPr>
        <w:t>የ</w:t>
      </w:r>
      <w:r>
        <w:rPr>
          <w:rFonts w:ascii="Times New Roman" w:hAnsi="Times New Roman" w:eastAsia="Times New Roman" w:cs="Times New Roman"/>
        </w:rPr>
        <w:t xml:space="preserve">2023 </w:t>
      </w:r>
      <w:r>
        <w:rPr>
          <w:rFonts w:ascii="Ebrima" w:hAnsi="Ebrima" w:eastAsia="Ebrima" w:cs="Ebrima"/>
        </w:rPr>
        <w:t>ድምፅ</w:t>
      </w:r>
      <w:r>
        <w:rPr>
          <w:rFonts w:ascii="Times New Roman" w:hAnsi="Times New Roman" w:eastAsia="Times New Roman" w:cs="Times New Roman"/>
        </w:rPr>
        <w:t xml:space="preserve"> </w:t>
      </w:r>
      <w:r>
        <w:rPr>
          <w:rFonts w:ascii="Ebrima" w:hAnsi="Ebrima" w:eastAsia="Ebrima" w:cs="Ebrima"/>
        </w:rPr>
        <w:t>የሁለቱን</w:t>
      </w:r>
      <w:r>
        <w:rPr>
          <w:rFonts w:ascii="Times New Roman" w:hAnsi="Times New Roman" w:eastAsia="Times New Roman" w:cs="Times New Roman"/>
        </w:rPr>
        <w:t xml:space="preserve"> </w:t>
      </w:r>
      <w:r>
        <w:rPr>
          <w:rFonts w:ascii="Ebrima" w:hAnsi="Ebrima" w:eastAsia="Ebrima" w:cs="Ebrima"/>
        </w:rPr>
        <w:t>ምስክሮች</w:t>
      </w:r>
      <w:r>
        <w:rPr>
          <w:rFonts w:ascii="Times New Roman" w:hAnsi="Times New Roman" w:eastAsia="Times New Roman" w:cs="Times New Roman"/>
        </w:rPr>
        <w:t xml:space="preserve"> </w:t>
      </w:r>
      <w:r>
        <w:rPr>
          <w:rFonts w:ascii="Ebrima" w:hAnsi="Ebrima" w:eastAsia="Ebrima" w:cs="Ebrima"/>
        </w:rPr>
        <w:t>የሞቱና</w:t>
      </w:r>
      <w:r>
        <w:rPr>
          <w:rFonts w:ascii="Times New Roman" w:hAnsi="Times New Roman" w:eastAsia="Times New Roman" w:cs="Times New Roman"/>
        </w:rPr>
        <w:t xml:space="preserve"> </w:t>
      </w:r>
      <w:r>
        <w:rPr>
          <w:rFonts w:ascii="Ebrima" w:hAnsi="Ebrima" w:eastAsia="Ebrima" w:cs="Ebrima"/>
        </w:rPr>
        <w:t>የደረቁ</w:t>
      </w:r>
      <w:r>
        <w:rPr>
          <w:rFonts w:ascii="Times New Roman" w:hAnsi="Times New Roman" w:eastAsia="Times New Roman" w:cs="Times New Roman"/>
        </w:rPr>
        <w:t xml:space="preserve"> </w:t>
      </w:r>
      <w:r>
        <w:rPr>
          <w:rFonts w:ascii="Ebrima" w:hAnsi="Ebrima" w:eastAsia="Ebrima" w:cs="Ebrima"/>
        </w:rPr>
        <w:t>አጥንቶች</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እግራቸው</w:t>
      </w:r>
      <w:r>
        <w:rPr>
          <w:rFonts w:ascii="Times New Roman" w:hAnsi="Times New Roman" w:eastAsia="Times New Roman" w:cs="Times New Roman"/>
        </w:rPr>
        <w:t xml:space="preserve"> </w:t>
      </w:r>
      <w:r>
        <w:rPr>
          <w:rFonts w:ascii="Ebrima" w:hAnsi="Ebrima" w:eastAsia="Ebrima" w:cs="Ebrima"/>
        </w:rPr>
        <w:t>የሚጠራውን፣</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ከባቢሎን</w:t>
      </w:r>
      <w:r>
        <w:rPr>
          <w:rFonts w:ascii="Times New Roman" w:hAnsi="Times New Roman" w:eastAsia="Times New Roman" w:cs="Times New Roman"/>
        </w:rPr>
        <w:t xml:space="preserve"> </w:t>
      </w:r>
      <w:r>
        <w:rPr>
          <w:rFonts w:ascii="Ebrima" w:hAnsi="Ebrima" w:eastAsia="Ebrima" w:cs="Ebrima"/>
        </w:rPr>
        <w:t>የመውጣት</w:t>
      </w:r>
      <w:r>
        <w:rPr>
          <w:rFonts w:ascii="Times New Roman" w:hAnsi="Times New Roman" w:eastAsia="Times New Roman" w:cs="Times New Roman"/>
        </w:rPr>
        <w:t xml:space="preserve"> </w:t>
      </w:r>
      <w:r>
        <w:rPr>
          <w:rFonts w:ascii="Ebrima" w:hAnsi="Ebrima" w:eastAsia="Ebrima" w:cs="Ebrima"/>
        </w:rPr>
        <w:t>ጥሪ</w:t>
      </w:r>
      <w:r>
        <w:rPr>
          <w:rFonts w:ascii="Times New Roman" w:hAnsi="Times New Roman" w:eastAsia="Times New Roman" w:cs="Times New Roman"/>
        </w:rPr>
        <w:t xml:space="preserve"> </w:t>
      </w:r>
      <w:r>
        <w:rPr>
          <w:rFonts w:ascii="Ebrima" w:hAnsi="Ebrima" w:eastAsia="Ebrima" w:cs="Ebrima"/>
        </w:rPr>
        <w:t>ድምፅን</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ያደርጋል።</w:t>
      </w:r>
    </w:p>
    <w:p>
      <w:pPr>
        <w:pStyle w:val="ArticleBody"/>
        <w:jc w:val="left"/>
      </w:pPr>
      <w:r>
        <w:rPr>
          <w:rFonts w:ascii="Times New Roman" w:hAnsi="Times New Roman" w:eastAsia="Times New Roman" w:cs="Times New Roman"/>
        </w:rPr>
        <w:t>Lentswe la 2023 ke lentswe le le lemogang sephiri sa setshwantsho sa ga Nebukatenesare le gore se bua leng.</w:t>
      </w:r>
    </w:p>
    <w:p>
      <w:pPr>
        <w:pStyle w:val="ArticleBody"/>
        <w:jc w:val="left"/>
      </w:pPr>
      <w:r>
        <w:rPr>
          <w:rFonts w:ascii="Times New Roman" w:hAnsi="Times New Roman" w:eastAsia="Times New Roman" w:cs="Times New Roman"/>
        </w:rPr>
        <w:t>Septhemba 11, 2001 imewakilisha kipindi kinachoanzia hapo na kuishia Julai 18, 2020. Kipindi cha sauti ya pili kutoka sura ya kumi na moja, kinawakilisha kipindi cha kuanzia Julai 18, 2020, hadi sauti ya tatu katika sheria ya Jumapili inayokuja upesi. Kipindi cha pili kinachoanza Julai 18, 2020, kinajumuisha alama ya Novemba 3, 2020, na alama ya Januari 6, 2021, wakati wale waliokuwa wamewaua wale mashahidi wawili walipoanza kufurahi na kupeleka zawadi, na kinajumuisha Julai, 2023, wakati sauti nyikani ilipoanza kutoa onyo la tarumbeta ya saba.</w:t>
      </w:r>
    </w:p>
    <w:p>
      <w:pPr>
        <w:pStyle w:val="ArticleBody"/>
        <w:jc w:val="left"/>
      </w:pPr>
      <w:r>
        <w:rPr>
          <w:rFonts w:ascii="Times New Roman" w:hAnsi="Times New Roman" w:eastAsia="Times New Roman" w:cs="Times New Roman"/>
        </w:rPr>
        <w:t>Re tla tswelela ka thuto eno mo setlhogong se se latelang.</w:t>
      </w:r>
    </w:p>
    <w:p>
      <w:pPr>
        <w:pStyle w:val="ArticleScripture"/>
        <w:jc w:val="left"/>
      </w:pPr>
      <w:r>
        <w:rPr>
          <w:rFonts w:ascii="Times New Roman" w:hAnsi="Times New Roman" w:eastAsia="Times New Roman" w:cs="Times New Roman"/>
        </w:rPr>
        <w:t>Di tepi Sungai Kebar, Yehezkiel melihat suatu angin badai yang tampaknya datang dari utara, “suatu awan besar, dengan api yang berputar-putar di dalamnya, dan cahaya mengelilinginya, dan dari tengah-tengahnya tampak seperti warna ambar.” Sejumlah roda, yang saling berpotongan satu dengan yang lain, digerakkan oleh empat makhluk hidup. Jauh di atas semuanya itu “ada sesuatu yang menyerupai takhta, kelihatannya seperti batu safir; dan di atas yang menyerupai takhta itu ada sesuatu yang menyerupai rupa manusia di atasnya.” “Dan pada kerubim itu tampak bentuk tangan manusia di bawah sayap-sayap mereka.” Yehezkiel 1:4, 26; 10:8. Roda-roda itu demikian rumit susunannya sehingga pada pandangan pertama tampak seolah-olah kacau; namun semuanya bergerak dalam keselarasan yang sempurna. Makhluk-makhluk surgawi, yang ditopang dan dibimbing oleh tangan di bawah sayap-sayap kerubim, menggerakkan roda-roda itu; di atasnya, di atas takhta safir, ada Dia Yang Kekal; dan di sekeliling takhta itu ada pelangi, lambang kemurahan ilahi.</w:t>
      </w:r>
    </w:p>
    <w:p>
      <w:pPr>
        <w:pStyle w:val="ArticleScripture"/>
        <w:jc w:val="left"/>
      </w:pPr>
      <w:r>
        <w:rPr>
          <w:rFonts w:ascii="Times New Roman" w:hAnsi="Times New Roman" w:eastAsia="Times New Roman" w:cs="Times New Roman"/>
        </w:rPr>
        <w:t>“Ndzhavuko wa swiendlakalo swa vanhu leswo rharhangana, ku fana ni mavhilwa lama a kongomisiwa hi voko leri nga ehansi ka timpapa ta makerubu, na wona ma le hansi ka vulawuri bya Xikwembu. Exikarhi ka timholovo ni mpfilumpfilu ya matiko, Loyi a tshamaka ehenhla ka makerubu u ya emahlweni a kongomisa timhaka ta misava.</w:t>
      </w:r>
    </w:p>
    <w:p>
      <w:pPr>
        <w:pStyle w:val="ArticleScripture"/>
        <w:jc w:val="left"/>
      </w:pPr>
      <w:r>
        <w:rPr>
          <w:rFonts w:ascii="Times New Roman" w:hAnsi="Times New Roman" w:eastAsia="Times New Roman" w:cs="Times New Roman"/>
        </w:rPr>
        <w:t>“Kei minung nena a chang chuan an chang thei tawh angin, an hun leh an hmun ruat sa an luah ve zelah, anmahni ngei pawhin a awmzia an hriat loh thutak chu hriattîrtu an nihna chu, kan hnenah a thu sawi a ni. Tunlai hnam tinrêng leh mi mal tinrêng pawh hi Pathianin A ruahmanna ropui takah hmun a pe tawh a ni. Tûnni hian mihringte leh hnamte chu, thil tihsual ngai lo Pathianin A kutah a chelh plummet hmanga teh an ni mek a. Mi zawng zawngin anmahni duhthlanna hmangin an hmasawnna tâwp an thlang mêk a, chutih rualin Pathian chuan A tumte tlinna atân engkim a luan kaihtîr a ni.”</w:t>
      </w:r>
    </w:p>
    <w:p>
      <w:pPr>
        <w:pStyle w:val="ArticleScripture"/>
        <w:jc w:val="left"/>
      </w:pPr>
      <w:r>
        <w:rPr>
          <w:rFonts w:ascii="Times New Roman" w:hAnsi="Times New Roman" w:eastAsia="Times New Roman" w:cs="Times New Roman"/>
        </w:rPr>
        <w:t>“Bophelo bjo bo beilwego ke YO MOGOLO KE NNA lentšung la Gagwe, bo gokaganya kgokagano ka kgokagano ka gare ga ketane ya boporofeta, go tloga bosafelego bja nakong e fetilego go ya bosafelegong bja nakong e tlago, bo re botša moo re lego gona lehono mo tatelanong ya mabaka, le seo se ka letelwago nakong e tlago. Tšohle tše boporofeta bo di boletšego e sa le pele gore di tlo direga, go fihla mehleng ya bjale, di latelilwe matlakaleng a histori, gomme re ka kgonthišega gore tšohle tšeo di sa tlago di tla phethagatšwa ka tatelano ya tšona.”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Tiga Puluh Empat</dc:title>
  <dc:subject>Ukembuka Kwa Uprofeti: Kuanzia Septemba 11, 2001, hadi Sheria ya Jumapili Inayokaribia nchini Marekani</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