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Seratus Empat Puluh Empat</w:t>
      </w:r>
    </w:p>
    <w:p>
      <w:pPr>
        <w:pStyle w:val="ArticleSubtitle"/>
        <w:jc w:val="left"/>
      </w:pPr>
      <w:r>
        <w:rPr>
          <w:rFonts w:ascii="Arial" w:hAnsi="Arial" w:eastAsia="Arial" w:cs="Arial"/>
        </w:rPr>
        <w:t>Kepentingan Kenabian Mengenai Keruntuhan Parti Demokrat di Amerika Syarikat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Ang pagbagsak ng Partidong Demokratiko sa Estados Unidos ay isang tiyak na paksa ng hula sa Biblia. Isa ito sa mga makahulang katangiang kaugnay ng ikawalo at huling pangulo ng Estados Unidos. Kaugnay ito ng makahulang mga dinamika ng paggawa sa ikawalong pangulo, na mula sa pito, bilang ulo ng larawan ng halimaw. Ang larawan ng halimaw sa sanlibutan ay dalawahan, gayunman tatluhan. Ito ay dalawahan sapagkat kinakatawan nito ang pagsasanib ng Iglesya at Estado, ngunit ito ay tatluhan, sapagkat binubuo ito ng sampung hari (statecraft), na pinamamahalaan ng pangunahing hari (churchcraft). Ang halimaw na iyon ay sinasakyan at pinaghaharian ng isang ulo, samakatuwid baga’y ng ikawalong ulo, na mula sa pito.</w:t>
      </w:r>
    </w:p>
    <w:p>
      <w:pPr>
        <w:pStyle w:val="ArticleBody"/>
        <w:jc w:val="left"/>
      </w:pPr>
      <w:r>
        <w:rPr>
          <w:rFonts w:ascii="Leelawadee UI" w:hAnsi="Leelawadee UI" w:eastAsia="Leelawadee UI" w:cs="Leelawadee UI"/>
        </w:rPr>
        <w:t>បានលើករូបភាពនៃសត្វមហាអាស្រ័យនៅសហរដ្ឋអាមេរិកមានលក្ខណៈពីរផ្នែក</w:t>
      </w:r>
      <w:r>
        <w:rPr>
          <w:rFonts w:ascii="Times New Roman" w:hAnsi="Times New Roman" w:eastAsia="Times New Roman" w:cs="Times New Roman"/>
        </w:rPr>
        <w:t xml:space="preserve"> </w:t>
      </w:r>
      <w:r>
        <w:rPr>
          <w:rFonts w:ascii="Leelawadee UI" w:hAnsi="Leelawadee UI" w:eastAsia="Leelawadee UI" w:cs="Leelawadee UI"/>
        </w:rPr>
        <w:t>ប៉ុន្តែក៏មានលក្ខណៈបីផ្នែកផងដែរ។</w:t>
      </w:r>
      <w:r>
        <w:rPr>
          <w:rFonts w:ascii="Times New Roman" w:hAnsi="Times New Roman" w:eastAsia="Times New Roman" w:cs="Times New Roman"/>
        </w:rPr>
        <w:t xml:space="preserve"> </w:t>
      </w:r>
      <w:r>
        <w:rPr>
          <w:rFonts w:ascii="Leelawadee UI" w:hAnsi="Leelawadee UI" w:eastAsia="Leelawadee UI" w:cs="Leelawadee UI"/>
        </w:rPr>
        <w:t>វាមានលក្ខណៈពីរផ្នែក</w:t>
      </w:r>
      <w:r>
        <w:rPr>
          <w:rFonts w:ascii="Times New Roman" w:hAnsi="Times New Roman" w:eastAsia="Times New Roman" w:cs="Times New Roman"/>
        </w:rPr>
        <w:t xml:space="preserve"> </w:t>
      </w:r>
      <w:r>
        <w:rPr>
          <w:rFonts w:ascii="Leelawadee UI" w:hAnsi="Leelawadee UI" w:eastAsia="Leelawadee UI" w:cs="Leelawadee UI"/>
        </w:rPr>
        <w:t>ដោយសារវាតំណាងឲ្យការរួមបញ្ចូលគ្នារវាងសាសនាចក្រ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ប៉ុន្តែវាមានលក្ខណៈបីផ្នែក</w:t>
      </w:r>
      <w:r>
        <w:rPr>
          <w:rFonts w:ascii="Times New Roman" w:hAnsi="Times New Roman" w:eastAsia="Times New Roman" w:cs="Times New Roman"/>
        </w:rPr>
        <w:t xml:space="preserve"> </w:t>
      </w:r>
      <w:r>
        <w:rPr>
          <w:rFonts w:ascii="Leelawadee UI" w:hAnsi="Leelawadee UI" w:eastAsia="Leelawadee UI" w:cs="Leelawadee UI"/>
        </w:rPr>
        <w:t>ពីព្រោះវាត្រូវបានបង្កើតឡើងដោយស្នែងសាធារណរដ្ឋដែលបានក្បត់ជំនឿមួយ</w:t>
      </w:r>
      <w:r>
        <w:rPr>
          <w:rFonts w:ascii="Times New Roman" w:hAnsi="Times New Roman" w:eastAsia="Times New Roman" w:cs="Times New Roman"/>
        </w:rPr>
        <w:t xml:space="preserve"> (</w:t>
      </w:r>
      <w:r>
        <w:rPr>
          <w:rFonts w:ascii="Leelawadee UI" w:hAnsi="Leelawadee UI" w:eastAsia="Leelawadee UI" w:cs="Leelawadee UI"/>
        </w:rPr>
        <w:t>នយោបាយរដ្ឋ</w:t>
      </w:r>
      <w:r>
        <w:rPr>
          <w:rFonts w:ascii="Times New Roman" w:hAnsi="Times New Roman" w:eastAsia="Times New Roman" w:cs="Times New Roman"/>
        </w:rPr>
        <w:t xml:space="preserve">) </w:t>
      </w:r>
      <w:r>
        <w:rPr>
          <w:rFonts w:ascii="Leelawadee UI" w:hAnsi="Leelawadee UI" w:eastAsia="Leelawadee UI" w:cs="Leelawadee UI"/>
        </w:rPr>
        <w:t>ដែលត្រូវបានដឹកនាំដោយស្នែងប្រូតេស្តង់ដែលបានក្បត់ជំនឿមួយ</w:t>
      </w:r>
      <w:r>
        <w:rPr>
          <w:rFonts w:ascii="Times New Roman" w:hAnsi="Times New Roman" w:eastAsia="Times New Roman" w:cs="Times New Roman"/>
        </w:rPr>
        <w:t xml:space="preserve"> (</w:t>
      </w:r>
      <w:r>
        <w:rPr>
          <w:rFonts w:ascii="Leelawadee UI" w:hAnsi="Leelawadee UI" w:eastAsia="Leelawadee UI" w:cs="Leelawadee UI"/>
        </w:rPr>
        <w:t>ការគ្រប់គ្រងដោយសាសនាចក្រ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សត្វនោះត្រូវបានជិះលើ</w:t>
      </w:r>
      <w:r>
        <w:rPr>
          <w:rFonts w:ascii="Times New Roman" w:hAnsi="Times New Roman" w:eastAsia="Times New Roman" w:cs="Times New Roman"/>
        </w:rPr>
        <w:t xml:space="preserve"> </w:t>
      </w:r>
      <w:r>
        <w:rPr>
          <w:rFonts w:ascii="Leelawadee UI" w:hAnsi="Leelawadee UI" w:eastAsia="Leelawadee UI" w:cs="Leelawadee UI"/>
        </w:rPr>
        <w:t>ហើយត្រូវបានគ្រប់គ្រងដោយក្បាលតែមួយ</w:t>
      </w:r>
      <w:r>
        <w:rPr>
          <w:rFonts w:ascii="Times New Roman" w:hAnsi="Times New Roman" w:eastAsia="Times New Roman" w:cs="Times New Roman"/>
        </w:rPr>
        <w:t xml:space="preserve"> </w:t>
      </w:r>
      <w:r>
        <w:rPr>
          <w:rFonts w:ascii="Leelawadee UI" w:hAnsi="Leelawadee UI" w:eastAsia="Leelawadee UI" w:cs="Leelawadee UI"/>
        </w:rPr>
        <w:t>គឺក្បាលទីប្រាំបី</w:t>
      </w:r>
      <w:r>
        <w:rPr>
          <w:rFonts w:ascii="Times New Roman" w:hAnsi="Times New Roman" w:eastAsia="Times New Roman" w:cs="Times New Roman"/>
        </w:rPr>
        <w:t xml:space="preserve"> </w:t>
      </w:r>
      <w:r>
        <w:rPr>
          <w:rFonts w:ascii="Leelawadee UI" w:hAnsi="Leelawadee UI" w:eastAsia="Leelawadee UI" w:cs="Leelawadee UI"/>
        </w:rPr>
        <w:t>ដែលកើតចេញពីចំណោមក្បាលទាំងប្រាំពីរ។</w:t>
      </w:r>
    </w:p>
    <w:p>
      <w:pPr>
        <w:pStyle w:val="ArticleBody"/>
        <w:jc w:val="left"/>
      </w:pPr>
      <w:r>
        <w:rPr>
          <w:rFonts w:ascii="Times New Roman" w:hAnsi="Times New Roman" w:eastAsia="Times New Roman" w:cs="Times New Roman"/>
        </w:rPr>
        <w:t>Hlooho, boemong bofe kapa bofe, ke mohatelli ea felletseng. Tikoloho eo bompoli ba hae bo bontšitsoeng ka ho hlaka ho eona ke mola oa nalane ha sebata sa lefatše se bua joaloka drakone, hobane “ho bua” ke tšobotsi e ka sehloohong ea sebata sa lefatše. Se ile sa bua ka 1776, 1789, 1798, 1863, 2001, 2021, ’me se se se le haufi le ho bua hape ha setšoantšo se bōpiloe ka botlalo molaong oa Sontaha o tlang haufinyane.</w:t>
      </w:r>
    </w:p>
    <w:p>
      <w:pPr>
        <w:pStyle w:val="ArticleBody"/>
        <w:jc w:val="left"/>
      </w:pPr>
      <w:r>
        <w:rPr>
          <w:rFonts w:ascii="Times New Roman" w:hAnsi="Times New Roman" w:eastAsia="Times New Roman" w:cs="Times New Roman"/>
        </w:rPr>
        <w:t>Tam mitek ni Paul, misteri mti inikity, we hem paoa blong pop, i stap wok finis, be dragan blong pagan Rom i stap holem hem i no save kam antap. Long 1798 mo 1799, dragan i tekemaot man blong sin long paoa, be long 1989, pop blong Rom i winim dragan blong Soviet Union. Histri blong profesi long fulfala rod go kasem en, i soemaot se papasi i stap long wan faet agensem dragan. Pop blong Rom hem nao despot ya we bambae oli leftemap hem blong kam hed blong rabis konfederasi blong triwan yunien blong dragan, mo wild anamol, mo giaman profet long ol las dei. Sister White i talem se, “aninit long wan hed, paoa blong pop,” mo man blong Sam tu i makemaot ten king ya we oli leftemap namba eit hed, hemia we i kamaot long ol seven.</w:t>
      </w:r>
    </w:p>
    <w:p>
      <w:pPr>
        <w:pStyle w:val="ArticleScripture"/>
        <w:jc w:val="left"/>
      </w:pPr>
      <w:r>
        <w:rPr>
          <w:rFonts w:ascii="Times New Roman" w:hAnsi="Times New Roman" w:eastAsia="Times New Roman" w:cs="Times New Roman"/>
        </w:rPr>
        <w:t>Kerana, sesungguhnya, musuh-musuh-Mu membuat kegemparan; dan mereka yang membenci Engkau telah mengangkat kepala. Mereka telah mengambil muslihat yang licik terhadap umat-Mu, dan berunding menentang orang-orang-Mu yang tersembunyi. Mereka telah berkata, Marilah, dan biarlah kita melenyapkan mereka daripada menjadi suatu bangsa; supaya nama Israel tidak lagi diingati. Mazmur 83:2–4.</w:t>
      </w:r>
    </w:p>
    <w:p>
      <w:pPr>
        <w:pStyle w:val="ArticleBody"/>
        <w:jc w:val="left"/>
      </w:pPr>
      <w:r>
        <w:rPr>
          <w:rFonts w:ascii="Times New Roman" w:hAnsi="Times New Roman" w:eastAsia="Times New Roman" w:cs="Times New Roman"/>
        </w:rPr>
        <w:t>Kwanele nga United States i vhumba tshifanyiso tsha phukha, tshi ḓo vha tsha maṅwe-ṅwe mararu nga mvelo yatsho, nahone hafhu tsha maṅwe-ṅwe mavhili. Tshi ḓo vha ṱhanganelo ya mavhili ya u bveledza zwa kereke na zwa muvhuso, fhedzi yeneyo sisteme ya politiki i ḓo vhusiwa nga ṱhoho nthihi. Phuresidennde wa vhuṱahe u ḓo vhusa nahone a namela tshifanyiso tsha phukha. Phuresidennde wa vhuṱahe, ane a bva kha vhapuresidennde vha sumbe vha murahu, ndi phuresidennde wa u fhedzisela wa muvhuso wa “wa vhurathi” kha vhuporofita ha Bivhili, nahone o ṱanganedza londa ḽawe ḽi vhulayaho sa phuresidennde wa “wa vhurathi”.</w:t>
      </w:r>
    </w:p>
    <w:p>
      <w:pPr>
        <w:pStyle w:val="ArticleBody"/>
        <w:jc w:val="left"/>
      </w:pPr>
      <w:r>
        <w:rPr>
          <w:rFonts w:ascii="Times New Roman" w:hAnsi="Times New Roman" w:eastAsia="Times New Roman" w:cs="Times New Roman"/>
        </w:rPr>
        <w:t>Umuntu w’ubuhanuzi w’icyaha yamaze amateka ye yose ari mu ntambara n’ikiyoka. Donald Trump ni wa mwami w’umukire wakanguye ikiyoka cy’ukwishyira hamwe kw’isi yose, kandi kuva yatangaza bwa mbere umugambi we wo kwiyamamariza umwanya wa perezida ku wa 16 Kamena 2015, kuri Trump Tower mu Mujyi wa New York, ari wo mujyi nyine aho Twin Towers zarimburiwe ku wa 11 Nzeri 2001, kandi akaba ari na wo mujyi aho Freedom Tower, yasimbuye Twin Towers, yeguriwe ku wa 3 Ugushyingo 2014, yakomeje guhangana n’imbaraga z’icyo kiyoka mu ntambara ya politiki, y’imibanire-mbereho n’iya filozofiya.</w:t>
      </w:r>
    </w:p>
    <w:p>
      <w:pPr>
        <w:pStyle w:val="ArticleBody"/>
        <w:jc w:val="left"/>
      </w:pPr>
      <w:r>
        <w:rPr>
          <w:rFonts w:ascii="Times New Roman" w:hAnsi="Times New Roman" w:eastAsia="Times New Roman" w:cs="Times New Roman"/>
        </w:rPr>
        <w:t>Pada undang-undang hari Minggu yang akan segera datang, pernikahan antara Kristus dan seratus empat puluh empat ribu digenapkan, dan percabulan antara pelacur Roma dan raja-raja di bumi digenapkan dalam suatu pernikahan palsu. Pada undang-undang hari Minggu itu, kedua lembaga kembar dari taman Eden sama-sama ditinggikan, dan pada saat yang sama juga diserang oleh suatu pemalsuan. Kedua lembaga kembar itu ialah pernikahan dan Sabat hari ketujuh.</w:t>
      </w:r>
    </w:p>
    <w:p>
      <w:pPr>
        <w:pStyle w:val="ArticleScripture"/>
        <w:jc w:val="left"/>
      </w:pPr>
      <w:r>
        <w:rPr>
          <w:rFonts w:ascii="Times New Roman" w:hAnsi="Times New Roman" w:eastAsia="Times New Roman" w:cs="Times New Roman"/>
        </w:rPr>
        <w:t>“Apabila orang-orang Farisi kemudian menyoal Dia berkenaan kesahan perceraian menurut hukum, Yesus mengarahkan para pendengar-Nya kembali kepada institusi perkahwinan sebagaimana ditetapkan pada waktu penciptaan. ‘Kerana kekerasan hatimu,’ kata-Nya, Musa ‘mengizinkan kamu menceraikan isterimu; tetapi sejak semula hal itu tidak demikian.’ Matius 19:8. Dia merujukkan mereka kepada hari-hari Eden yang diberkati, ketika Allah menyatakan segala sesuatu ‘amat baik.’ Pada waktu itulah perkahwinan dan Sabat bermula, dua institusi kembar bagi kemuliaan Allah dan demi manfaat umat manusia. Maka, ketika Sang Pencipta mempersatukan tangan pasangan suci itu dalam ikatan perkahwinan, sambil berfirman, Seorang laki-laki akan ‘meninggalkan ayahnya dan ibunya, dan bersatu dengan isterinya, sehingga keduanya menjadi satu’ (Kejadian 2:24), Dia menyatakan hukum perkahwinan bagi semua anak Adam sampai kepada akhir zaman. Apa yang telah dinyatakan baik oleh Bapa yang Kekal sendiri itulah hukum berkat dan perkembangan yang tertinggi bagi manusia.” Thoughts From the Mount of Blessings, 63.</w:t>
      </w:r>
    </w:p>
    <w:p>
      <w:pPr>
        <w:pStyle w:val="ArticleBody"/>
        <w:jc w:val="left"/>
      </w:pPr>
      <w:r>
        <w:rPr>
          <w:rFonts w:ascii="Times New Roman" w:hAnsi="Times New Roman" w:eastAsia="Times New Roman" w:cs="Times New Roman"/>
        </w:rPr>
        <w:t>Toktóit ahnohnonhkehte nionhwentsyá:kon ne apostate Protestantism, spiritualism ihkà:ke Catholicism tsi niiohserá:ke ienhní:non tsi Sunday law, iah teiontatenhnháhkwen ne iorihwa:sheron ne marriage eníken’én:ta’kwe nionkwarihò:ten tánon “the Creator joined the hands of the holy pair in wedlock.” Tsi Sunday law, ne teiotiiohkwa institution ne Marriage tánon ne Sabbath, kontirihwí:io, ki’ wahate’nikonhrí:io. Ne history ne sealing ronwatiyenawá:se tsi ne Twin Towers wáhthahnekon, ihkà:ke ieiá:kon ne history tsi ne teiotiiohkwa institution ne Marriage tánon ne Sabbath kontirihwí:io. Etho nahò:ten ne history, ne Freedom Tower wa’katerihwí:io ne 2014, ihkà:ke Trump’s stirring up of globalism ronwatiyenawá:se ne Trump Tower ne 2015.</w:t>
      </w:r>
    </w:p>
    <w:p>
      <w:pPr>
        <w:pStyle w:val="ArticleBody"/>
        <w:jc w:val="left"/>
      </w:pPr>
      <w:r>
        <w:rPr>
          <w:rFonts w:ascii="Times New Roman" w:hAnsi="Times New Roman" w:eastAsia="Times New Roman" w:cs="Times New Roman"/>
        </w:rPr>
        <w:t>Menara Kembar itu telah dijatuhkan sebagai teguran terhadap kecintaan para globalis akan uang, dan Menara Kebebasan merupakan perwujudan pemberontakan Nimrod terhadap Allah Semesta Langit dan terhadap penghakiman yang telah Ia datangkan melalui air bah, sama seperti Menara Kebebasan itu merupakan lambang perlawanan terhadap penghakiman Allah pada 11 September 2001.</w:t>
      </w:r>
    </w:p>
    <w:p>
      <w:pPr>
        <w:pStyle w:val="ArticleScripture"/>
        <w:jc w:val="left"/>
      </w:pPr>
      <w:r>
        <w:rPr>
          <w:rFonts w:ascii="Times New Roman" w:hAnsi="Times New Roman" w:eastAsia="Times New Roman" w:cs="Times New Roman"/>
        </w:rPr>
        <w:t>“Pada suatu kesempatan, ketika berada di New York City, pada waktu malam aku dipanggil untuk menyaksikan gedung-gedung menjulang, tingkat demi tingkat, ke arah langit. Gedung-gedung ini dijamin tahan api, dan didirikan untuk memuliakan para pemilik dan pembangunnya. Makin tinggi, bahkan terus makin tinggi, gedung-gedung ini menjulang, dan di dalamnya digunakan bahan yang paling mahal. Mereka yang memiliki gedung-gedung ini tidak bertanya kepada diri mereka sendiri: ‘Bagaimanakah kami dapat sebaik-baiknya memuliakan Allah?’ Tuhan tidak ada dalam pikiran mereka.</w:t>
      </w:r>
    </w:p>
    <w:p>
      <w:pPr>
        <w:pStyle w:val="ArticleScripture"/>
        <w:jc w:val="left"/>
      </w:pPr>
      <w:r>
        <w:rPr>
          <w:rFonts w:ascii="Times New Roman" w:hAnsi="Times New Roman" w:eastAsia="Times New Roman" w:cs="Times New Roman"/>
        </w:rPr>
        <w:t>“Saya berfikir: ‘Oh, sekiranya mereka yang sedang menggunakan harta mereka dengan cara demikian dapat melihat haluan mereka sebagaimana Allah melihatnya! Mereka sedang menimbunkan bangunan-bangunan yang megah, tetapi betapa bodohnya, pada pandangan Pemerintah alam semesta, segala rancangan dan muslihat mereka. Mereka tidak menyelidiki dengan segenap kuasa hati dan fikiran bagaimana mereka dapat memuliakan Allah. Mereka telah kehilangan pandangan akan hal ini, yakni kewajipan pertama manusia.’”</w:t>
      </w:r>
    </w:p>
    <w:p>
      <w:pPr>
        <w:pStyle w:val="ArticleScripture"/>
        <w:jc w:val="left"/>
      </w:pPr>
      <w:r>
        <w:rPr>
          <w:rFonts w:ascii="Times New Roman" w:hAnsi="Times New Roman" w:eastAsia="Times New Roman" w:cs="Times New Roman"/>
        </w:rPr>
        <w:t>“Mei ki kiramisim na ol dispela antappela haus, ol papa bilong ol i amamas long wanpela hambak i gat bikpela tingting, long wanem, ol i gat mani bilong yusim long mekim laik bilong skin bilong ol yet i kamap tru na long kirapim ol poroman bilong ol long bel nogut. Bikpela hap bilong dispela mani ol i putim olsem intres, ol i bin kisim long pasin bilong strongim pe, long daunim ol rabisman wantaim hatpela pasin. Ol i lusim tingting olsem long heven ol i save raitim stori bilong olgeta bisnis wokabaut; olgeta pasin bilong giaman long mekim bisnis, olgeta wok bilong stil na trik, em i stap long hap olsem ol i raitim pinis. Taim i kam klostu we long pasin bilong giaman na long pasin bilong bikhet, ol man bai go inap long wanpela mak we Bikpela bai no larim ol long brukim i go moa, na ol bai kisim save olsem pasin bilong Jehova long karim na wetim man i gat mak bilong en.” Testimonies, volume 9, 12.</w:t>
      </w:r>
    </w:p>
    <w:p>
      <w:pPr>
        <w:pStyle w:val="ArticleBody"/>
        <w:jc w:val="left"/>
      </w:pPr>
      <w:r>
        <w:rPr>
          <w:rFonts w:ascii="Times New Roman" w:hAnsi="Times New Roman" w:eastAsia="Times New Roman" w:cs="Times New Roman"/>
        </w:rPr>
        <w:t>Pemberontakan yang dilambangkan oleh menara Nimrod adalah terhadap penghakiman Allah yang baru saja dinyatakan melalui Air Bah, dan hal itu melambangkan pemberontakan para bankir globalis terhadap penghakiman Allah yang baru terjadi. Kebebasan sebagaimana didefinisikan dalam kamus globalis sangat bertentangan dengan kebebasan alkitabiah. Kebebasan dalam kamus naga adalah kebebasan tanpa kendali moral, yang dilambangkan oleh amoralitas Revolusi Prancis.</w:t>
      </w:r>
    </w:p>
    <w:p>
      <w:pPr>
        <w:pStyle w:val="ArticleScripture"/>
        <w:jc w:val="left"/>
      </w:pPr>
      <w:r>
        <w:rPr>
          <w:rFonts w:ascii="Times New Roman" w:hAnsi="Times New Roman" w:eastAsia="Times New Roman" w:cs="Times New Roman"/>
        </w:rPr>
        <w:t>“‘Kota besar’ yang di jalan-jalannya para saksi dibunuh, dan tempat mayat-mayat mereka terbaring, secara ‘rohani’ adalah Mesir. Di antara segala bangsa yang dicatat dalam sejarah Alkitab, Mesir dengan paling berani menyangkal keberadaan Allah yang hidup dan menentang perintah-perintah-Nya. Tidak ada raja mana pun yang pernah melakukan pemberontakan yang lebih terang-terangan dan lancang terhadap wewenang Surga selain raja Mesir. Ketika berita itu disampaikan kepadanya oleh Musa, dalam nama Tuhan, Firaun dengan angkuh menjawab: ‘Siapakah Yehova itu, sehingga aku harus mendengarkan suara-Nya untuk membiarkan Israel pergi? Aku tidak mengenal Yehova, dan lagi pula aku tidak akan membiarkan Israel pergi.’ Keluaran 5:2, A.R.V. Inilah ateisme, dan bangsa yang dilambangkan oleh Mesir akan menyuarakan penyangkalan yang serupa terhadap tuntutan-tuntutan Allah yang hidup dan akan memperlihatkan semangat ketidakpercayaan dan pembangkangan yang sama. ‘Kota besar’ itu juga dibandingkan, secara ‘rohani,’ dengan Sodom. Kebobrokan Sodom dalam melanggar hukum Allah secara khusus dinyatakan dalam percabulan. Dan dosa ini juga akan menjadi ciri yang sangat menonjol dari bangsa yang akan menggenapi rincian-rincian nubuatan ini.</w:t>
      </w:r>
    </w:p>
    <w:p>
      <w:pPr>
        <w:pStyle w:val="ArticleScripture"/>
        <w:jc w:val="left"/>
      </w:pPr>
      <w:r>
        <w:rPr>
          <w:rFonts w:ascii="Times New Roman" w:hAnsi="Times New Roman" w:eastAsia="Times New Roman" w:cs="Times New Roman"/>
        </w:rPr>
        <w:t>“Ngoko ke, ngokwamazwi omprofeti, kancinane ngaphambi konyaka ka-1798, kwakumele kuvele amandla athile anemvelaphi nobume bukaSathana, ukuze alwe neBhayibhile. Kwaye ezweni apho ubungqina bamangqina amabini kaThixo babeya kuthi ngaloo ndlela buthuliswe, kwakuyakubonakaliswa ukungakholelwa kuThixo kukaFaro nokuziphatha kakubi kweSodom.”</w:t>
      </w:r>
    </w:p>
    <w:p>
      <w:pPr>
        <w:pStyle w:val="ArticleScripture"/>
        <w:jc w:val="left"/>
      </w:pPr>
      <w:r>
        <w:rPr>
          <w:rFonts w:ascii="Times New Roman" w:hAnsi="Times New Roman" w:eastAsia="Times New Roman" w:cs="Times New Roman"/>
        </w:rPr>
        <w:t>“Nubuatan ini telah menerima penggenapan yang sangat tepat dan mengesankan dalam sejarah Perancis. Semasa Revolusi itu, pada tahun 1793, ‘buat pertama kalinya dunia mendengar suatu perhimpunan manusia, yang dilahirkan dan dididik dalam tamadun, dan yang menganggap diri mereka berhak untuk memerintah salah satu bangsa Eropah yang paling unggul, mengangkat suara mereka bersama-sama untuk menafikan kebenaran yang paling khidmat yang diterima oleh jiwa manusia, dan dengan sebulat suara menolak kepercayaan kepada serta penyembahan terhadap suatu Ketuhanan.’—Sir Walter Scott, Life of Napoleon, jil. 1, bab 17....”</w:t>
      </w:r>
    </w:p>
    <w:p>
      <w:pPr>
        <w:pStyle w:val="ArticleScripture"/>
        <w:jc w:val="left"/>
      </w:pPr>
      <w:r>
        <w:rPr>
          <w:rFonts w:ascii="Times New Roman" w:hAnsi="Times New Roman" w:eastAsia="Times New Roman" w:cs="Times New Roman"/>
        </w:rPr>
        <w:t>“Perancis juga memperlihatkan ciri-ciri yang secara khusus membedakan Sodom. Pada masa Revolusi tampak nyata suatu keadaan kemerosotan moral dan kebejatan yang serupa dengan yang mendatangkan kebinasaan atas kota-kota di tanah datar itu. Dan sejarawan itu menyajikan bersama-sama ateisme dan kebejatan Perancis, sebagaimana diberikan dalam nubuatan itu: ‘Berhubungan erat dengan undang-undang ini yang memengaruhi agama, ialah undang-undang yang menurunkan ikatan perkawinan—perikatan yang paling suci yang dapat dibentuk oleh manusia, dan yang sifatnya yang tetap paling kuat mengarah kepada pemantapan masyarakat—menjadi sekadar suatu kontrak sipil yang bersifat sementara, yang dapat dimasuki dan diputuskan sesuka hati oleh dua orang mana pun…. Seandainya roh-roh jahat berusaha menemukan suatu cara yang paling efektif untuk menghancurkan segala sesuatu yang terhormat, indah, atau tetap dalam kehidupan rumah tangga, dan pada saat yang sama memperoleh jaminan bahwa malapetaka yang menjadi tujuan mereka untuk diciptakan itu akan dilestarikan dari satu generasi kepada generasi berikutnya, mereka tidak akan dapat menciptakan suatu rencana yang lebih efektif daripada perendahan perkawinan…. Sophie Arnoult, seorang aktris yang termasyhur karena ucapan-ucapannya yang jenaka, menggambarkan perkawinan republik sebagai “sakramen perzinaan.”’”—Scott, jil. 1, ps. 17.” Alfa dan Omega, 269, 270.</w:t>
      </w:r>
    </w:p>
    <w:p>
      <w:pPr>
        <w:pStyle w:val="ArticleBody"/>
        <w:jc w:val="left"/>
      </w:pPr>
      <w:r>
        <w:rPr>
          <w:rFonts w:ascii="Nirmala UI" w:hAnsi="Nirmala UI" w:eastAsia="Nirmala UI" w:cs="Nirmala UI"/>
        </w:rPr>
        <w:t>ടുറം</w:t>
      </w:r>
      <w:r>
        <w:rPr>
          <w:rFonts w:ascii="Times New Roman" w:hAnsi="Times New Roman" w:eastAsia="Times New Roman" w:cs="Times New Roman"/>
        </w:rPr>
        <w:t xml:space="preserve"> </w:t>
      </w:r>
      <w:r>
        <w:rPr>
          <w:rFonts w:ascii="Nirmala UI" w:hAnsi="Nirmala UI" w:eastAsia="Nirmala UI" w:cs="Nirmala UI"/>
        </w:rPr>
        <w:t>നിംറോഡിന്റെ</w:t>
      </w:r>
      <w:r>
        <w:rPr>
          <w:rFonts w:ascii="Times New Roman" w:hAnsi="Times New Roman" w:eastAsia="Times New Roman" w:cs="Times New Roman"/>
        </w:rPr>
        <w:t xml:space="preserve"> </w:t>
      </w:r>
      <w:r>
        <w:rPr>
          <w:rFonts w:ascii="Nirmala UI" w:hAnsi="Nirmala UI" w:eastAsia="Nirmala UI" w:cs="Nirmala UI"/>
        </w:rPr>
        <w:t>ഗോപുരത്തിന്റെ</w:t>
      </w:r>
      <w:r>
        <w:rPr>
          <w:rFonts w:ascii="Times New Roman" w:hAnsi="Times New Roman" w:eastAsia="Times New Roman" w:cs="Times New Roman"/>
        </w:rPr>
        <w:t xml:space="preserve"> </w:t>
      </w:r>
      <w:r>
        <w:rPr>
          <w:rFonts w:ascii="Nirmala UI" w:hAnsi="Nirmala UI" w:eastAsia="Nirmala UI" w:cs="Nirmala UI"/>
        </w:rPr>
        <w:t>കലാപത്തെ</w:t>
      </w:r>
      <w:r>
        <w:rPr>
          <w:rFonts w:ascii="Times New Roman" w:hAnsi="Times New Roman" w:eastAsia="Times New Roman" w:cs="Times New Roman"/>
        </w:rPr>
        <w:t xml:space="preserve"> </w:t>
      </w:r>
      <w:r>
        <w:rPr>
          <w:rFonts w:ascii="Nirmala UI" w:hAnsi="Nirmala UI" w:eastAsia="Nirmala UI" w:cs="Nirmala UI"/>
        </w:rPr>
        <w:t>മാത്രമല്ല</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w:t>
      </w:r>
      <w:r>
        <w:rPr>
          <w:rFonts w:ascii="Nirmala UI" w:hAnsi="Nirmala UI" w:eastAsia="Nirmala UI" w:cs="Nirmala UI"/>
        </w:rPr>
        <w:t>അതുപോലെതന്നെ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ന്യായപ്രമാണത്തിനെതിരായ</w:t>
      </w:r>
      <w:r>
        <w:rPr>
          <w:rFonts w:ascii="Times New Roman" w:hAnsi="Times New Roman" w:eastAsia="Times New Roman" w:cs="Times New Roman"/>
        </w:rPr>
        <w:t xml:space="preserve"> </w:t>
      </w:r>
      <w:r>
        <w:rPr>
          <w:rFonts w:ascii="Nirmala UI" w:hAnsi="Nirmala UI" w:eastAsia="Nirmala UI" w:cs="Nirmala UI"/>
        </w:rPr>
        <w:t>കലാപത്തെ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നിയന്ത്രണമില്ലാത്ത</w:t>
      </w:r>
      <w:r>
        <w:rPr>
          <w:rFonts w:ascii="Times New Roman" w:hAnsi="Times New Roman" w:eastAsia="Times New Roman" w:cs="Times New Roman"/>
        </w:rPr>
        <w:t xml:space="preserve"> LGBTQ+ </w:t>
      </w:r>
      <w:r>
        <w:rPr>
          <w:rFonts w:ascii="Nirmala UI" w:hAnsi="Nirmala UI" w:eastAsia="Nirmala UI" w:cs="Nirmala UI"/>
        </w:rPr>
        <w:t>പ്രസ്ഥാനത്തെ</w:t>
      </w:r>
      <w:r>
        <w:rPr>
          <w:rFonts w:ascii="Times New Roman" w:hAnsi="Times New Roman" w:eastAsia="Times New Roman" w:cs="Times New Roman"/>
        </w:rPr>
        <w:t xml:space="preserve"> </w:t>
      </w:r>
      <w:r>
        <w:rPr>
          <w:rFonts w:ascii="Nirmala UI" w:hAnsi="Nirmala UI" w:eastAsia="Nirmala UI" w:cs="Nirmala UI"/>
        </w:rPr>
        <w:t>പ്രോത്സാഹിപ്പിക്കുന്നതിലൂടെ</w:t>
      </w:r>
      <w:r>
        <w:rPr>
          <w:rFonts w:ascii="Times New Roman" w:hAnsi="Times New Roman" w:eastAsia="Times New Roman" w:cs="Times New Roman"/>
        </w:rPr>
        <w:t xml:space="preserve"> </w:t>
      </w:r>
      <w:r>
        <w:rPr>
          <w:rFonts w:ascii="Nirmala UI" w:hAnsi="Nirmala UI" w:eastAsia="Nirmala UI" w:cs="Nirmala UI"/>
        </w:rPr>
        <w:t>പ്രകടമാകുന്ന</w:t>
      </w:r>
      <w:r>
        <w:rPr>
          <w:rFonts w:ascii="Times New Roman" w:hAnsi="Times New Roman" w:eastAsia="Times New Roman" w:cs="Times New Roman"/>
        </w:rPr>
        <w:t xml:space="preserve"> </w:t>
      </w:r>
      <w:r>
        <w:rPr>
          <w:rFonts w:ascii="Nirmala UI" w:hAnsi="Nirmala UI" w:eastAsia="Nirmala UI" w:cs="Nirmala UI"/>
        </w:rPr>
        <w:t>ആഗോളവാദികളുടെ</w:t>
      </w:r>
      <w:r>
        <w:rPr>
          <w:rFonts w:ascii="Times New Roman" w:hAnsi="Times New Roman" w:eastAsia="Times New Roman" w:cs="Times New Roman"/>
        </w:rPr>
        <w:t xml:space="preserve"> </w:t>
      </w:r>
      <w:r>
        <w:rPr>
          <w:rFonts w:ascii="Nirmala UI" w:hAnsi="Nirmala UI" w:eastAsia="Nirmala UI" w:cs="Nirmala UI"/>
        </w:rPr>
        <w:t>സ്വാതന്ത്ര്യനിർവചനത്തിന്റെ</w:t>
      </w:r>
      <w:r>
        <w:rPr>
          <w:rFonts w:ascii="Times New Roman" w:hAnsi="Times New Roman" w:eastAsia="Times New Roman" w:cs="Times New Roman"/>
        </w:rPr>
        <w:t xml:space="preserve"> </w:t>
      </w:r>
      <w:r>
        <w:rPr>
          <w:rFonts w:ascii="Nirmala UI" w:hAnsi="Nirmala UI" w:eastAsia="Nirmala UI" w:cs="Nirmala UI"/>
        </w:rPr>
        <w:t>പ്രതീകവും</w:t>
      </w:r>
      <w:r>
        <w:rPr>
          <w:rFonts w:ascii="Times New Roman" w:hAnsi="Times New Roman" w:eastAsia="Times New Roman" w:cs="Times New Roman"/>
        </w:rPr>
        <w:t xml:space="preserve"> </w:t>
      </w:r>
      <w:r>
        <w:rPr>
          <w:rFonts w:ascii="Nirmala UI" w:hAnsi="Nirmala UI" w:eastAsia="Nirmala UI" w:cs="Nirmala UI"/>
        </w:rPr>
        <w:t>അതാണ്</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സ്വാതന്ത്ര്യം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ഗോപുരം</w:t>
      </w:r>
      <w:r>
        <w:rPr>
          <w:rFonts w:ascii="Times New Roman" w:hAnsi="Times New Roman" w:eastAsia="Times New Roman" w:cs="Times New Roman"/>
        </w:rPr>
        <w:t xml:space="preserve"> </w:t>
      </w:r>
      <w:r>
        <w:rPr>
          <w:rFonts w:ascii="Nirmala UI" w:hAnsi="Nirmala UI" w:eastAsia="Nirmala UI" w:cs="Nirmala UI"/>
        </w:rPr>
        <w:t>പ്രതിനിധീകരിക്കുന്നതിനോട്</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വിരുദ്ധമാണ്</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മഹാസർപ്പത്തിന്റെ</w:t>
      </w:r>
      <w:r>
        <w:rPr>
          <w:rFonts w:ascii="Times New Roman" w:hAnsi="Times New Roman" w:eastAsia="Times New Roman" w:cs="Times New Roman"/>
        </w:rPr>
        <w:t xml:space="preserve"> </w:t>
      </w:r>
      <w:r>
        <w:rPr>
          <w:rFonts w:ascii="Nirmala UI" w:hAnsi="Nirmala UI" w:eastAsia="Nirmala UI" w:cs="Nirmala UI"/>
        </w:rPr>
        <w:t>അനുയായികൾ</w:t>
      </w:r>
      <w:r>
        <w:rPr>
          <w:rFonts w:ascii="Times New Roman" w:hAnsi="Times New Roman" w:eastAsia="Times New Roman" w:cs="Times New Roman"/>
        </w:rPr>
        <w:t xml:space="preserve"> </w:t>
      </w:r>
      <w:r>
        <w:rPr>
          <w:rFonts w:ascii="Nirmala UI" w:hAnsi="Nirmala UI" w:eastAsia="Nirmala UI" w:cs="Nirmala UI"/>
        </w:rPr>
        <w:t>പ്രയോഗിക്കുന്ന</w:t>
      </w:r>
      <w:r>
        <w:rPr>
          <w:rFonts w:ascii="Times New Roman" w:hAnsi="Times New Roman" w:eastAsia="Times New Roman" w:cs="Times New Roman"/>
        </w:rPr>
        <w:t xml:space="preserve"> </w:t>
      </w:r>
      <w:r>
        <w:rPr>
          <w:rFonts w:ascii="Nirmala UI" w:hAnsi="Nirmala UI" w:eastAsia="Nirmala UI" w:cs="Nirmala UI"/>
        </w:rPr>
        <w:t>വഞ്ചനയുടെ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പരമ്പരാഗത</w:t>
      </w:r>
      <w:r>
        <w:rPr>
          <w:rFonts w:ascii="Times New Roman" w:hAnsi="Times New Roman" w:eastAsia="Times New Roman" w:cs="Times New Roman"/>
        </w:rPr>
        <w:t xml:space="preserve"> </w:t>
      </w:r>
      <w:r>
        <w:rPr>
          <w:rFonts w:ascii="Nirmala UI" w:hAnsi="Nirmala UI" w:eastAsia="Nirmala UI" w:cs="Nirmala UI"/>
        </w:rPr>
        <w:t>രീതി</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നിഗമനങ്ങൾ</w:t>
      </w:r>
      <w:r>
        <w:rPr>
          <w:rFonts w:ascii="Times New Roman" w:hAnsi="Times New Roman" w:eastAsia="Times New Roman" w:cs="Times New Roman"/>
        </w:rPr>
        <w:t xml:space="preserve"> </w:t>
      </w:r>
      <w:r>
        <w:rPr>
          <w:rFonts w:ascii="Nirmala UI" w:hAnsi="Nirmala UI" w:eastAsia="Nirmala UI" w:cs="Nirmala UI"/>
        </w:rPr>
        <w:t>ഉണ്ടാകുന്നതിന്</w:t>
      </w:r>
      <w:r>
        <w:rPr>
          <w:rFonts w:ascii="Times New Roman" w:hAnsi="Times New Roman" w:eastAsia="Times New Roman" w:cs="Times New Roman"/>
        </w:rPr>
        <w:t xml:space="preserve"> </w:t>
      </w:r>
      <w:r>
        <w:rPr>
          <w:rFonts w:ascii="Nirmala UI" w:hAnsi="Nirmala UI" w:eastAsia="Nirmala UI" w:cs="Nirmala UI"/>
        </w:rPr>
        <w:t>വാക്കുകളും</w:t>
      </w:r>
      <w:r>
        <w:rPr>
          <w:rFonts w:ascii="Times New Roman" w:hAnsi="Times New Roman" w:eastAsia="Times New Roman" w:cs="Times New Roman"/>
        </w:rPr>
        <w:t xml:space="preserve"> </w:t>
      </w:r>
      <w:r>
        <w:rPr>
          <w:rFonts w:ascii="Nirmala UI" w:hAnsi="Nirmala UI" w:eastAsia="Nirmala UI" w:cs="Nirmala UI"/>
        </w:rPr>
        <w:t>പ്രയോഗങ്ങളും</w:t>
      </w:r>
      <w:r>
        <w:rPr>
          <w:rFonts w:ascii="Times New Roman" w:hAnsi="Times New Roman" w:eastAsia="Times New Roman" w:cs="Times New Roman"/>
        </w:rPr>
        <w:t xml:space="preserve"> </w:t>
      </w:r>
      <w:r>
        <w:rPr>
          <w:rFonts w:ascii="Nirmala UI" w:hAnsi="Nirmala UI" w:eastAsia="Nirmala UI" w:cs="Nirmala UI"/>
        </w:rPr>
        <w:t>പുനർനിർവചിക്കുന്നതാണ്</w:t>
      </w:r>
      <w:r>
        <w:rPr>
          <w:rFonts w:ascii="Times New Roman" w:hAnsi="Times New Roman" w:eastAsia="Times New Roman" w:cs="Times New Roman"/>
        </w:rPr>
        <w:t xml:space="preserve">. </w:t>
      </w:r>
      <w:r>
        <w:rPr>
          <w:rFonts w:ascii="Nirmala UI" w:hAnsi="Nirmala UI" w:eastAsia="Nirmala UI" w:cs="Nirmala UI"/>
        </w:rPr>
        <w:t>മഹാസർപ്പം</w:t>
      </w:r>
      <w:r>
        <w:rPr>
          <w:rFonts w:ascii="Times New Roman" w:hAnsi="Times New Roman" w:eastAsia="Times New Roman" w:cs="Times New Roman"/>
        </w:rPr>
        <w:t xml:space="preserve"> </w:t>
      </w:r>
      <w:r>
        <w:rPr>
          <w:rFonts w:ascii="Nirmala UI" w:hAnsi="Nirmala UI" w:eastAsia="Nirmala UI" w:cs="Nirmala UI"/>
        </w:rPr>
        <w:t>പരമ്പരാഗത</w:t>
      </w:r>
      <w:r>
        <w:rPr>
          <w:rFonts w:ascii="Times New Roman" w:hAnsi="Times New Roman" w:eastAsia="Times New Roman" w:cs="Times New Roman"/>
        </w:rPr>
        <w:t xml:space="preserve"> </w:t>
      </w:r>
      <w:r>
        <w:rPr>
          <w:rFonts w:ascii="Nirmala UI" w:hAnsi="Nirmala UI" w:eastAsia="Nirmala UI" w:cs="Nirmala UI"/>
        </w:rPr>
        <w:t>അഭിഭാഷകനാണ്</w:t>
      </w:r>
      <w:r>
        <w:rPr>
          <w:rFonts w:ascii="Times New Roman" w:hAnsi="Times New Roman" w:eastAsia="Times New Roman" w:cs="Times New Roman"/>
        </w:rPr>
        <w:t xml:space="preserve">; </w:t>
      </w:r>
      <w:r>
        <w:rPr>
          <w:rFonts w:ascii="Nirmala UI" w:hAnsi="Nirmala UI" w:eastAsia="Nirmala UI" w:cs="Nirmala UI"/>
        </w:rPr>
        <w:t>ദുഷ്ടഫലങ്ങൾ</w:t>
      </w:r>
      <w:r>
        <w:rPr>
          <w:rFonts w:ascii="Times New Roman" w:hAnsi="Times New Roman" w:eastAsia="Times New Roman" w:cs="Times New Roman"/>
        </w:rPr>
        <w:t xml:space="preserve"> </w:t>
      </w:r>
      <w:r>
        <w:rPr>
          <w:rFonts w:ascii="Nirmala UI" w:hAnsi="Nirmala UI" w:eastAsia="Nirmala UI" w:cs="Nirmala UI"/>
        </w:rPr>
        <w:t>സൃഷ്ടിക്കാനായി</w:t>
      </w:r>
      <w:r>
        <w:rPr>
          <w:rFonts w:ascii="Times New Roman" w:hAnsi="Times New Roman" w:eastAsia="Times New Roman" w:cs="Times New Roman"/>
        </w:rPr>
        <w:t xml:space="preserve"> </w:t>
      </w:r>
      <w:r>
        <w:rPr>
          <w:rFonts w:ascii="Nirmala UI" w:hAnsi="Nirmala UI" w:eastAsia="Nirmala UI" w:cs="Nirmala UI"/>
        </w:rPr>
        <w:t>ഭാഷയെ</w:t>
      </w:r>
      <w:r>
        <w:rPr>
          <w:rFonts w:ascii="Times New Roman" w:hAnsi="Times New Roman" w:eastAsia="Times New Roman" w:cs="Times New Roman"/>
        </w:rPr>
        <w:t xml:space="preserve"> </w:t>
      </w:r>
      <w:r>
        <w:rPr>
          <w:rFonts w:ascii="Nirmala UI" w:hAnsi="Nirmala UI" w:eastAsia="Nirmala UI" w:cs="Nirmala UI"/>
        </w:rPr>
        <w:t>വളച്ചൊടിക്കുന്ന</w:t>
      </w:r>
      <w:r>
        <w:rPr>
          <w:rFonts w:ascii="Times New Roman" w:hAnsi="Times New Roman" w:eastAsia="Times New Roman" w:cs="Times New Roman"/>
        </w:rPr>
        <w:t xml:space="preserve"> </w:t>
      </w:r>
      <w:r>
        <w:rPr>
          <w:rFonts w:ascii="Nirmala UI" w:hAnsi="Nirmala UI" w:eastAsia="Nirmala UI" w:cs="Nirmala UI"/>
        </w:rPr>
        <w:t>വാക്കുകളുടെ</w:t>
      </w:r>
      <w:r>
        <w:rPr>
          <w:rFonts w:ascii="Times New Roman" w:hAnsi="Times New Roman" w:eastAsia="Times New Roman" w:cs="Times New Roman"/>
        </w:rPr>
        <w:t xml:space="preserve"> </w:t>
      </w:r>
      <w:r>
        <w:rPr>
          <w:rFonts w:ascii="Nirmala UI" w:hAnsi="Nirmala UI" w:eastAsia="Nirmala UI" w:cs="Nirmala UI"/>
        </w:rPr>
        <w:t>ശിൽപിയും</w:t>
      </w:r>
      <w:r>
        <w:rPr>
          <w:rFonts w:ascii="Times New Roman" w:hAnsi="Times New Roman" w:eastAsia="Times New Roman" w:cs="Times New Roman"/>
        </w:rPr>
        <w:t xml:space="preserve"> </w:t>
      </w:r>
      <w:r>
        <w:rPr>
          <w:rFonts w:ascii="Nirmala UI" w:hAnsi="Nirmala UI" w:eastAsia="Nirmala UI" w:cs="Nirmala UI"/>
        </w:rPr>
        <w:t>അവനാണ്</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സ്വാതന്ത്ര്യം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വാക്കിന്റെ</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ആന്റിഫയുടെ</w:t>
      </w:r>
      <w:r>
        <w:rPr>
          <w:rFonts w:ascii="Times New Roman" w:hAnsi="Times New Roman" w:eastAsia="Times New Roman" w:cs="Times New Roman"/>
        </w:rPr>
        <w:t xml:space="preserve"> </w:t>
      </w:r>
      <w:r>
        <w:rPr>
          <w:rFonts w:ascii="Nirmala UI" w:hAnsi="Nirmala UI" w:eastAsia="Nirmala UI" w:cs="Nirmala UI"/>
        </w:rPr>
        <w:t>അറാജകത്വം</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സ്വാതന്ത്ര്യമോ</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ഫ്രാൻസിലെ</w:t>
      </w:r>
      <w:r>
        <w:rPr>
          <w:rFonts w:ascii="Times New Roman" w:hAnsi="Times New Roman" w:eastAsia="Times New Roman" w:cs="Times New Roman"/>
        </w:rPr>
        <w:t xml:space="preserve"> </w:t>
      </w:r>
      <w:r>
        <w:rPr>
          <w:rFonts w:ascii="Nirmala UI" w:hAnsi="Nirmala UI" w:eastAsia="Nirmala UI" w:cs="Nirmala UI"/>
        </w:rPr>
        <w:t>വിപ്ലവം</w:t>
      </w:r>
      <w:r>
        <w:rPr>
          <w:rFonts w:ascii="Times New Roman" w:hAnsi="Times New Roman" w:eastAsia="Times New Roman" w:cs="Times New Roman"/>
        </w:rPr>
        <w:t xml:space="preserve"> </w:t>
      </w:r>
      <w:r>
        <w:rPr>
          <w:rFonts w:ascii="Nirmala UI" w:hAnsi="Nirmala UI" w:eastAsia="Nirmala UI" w:cs="Nirmala UI"/>
        </w:rPr>
        <w:t>പ്രതീകവൽക്കരിക്കുന്ന</w:t>
      </w:r>
      <w:r>
        <w:rPr>
          <w:rFonts w:ascii="Times New Roman" w:hAnsi="Times New Roman" w:eastAsia="Times New Roman" w:cs="Times New Roman"/>
        </w:rPr>
        <w:t xml:space="preserve"> </w:t>
      </w:r>
      <w:r>
        <w:rPr>
          <w:rFonts w:ascii="Nirmala UI" w:hAnsi="Nirmala UI" w:eastAsia="Nirmala UI" w:cs="Nirmala UI"/>
        </w:rPr>
        <w:t>നിയന്ത്രണമില്ലായ്മയോ</w:t>
      </w:r>
      <w:r>
        <w:rPr>
          <w:rFonts w:ascii="Times New Roman" w:hAnsi="Times New Roman" w:eastAsia="Times New Roman" w:cs="Times New Roman"/>
        </w:rPr>
        <w:t xml:space="preserve"> </w:t>
      </w:r>
      <w:r>
        <w:rPr>
          <w:rFonts w:ascii="Nirmala UI" w:hAnsi="Nirmala UI" w:eastAsia="Nirmala UI" w:cs="Nirmala UI"/>
        </w:rPr>
        <w:t>അല്ല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“Зурханчид өөрийгөө Бурханд өгөхөөс татгалзсан хүн бүр өөр нэгэн хүчний захиргаанд байдаг. Тэр өөрийнхөө эзэн биш. Тэр эрх чөлөөний тухай ярьж болох авч, үнэн хэрэгтээ хамгийн дорд боолчлолд байна. Түүний ухаан Сатаны эрхшээлд байдаг тул үнэний гоо сайхныг харахыг түүнд зөвшөөрдөггүй. Тэр өөрийн шүүлтийн зааврыг дагаж байна хэмээн өөрийгөө хуурч байх зуур харанхуйн ноёны хүслийг дагадаг. Христ сүнсийг нүглийн боолчлолын дөнгөнөөс чөлөөлөхөөр ирсэн. ‘Иймээс Хүү та нарыг чөлөөлбөл, та нар үнэхээр эрх чөлөөтэй болно.’ ‘Христ Есүс доторх амийн Сүнсний хууль’ биднийг ‘нүгэл ба үхлийн хуулиас чөлөөлсөн.’ Ром 8:2.”</w:t>
      </w:r>
    </w:p>
    <w:p>
      <w:pPr>
        <w:pStyle w:val="ArticleScripture"/>
        <w:jc w:val="left"/>
      </w:pPr>
      <w:r>
        <w:rPr>
          <w:rFonts w:ascii="Times New Roman" w:hAnsi="Times New Roman" w:eastAsia="Times New Roman" w:cs="Times New Roman"/>
        </w:rPr>
        <w:t>“Wɔgye nnipa nkwa adwuma mu no, wɔmfa hyɛso biara nni dwuma. Wɔmfa tumi biara a efi abɔnten nni dwuma. Onyankopɔn Honhom no nkɛntɛnso ase no, wɔgya onipa ma ɔde ne pɛ paw nea ɔbɛsom. Nsakrae a ɛba bere a ɔkra de ne ho hyɛ Kristo nsa no mu no, ɛno na ahofadi ankasa a ɛkorɔn sen biara te. Bɔne tu fi hɔ no yɛ ɔkra no ankasa adeyɛ. Nokwarem, yenni tumi sɛ yebegye yɛn ho afi Satan tumi ase; nanso sɛ yɛpɛ sɛ wɔgye yɛn fi bɔne mu, na yɛn ahiade kɛse mu yɛfrɛ su frɛ tumi bi a efi yɛn ankasa akyi na ɛsen yɛn so no a, ɛnde wɔde Honhom Kronkron no ahoɔden soronko hyɛ ɔkra no tumi ahorow no mu, na wɔyɛ osetie ma apɛde no mmara wɔ Onyankopɔn apɛde yɛ mu.” The Desire of Ages, 466.</w:t>
      </w:r>
    </w:p>
    <w:p>
      <w:pPr>
        <w:pStyle w:val="ArticleBody"/>
        <w:jc w:val="left"/>
      </w:pPr>
      <w:r>
        <w:rPr>
          <w:rFonts w:ascii="Times New Roman" w:hAnsi="Times New Roman" w:eastAsia="Times New Roman" w:cs="Times New Roman"/>
        </w:rPr>
        <w:t>Kebebasan yang dilambangkan oleh Freedom Tower itu adalah kebebasan tanpa batas dari Revolusi Prancis dan pemberontakan Nimrod. Pada tahun berikutnya, di Trump Tower, presiden terkaya sejak 1989 mengumumkan pencalonannya, yang akan mengguncang kaum globalis. Pada tahun yang sama, pernikahan sesama jenis disahkan pada tingkat federal di Amerika Serikat, sebagaimana telah terjadi dalam revolusi di Prancis ketika mereka mengubah pernikahan menjadi “sekadar kontrak sipil yang bersifat sementara.”</w:t>
      </w:r>
    </w:p>
    <w:p>
      <w:pPr>
        <w:pStyle w:val="ArticleBody"/>
        <w:jc w:val="left"/>
      </w:pPr>
      <w:r>
        <w:rPr>
          <w:rFonts w:ascii="Times New Roman" w:hAnsi="Times New Roman" w:eastAsia="Times New Roman" w:cs="Times New Roman"/>
        </w:rPr>
        <w:t>Ntwa ya nyoka le moporesidente yo o humileng go feta tsotlhe e simolotswe. Tshenyo ya Ditora Tse Pedi ka go ama ga maatla a Modimo e ne ya tshwaya tshimologo ya nako ya go tshega sekano le go goroga ga sebatana sa Iselamo se se tswang mo kgamping e e se nang boteng. Fa go ne go neelwa Ditora tsa Kgololesego mo gare ga hisetori eo ya porofeto, go tshwaiwa go goroga ga sebatana sa go se dumele mo Modimong se se tswang mo kgamping e e se nang boteng. Jaanong, go wa ga ditheo tse pedi tsa Sabata le lenyalo, tse di neng tsa tlhomiwa mo Tshimong ya Edene, go tshwaya bokhutlo jwa nako ya go tshega sekano le go goroga ga sebatana sa boraro, sa Katoliki, se se tswang mo kgamping e e se nang boteng.</w:t>
      </w:r>
    </w:p>
    <w:p>
      <w:pPr>
        <w:pStyle w:val="ArticleBody"/>
        <w:jc w:val="left"/>
      </w:pPr>
      <w:r>
        <w:rPr>
          <w:rFonts w:ascii="Times New Roman" w:hAnsi="Times New Roman" w:eastAsia="Times New Roman" w:cs="Times New Roman"/>
        </w:rPr>
        <w:t>Ka November 3, 2020, Trump o ile a amohela leqeba le bolaeang la lipolotiki, joalokaha bopapa bo ile ba amohela leqeba le bolaeang ka 1798. Leqeba leo le ile la tlisoa ke Fora ea sebele ka 1798, ’me ka 2020 la tlisoa ke Fora ea moea.</w:t>
      </w:r>
    </w:p>
    <w:p>
      <w:pPr>
        <w:pStyle w:val="ArticleScripture"/>
        <w:jc w:val="left"/>
      </w:pPr>
      <w:r>
        <w:rPr>
          <w:rFonts w:ascii="Times New Roman" w:hAnsi="Times New Roman" w:eastAsia="Times New Roman" w:cs="Times New Roman"/>
        </w:rPr>
        <w:t>Mme bere wɔbɛwie wɔn adansedi no, aboa a ofi bun mu foro no bɛko atia wɔn, na ɔbɛdi wɔn so nkonim, na wakum wɔn. Na wɔn afunu bɛda kurow kɛse no kwan so, a honhom fam wɔfrɛ no Sodom ne Egypt, faako a wɔsan bɔɔ yɛn Awurade asɛndua mu no. Adiyisɛm 11:7, 8.</w:t>
      </w:r>
    </w:p>
    <w:p>
      <w:pPr>
        <w:pStyle w:val="ArticleBody"/>
        <w:jc w:val="left"/>
      </w:pPr>
      <w:r>
        <w:rPr>
          <w:rFonts w:ascii="Times New Roman" w:hAnsi="Times New Roman" w:eastAsia="Times New Roman" w:cs="Times New Roman"/>
        </w:rPr>
        <w:t>Dalam The Great Controversy, Sister White mengenal pasti Perancis sebagai “kota besar tempat Tuhan kita disalibkan”.</w:t>
      </w:r>
    </w:p>
    <w:p>
      <w:pPr>
        <w:pStyle w:val="ArticleScripture"/>
        <w:jc w:val="left"/>
      </w:pPr>
      <w:r>
        <w:rPr>
          <w:rFonts w:ascii="Times New Roman" w:hAnsi="Times New Roman" w:eastAsia="Times New Roman" w:cs="Times New Roman"/>
        </w:rPr>
        <w:t>“Selaras dengan perkataan nabi itu, maka sedikit sebelum tahun 1798 suatu kuasa yang berasal dari Iblis dan berciri satanik akan bangkit untuk mengadakan peperangan terhadap Alkitab. Dan di negeri tempat kesaksian kedua saksi Allah itu dengan demikian dibungkam, akan nyata ateisme Firaun dan kebejatan moral Sodom.” The Great Controversy, 270.</w:t>
      </w:r>
    </w:p>
    <w:p>
      <w:pPr>
        <w:pStyle w:val="ArticleBody"/>
        <w:jc w:val="left"/>
      </w:pPr>
      <w:r>
        <w:rPr>
          <w:rFonts w:ascii="Times New Roman" w:hAnsi="Times New Roman" w:eastAsia="Times New Roman" w:cs="Times New Roman"/>
        </w:rPr>
        <w:t>Pada undang-undang hari Minggu yang segera akan datang di Amerika Serikat, patung binatang itu akan dibentuk sepenuhnya, dan mereka yang telah membentuk sepenuhnya citra Kristus akan diangkat sebagai panji Allah. Sebagai suatu panji, mereka akan meninggikan Sabat hari ketujuh, dan menyatakan kebenaran Kristus kepada dunia. Kebenaran Kristus hanya digenapi oleh perpaduan Keilahian dengan kemanusiaan, dan di dalam kebenaran agung ini, yang didefinisikan sebagai suatu misteri, lembaga pernikahan diangkat tinggi. Panji itu melambangkan Sabat dan lembaga kembarnya, yaitu pernikahan.</w:t>
      </w:r>
    </w:p>
    <w:p>
      <w:pPr>
        <w:pStyle w:val="ArticleScripture"/>
        <w:jc w:val="left"/>
      </w:pPr>
      <w:r>
        <w:rPr>
          <w:rFonts w:ascii="Times New Roman" w:hAnsi="Times New Roman" w:eastAsia="Times New Roman" w:cs="Times New Roman"/>
        </w:rPr>
        <w:t>Kwa maana mume ni kichwa cha mkewe, kama Kristo naye alivyo kichwa cha kanisa; naye ndiye Mwokozi wa mwili. Basi kama kanisa lilivyo chini ya Kristo, vivyo hivyo wake nao nawawatii waume zao katika kila jambo. Enyi waume, wapendeni wake zenu, kama Kristo naye alivyolipenda kanisa, akajitoa kwa ajili yake; ili makusudi alitakase na kulisafisha kwa maji katika neno; apate kujiletea kanisa tukufu, lisilo na ila wala kunyanzi wala lo lote kama hayo; bali liwe takatifu, lisilo na mawaa. Hivyo imewapasa waume kuwapenda wake zao kama miili yao wenyewe. Ampendaye mkewe hujipenda mwenyewe. Maana hakuna mtu aliyewahi kuuchukia mwili wake popote pale; bali huulisha na kuutunza, kama Kristo naye anavyolitunza kanisa. Kwa kuwa tu viungo vya mwili wake, vya nyama yake, na vya mifupa yake. Kwa sababu hiyo mtu atamwacha baba yake na mama yake, ataambatana na mkewe; nao wawili watakuwa mwili mmoja. Siri hiyo ni kubwa; ila mimi nanena habari ya Kristo na kanisa. Waefeso 5:23–32.</w:t>
      </w:r>
    </w:p>
    <w:p>
      <w:pPr>
        <w:pStyle w:val="ArticleBody"/>
        <w:jc w:val="left"/>
      </w:pPr>
      <w:r>
        <w:rPr>
          <w:rFonts w:ascii="Times New Roman" w:hAnsi="Times New Roman" w:eastAsia="Times New Roman" w:cs="Times New Roman"/>
        </w:rPr>
        <w:t>Прапорот е симбол на двојните установи на Саботата и Бракот, а бракот го претставува соединувањето на Божественоста со човештвото. Тајната на тој брак ја претставува Неговата црква, која е Неговиот храм.</w:t>
      </w:r>
    </w:p>
    <w:p>
      <w:pPr>
        <w:pStyle w:val="ArticleScripture"/>
        <w:jc w:val="left"/>
      </w:pPr>
      <w:r>
        <w:rPr>
          <w:rFonts w:ascii="Times New Roman" w:hAnsi="Times New Roman" w:eastAsia="Times New Roman" w:cs="Times New Roman"/>
        </w:rPr>
        <w:t>“Mbirovha ḽo vha ḽi tshiga tsha thembele.” The Desire of Ages, 596.</w:t>
      </w:r>
    </w:p>
    <w:p>
      <w:pPr>
        <w:pStyle w:val="ArticleBody"/>
        <w:jc w:val="left"/>
      </w:pPr>
      <w:r>
        <w:rPr>
          <w:rFonts w:ascii="Times New Roman" w:hAnsi="Times New Roman" w:eastAsia="Times New Roman" w:cs="Times New Roman"/>
        </w:rPr>
        <w:t>Pada permulaan waktu pemeteraian, Menara Kembar runtuh; di tengah waktu pemeteraian, dua “menara” yang melambangkan proses pemisahan dua golongan (bagi kedua tanduk) telah dikenalpasti; dan pada akhir waktu pemeteraian, Menara Kembar bait suci Tuhan dan Sabat akan diangkat sebagai panji-panji kepada bangsa-bangsa lain.</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Kerana pada hari TUHAN semesta alam, hukuman-Nya akan menimpa setiap orang yang congkak dan angkuh, dan setiap orang yang meninggikan diri; dan ia akan direndahkan. Demikian juga atas segala pohon aras Libanon yang tinggi dan menjulang, dan atas segala pohon tarbantin Basan, dan atas segala gunung yang tinggi, dan atas segala bukit yang menjulang, dan atas setiap menara yang tinggi, dan atas setiap tembok berkubu, dan atas segala kapal Tarsis, dan atas segala karya yang indah. Maka kesombongan manusia akan ditundukkan, dan keangkuhan manusia akan direndahkan; dan hanya TUHAN sahaja akan ditinggikan pada hari itu. Berhala-berhala akan dihapuskan-Nya sama sekali. Orang akan masuk ke dalam liang-liang batu dan ke dalam gua-gua tanah, kerana takut akan TUHAN dan kerana kemuliaan kebesaran-Nya, apabila Ia bangkit untuk menggoncangkan bumi dengan dahsyat. Pada hari itu manusia akan membuang berhala-berhala peraknya dan berhala-berhala emasnya, yang dibuat masing-masing bagi dirinya untuk disembah, kepada tikus mondok dan kepada kelawar, lalu masuk ke dalam celah-celah batu yang terjal, kerana takut akan TUHAN dan kerana kemuliaan kebesaran-Nya, apabila Ia bangkit untuk menggoncangkan bumi dengan dahsyat. Berhentilah berharap kepada manusia, yang nafasnya ada di dalam hidungnya; kerana untuk apakah ia patut diperhitungkan? Yesaya 2:12–22.</w:t>
      </w:r>
    </w:p>
    <w:p>
      <w:pPr>
        <w:pStyle w:val="ArticleScripture"/>
        <w:jc w:val="left"/>
      </w:pPr>
      <w:r>
        <w:rPr>
          <w:rFonts w:ascii="Times New Roman" w:hAnsi="Times New Roman" w:eastAsia="Times New Roman" w:cs="Times New Roman"/>
        </w:rPr>
        <w:t>Kebajikanku, dan kubu pertahananku; menara tinggiku, dan pembebasku; perisaiku, dan Dia yang kepadanya aku percaya; yang menaklukkan umatku di bawahku. Mazmur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Seratus Empat Puluh Empat</dc:title>
  <dc:subject>Kepentingan Kenabian Mengenai Keruntuhan Parti Demokrat di Amerika Syarikat</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