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 Osianda na Mituano na Motoba</w:t>
      </w:r>
    </w:p>
    <w:p>
      <w:pPr>
        <w:pStyle w:val="ArticleSubtitle"/>
        <w:jc w:val="left"/>
      </w:pPr>
      <w:r>
        <w:rPr>
          <w:rFonts w:ascii="Arial" w:hAnsi="Arial" w:eastAsia="Arial" w:cs="Arial"/>
        </w:rPr>
        <w:t>Mengungkap Penglihatan Terakhir Daniel: Perspektif Millerit tentang Kebenaran-Kebenaran Nubuatan bagi Masa Kini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A re simolola go sekaseka pono ya bofelo ya ga Daniele ka go dirisa molao o o emetsweng ke Alfa le Omega, o o supang gore ka tsotlhe tsotlhe O tlhola a kaya bokhutlo ka tshimologo. Jalo Belteshasare, yo e leng Daniele mo temaneng ya ntlha thata ya pono ya bofelo ya ga Daniele, le ene o ne a tla emelwa mo karolong ya bofelo ya yone pono eo eo tshwanang. Re setse re lemogile gore Belteshasare o emela batho ba kgolagano ya Modimo ba malatsi a bofelo, ba ba tlhaloganyang “chazon,” e leng pono ya histori ya boperofeti, jaaka go emetswe ke lefoko “thing,” mo temaneng ya ntlha. Pono eo ya histori ya boperofeti ke “dinako di supa,” tsa Lefitiko masome a mabedi le borataro tse di lekanang le dingwaga di le dikete tse pedi, di le makgolo a matlhano, le masome a mabedi. Belteshasare gape o tlhaloganya “vision” mo temaneng ya ntlha, e leng pono ya “mareh” ya dingwaga di le dikete tse pedi le makgolo a mararo, e e emelang go bonagala ga Keresete ka tshoganyetso.</w:t>
      </w:r>
    </w:p>
    <w:p>
      <w:pPr>
        <w:pStyle w:val="ArticleBody"/>
        <w:jc w:val="left"/>
      </w:pPr>
      <w:r>
        <w:rPr>
          <w:rFonts w:ascii="Malgun Gothic" w:hAnsi="Malgun Gothic" w:eastAsia="Malgun Gothic" w:cs="Malgun Gothic"/>
        </w:rPr>
        <w:t>뎨니엘</w:t>
      </w:r>
      <w:r>
        <w:rPr>
          <w:rFonts w:ascii="Times New Roman" w:hAnsi="Times New Roman" w:eastAsia="Times New Roman" w:cs="Times New Roman"/>
        </w:rPr>
        <w:t xml:space="preserve"> 12</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운동과</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운동을</w:t>
      </w:r>
      <w:r>
        <w:rPr>
          <w:rFonts w:ascii="Times New Roman" w:hAnsi="Times New Roman" w:eastAsia="Times New Roman" w:cs="Times New Roman"/>
        </w:rPr>
        <w:t xml:space="preserve"> </w:t>
      </w:r>
      <w:r>
        <w:rPr>
          <w:rFonts w:ascii="Malgun Gothic" w:hAnsi="Malgun Gothic" w:eastAsia="Malgun Gothic" w:cs="Malgun Gothic"/>
        </w:rPr>
        <w:t>나타내는데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운동이</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비유를</w:t>
      </w:r>
      <w:r>
        <w:rPr>
          <w:rFonts w:ascii="Times New Roman" w:hAnsi="Times New Roman" w:eastAsia="Times New Roman" w:cs="Times New Roman"/>
        </w:rPr>
        <w:t xml:space="preserve"> </w:t>
      </w:r>
      <w:r>
        <w:rPr>
          <w:rFonts w:ascii="Malgun Gothic" w:hAnsi="Malgun Gothic" w:eastAsia="Malgun Gothic" w:cs="Malgun Gothic"/>
        </w:rPr>
        <w:t>성취하기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12</w:t>
      </w:r>
      <w:r>
        <w:rPr>
          <w:rFonts w:ascii="Malgun Gothic" w:hAnsi="Malgun Gothic" w:eastAsia="Malgun Gothic" w:cs="Malgun Gothic"/>
        </w:rPr>
        <w:t>장에는</w:t>
      </w:r>
      <w:r>
        <w:rPr>
          <w:rFonts w:ascii="Times New Roman" w:hAnsi="Times New Roman" w:eastAsia="Times New Roman" w:cs="Times New Roman"/>
        </w:rPr>
        <w:t xml:space="preserve"> </w:t>
      </w:r>
      <w:r>
        <w:rPr>
          <w:rFonts w:ascii="Malgun Gothic" w:hAnsi="Malgun Gothic" w:eastAsia="Malgun Gothic" w:cs="Malgun Gothic"/>
        </w:rPr>
        <w:t>적어도</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진리가</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일부였으며</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운동도</w:t>
      </w:r>
      <w:r>
        <w:rPr>
          <w:rFonts w:ascii="Times New Roman" w:hAnsi="Times New Roman" w:eastAsia="Times New Roman" w:cs="Times New Roman"/>
        </w:rPr>
        <w:t xml:space="preserve"> </w:t>
      </w:r>
      <w:r>
        <w:rPr>
          <w:rFonts w:ascii="Malgun Gothic" w:hAnsi="Malgun Gothic" w:eastAsia="Malgun Gothic" w:cs="Malgun Gothic"/>
        </w:rPr>
        <w:t>반드시</w:t>
      </w:r>
      <w:r>
        <w:rPr>
          <w:rFonts w:ascii="Times New Roman" w:hAnsi="Times New Roman" w:eastAsia="Times New Roman" w:cs="Times New Roman"/>
        </w:rPr>
        <w:t xml:space="preserve"> </w:t>
      </w:r>
      <w:r>
        <w:rPr>
          <w:rFonts w:ascii="Malgun Gothic" w:hAnsi="Malgun Gothic" w:eastAsia="Malgun Gothic" w:cs="Malgun Gothic"/>
        </w:rPr>
        <w:t>경험하고</w:t>
      </w:r>
      <w:r>
        <w:rPr>
          <w:rFonts w:ascii="Times New Roman" w:hAnsi="Times New Roman" w:eastAsia="Times New Roman" w:cs="Times New Roman"/>
        </w:rPr>
        <w:t xml:space="preserve"> </w:t>
      </w:r>
      <w:r>
        <w:rPr>
          <w:rFonts w:ascii="Malgun Gothic" w:hAnsi="Malgun Gothic" w:eastAsia="Malgun Gothic" w:cs="Malgun Gothic"/>
        </w:rPr>
        <w:t>이해해야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운동은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비유를</w:t>
      </w:r>
      <w:r>
        <w:rPr>
          <w:rFonts w:ascii="Times New Roman" w:hAnsi="Times New Roman" w:eastAsia="Times New Roman" w:cs="Times New Roman"/>
        </w:rPr>
        <w:t xml:space="preserve"> </w:t>
      </w:r>
      <w:r>
        <w:rPr>
          <w:rFonts w:ascii="Malgun Gothic" w:hAnsi="Malgun Gothic" w:eastAsia="Malgun Gothic" w:cs="Malgun Gothic"/>
        </w:rPr>
        <w:t>성취하며</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운동에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슬기로운</w:t>
      </w:r>
      <w:r>
        <w:rPr>
          <w:rFonts w:ascii="Times New Roman" w:hAnsi="Times New Roman" w:eastAsia="Times New Roman" w:cs="Times New Roman"/>
        </w:rPr>
        <w:t xml:space="preserve"> </w:t>
      </w:r>
      <w:r>
        <w:rPr>
          <w:rFonts w:ascii="Malgun Gothic" w:hAnsi="Malgun Gothic" w:eastAsia="Malgun Gothic" w:cs="Malgun Gothic"/>
        </w:rPr>
        <w:t>처녀들은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이해해야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운동은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밀러가</w:t>
      </w:r>
      <w:r>
        <w:rPr>
          <w:rFonts w:ascii="Times New Roman" w:hAnsi="Times New Roman" w:eastAsia="Times New Roman" w:cs="Times New Roman"/>
        </w:rPr>
        <w:t xml:space="preserve"> </w:t>
      </w:r>
      <w:r>
        <w:rPr>
          <w:rFonts w:ascii="Malgun Gothic" w:hAnsi="Malgun Gothic" w:eastAsia="Malgun Gothic" w:cs="Malgun Gothic"/>
        </w:rPr>
        <w:t>인도함을</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처음으로</w:t>
      </w:r>
      <w:r>
        <w:rPr>
          <w:rFonts w:ascii="Times New Roman" w:hAnsi="Times New Roman" w:eastAsia="Times New Roman" w:cs="Times New Roman"/>
        </w:rPr>
        <w:t xml:space="preserve"> </w:t>
      </w:r>
      <w:r>
        <w:rPr>
          <w:rFonts w:ascii="Malgun Gothic" w:hAnsi="Malgun Gothic" w:eastAsia="Malgun Gothic" w:cs="Malgun Gothic"/>
        </w:rPr>
        <w:t>인식하게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이해해야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나머지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평행한</w:t>
      </w:r>
      <w:r>
        <w:rPr>
          <w:rFonts w:ascii="Times New Roman" w:hAnsi="Times New Roman" w:eastAsia="Times New Roman" w:cs="Times New Roman"/>
        </w:rPr>
        <w:t xml:space="preserve"> </w:t>
      </w:r>
      <w:r>
        <w:rPr>
          <w:rFonts w:ascii="Malgun Gothic" w:hAnsi="Malgun Gothic" w:eastAsia="Malgun Gothic" w:cs="Malgun Gothic"/>
        </w:rPr>
        <w:t>경험과</w:t>
      </w:r>
      <w:r>
        <w:rPr>
          <w:rFonts w:ascii="Times New Roman" w:hAnsi="Times New Roman" w:eastAsia="Times New Roman" w:cs="Times New Roman"/>
        </w:rPr>
        <w:t xml:space="preserve"> </w:t>
      </w:r>
      <w:r>
        <w:rPr>
          <w:rFonts w:ascii="Malgun Gothic" w:hAnsi="Malgun Gothic" w:eastAsia="Malgun Gothic" w:cs="Malgun Gothic"/>
        </w:rPr>
        <w:t>이해는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몇</w:t>
      </w:r>
      <w:r>
        <w:rPr>
          <w:rFonts w:ascii="Times New Roman" w:hAnsi="Times New Roman" w:eastAsia="Times New Roman" w:cs="Times New Roman"/>
        </w:rPr>
        <w:t xml:space="preserve"> </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발견된다</w:t>
      </w:r>
      <w:r>
        <w:rPr>
          <w:rFonts w:ascii="Times New Roman" w:hAnsi="Times New Roman" w:eastAsia="Times New Roman" w:cs="Times New Roman"/>
        </w:rPr>
        <w:t>.</w:t>
      </w:r>
    </w:p>
    <w:p>
      <w:pPr>
        <w:pStyle w:val="ArticleScripture"/>
        <w:jc w:val="left"/>
      </w:pP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वेळेपासून</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काढून</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घृणास्पद</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वेळेपासून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दोनशे</w:t>
      </w:r>
      <w:r>
        <w:rPr>
          <w:rFonts w:ascii="Times New Roman" w:hAnsi="Times New Roman" w:eastAsia="Times New Roman" w:cs="Times New Roman"/>
        </w:rPr>
        <w:t xml:space="preserve"> </w:t>
      </w:r>
      <w:r>
        <w:rPr>
          <w:rFonts w:ascii="Nirmala UI" w:hAnsi="Nirmala UI" w:eastAsia="Nirmala UI" w:cs="Nirmala UI"/>
        </w:rPr>
        <w:t>नव्वद</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होतील</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धीराने</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पाहतो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तीनशे</w:t>
      </w:r>
      <w:r>
        <w:rPr>
          <w:rFonts w:ascii="Times New Roman" w:hAnsi="Times New Roman" w:eastAsia="Times New Roman" w:cs="Times New Roman"/>
        </w:rPr>
        <w:t xml:space="preserve"> </w:t>
      </w:r>
      <w:r>
        <w:rPr>
          <w:rFonts w:ascii="Nirmala UI" w:hAnsi="Nirmala UI" w:eastAsia="Nirmala UI" w:cs="Nirmala UI"/>
        </w:rPr>
        <w:t>पंचेचाळीस</w:t>
      </w:r>
      <w:r>
        <w:rPr>
          <w:rFonts w:ascii="Times New Roman" w:hAnsi="Times New Roman" w:eastAsia="Times New Roman" w:cs="Times New Roman"/>
        </w:rPr>
        <w:t xml:space="preserve"> </w:t>
      </w:r>
      <w:r>
        <w:rPr>
          <w:rFonts w:ascii="Nirmala UI" w:hAnsi="Nirmala UI" w:eastAsia="Nirmala UI" w:cs="Nirmala UI"/>
        </w:rPr>
        <w:t>दिवसांपर्यंत</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शेवटापर्यंत</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मार्गाने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विसावा</w:t>
      </w:r>
      <w:r>
        <w:rPr>
          <w:rFonts w:ascii="Times New Roman" w:hAnsi="Times New Roman" w:eastAsia="Times New Roman" w:cs="Times New Roman"/>
        </w:rPr>
        <w:t xml:space="preserve"> </w:t>
      </w:r>
      <w:r>
        <w:rPr>
          <w:rFonts w:ascii="Nirmala UI" w:hAnsi="Nirmala UI" w:eastAsia="Nirmala UI" w:cs="Nirmala UI"/>
        </w:rPr>
        <w:t>घेशील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दिवसांच्या</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वाट्याला</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राहशील</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12:11–13.</w:t>
      </w:r>
    </w:p>
    <w:p>
      <w:pPr>
        <w:pStyle w:val="ArticleBody"/>
        <w:jc w:val="left"/>
      </w:pPr>
      <w:r>
        <w:rPr>
          <w:rFonts w:ascii="Times New Roman" w:hAnsi="Times New Roman" w:eastAsia="Times New Roman" w:cs="Times New Roman"/>
        </w:rPr>
        <w:t>Boka roo Boitshepo, batho ba masalela ba Modimo ba na le ditshobotsi tse tharo tse kgolo tsa boporofeta. Ba boloka ditaelo tsa Modimo, ba na le tumelo ya Jesu mme ba tshegetsa Mowa wa Boporofeta.</w:t>
      </w:r>
    </w:p>
    <w:p>
      <w:pPr>
        <w:pStyle w:val="ArticleScripture"/>
        <w:jc w:val="left"/>
      </w:pPr>
      <w:r>
        <w:rPr>
          <w:rFonts w:ascii="Myanmar Text" w:hAnsi="Myanmar Text" w:eastAsia="Myanmar Text" w:cs="Myanmar Text"/>
        </w:rPr>
        <w:t>အဲဒီအခါ</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သိုးသငယ်၏</w:t>
      </w:r>
      <w:r>
        <w:rPr>
          <w:rFonts w:ascii="Times New Roman" w:hAnsi="Times New Roman" w:eastAsia="Times New Roman" w:cs="Times New Roman"/>
        </w:rPr>
        <w:t xml:space="preserve"> </w:t>
      </w:r>
      <w:r>
        <w:rPr>
          <w:rFonts w:ascii="Myanmar Text" w:hAnsi="Myanmar Text" w:eastAsia="Myanmar Text" w:cs="Myanmar Text"/>
        </w:rPr>
        <w:t>မင်္ဂလာဆောင်ညစာပွဲသို့</w:t>
      </w:r>
      <w:r>
        <w:rPr>
          <w:rFonts w:ascii="Times New Roman" w:hAnsi="Times New Roman" w:eastAsia="Times New Roman" w:cs="Times New Roman"/>
        </w:rPr>
        <w:t xml:space="preserve"> </w:t>
      </w:r>
      <w:r>
        <w:rPr>
          <w:rFonts w:ascii="Myanmar Text" w:hAnsi="Myanmar Text" w:eastAsia="Myanmar Text" w:cs="Myanmar Text"/>
        </w:rPr>
        <w:t>ဖိတ်ခေါ်ခြင်းခံရသောသူတို့သည်</w:t>
      </w:r>
      <w:r>
        <w:rPr>
          <w:rFonts w:ascii="Times New Roman" w:hAnsi="Times New Roman" w:eastAsia="Times New Roman" w:cs="Times New Roman"/>
        </w:rPr>
        <w:t xml:space="preserve"> </w:t>
      </w:r>
      <w:r>
        <w:rPr>
          <w:rFonts w:ascii="Myanmar Text" w:hAnsi="Myanmar Text" w:eastAsia="Myanmar Text" w:cs="Myanmar Text"/>
        </w:rPr>
        <w:t>မင်္ဂလာရှိကြ၏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ဤစကားတို့သည်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စကားများဖြစ်ကြသည်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ကိုးကွယ်ရန်</w:t>
      </w:r>
      <w:r>
        <w:rPr>
          <w:rFonts w:ascii="Times New Roman" w:hAnsi="Times New Roman" w:eastAsia="Times New Roman" w:cs="Times New Roman"/>
        </w:rPr>
        <w:t xml:space="preserve"> </w:t>
      </w:r>
      <w:r>
        <w:rPr>
          <w:rFonts w:ascii="Myanmar Text" w:hAnsi="Myanmar Text" w:eastAsia="Myanmar Text" w:cs="Myanmar Text"/>
        </w:rPr>
        <w:t>သူ၏ခြေတော်အနီး၌</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မပြုလော့။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အမှုတော်ဆောင်ဖော်ဖြစ်၏။</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ကိုင်စွဲထားသော</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ညီအစ်ကိုတို့နှင့်လည်း</w:t>
      </w:r>
      <w:r>
        <w:rPr>
          <w:rFonts w:ascii="Times New Roman" w:hAnsi="Times New Roman" w:eastAsia="Times New Roman" w:cs="Times New Roman"/>
        </w:rPr>
        <w:t xml:space="preserve"> </w:t>
      </w:r>
      <w:r>
        <w:rPr>
          <w:rFonts w:ascii="Myanmar Text" w:hAnsi="Myanmar Text" w:eastAsia="Myanmar Text" w:cs="Myanmar Text"/>
        </w:rPr>
        <w:t>တူညီ၏။</w:t>
      </w:r>
      <w:r>
        <w:rPr>
          <w:rFonts w:ascii="Times New Roman" w:hAnsi="Times New Roman" w:eastAsia="Times New Roman" w:cs="Times New Roman"/>
        </w:rPr>
        <w:t xml:space="preserve"> </w:t>
      </w:r>
      <w:r>
        <w:rPr>
          <w:rFonts w:ascii="Myanmar Text" w:hAnsi="Myanmar Text" w:eastAsia="Myanmar Text" w:cs="Myanmar Text"/>
        </w:rPr>
        <w:t>ဘုရားသခင်ကိုသာ</w:t>
      </w:r>
      <w:r>
        <w:rPr>
          <w:rFonts w:ascii="Times New Roman" w:hAnsi="Times New Roman" w:eastAsia="Times New Roman" w:cs="Times New Roman"/>
        </w:rPr>
        <w:t xml:space="preserve"> </w:t>
      </w:r>
      <w:r>
        <w:rPr>
          <w:rFonts w:ascii="Myanmar Text" w:hAnsi="Myanmar Text" w:eastAsia="Myanmar Text" w:cs="Myanmar Text"/>
        </w:rPr>
        <w:t>ကိုးကွယ်လော့။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သက်သေခံချက်သည်</w:t>
      </w:r>
      <w:r>
        <w:rPr>
          <w:rFonts w:ascii="Times New Roman" w:hAnsi="Times New Roman" w:eastAsia="Times New Roman" w:cs="Times New Roman"/>
        </w:rPr>
        <w:t xml:space="preserve"> </w:t>
      </w:r>
      <w:r>
        <w:rPr>
          <w:rFonts w:ascii="Myanmar Text" w:hAnsi="Myanmar Text" w:eastAsia="Myanmar Text" w:cs="Myanmar Text"/>
        </w:rPr>
        <w:t>ပရောဖက်ပြုခြင်း၏</w:t>
      </w:r>
      <w:r>
        <w:rPr>
          <w:rFonts w:ascii="Times New Roman" w:hAnsi="Times New Roman" w:eastAsia="Times New Roman" w:cs="Times New Roman"/>
        </w:rPr>
        <w:t xml:space="preserve"> </w:t>
      </w:r>
      <w:r>
        <w:rPr>
          <w:rFonts w:ascii="Myanmar Text" w:hAnsi="Myanmar Text" w:eastAsia="Myanmar Text" w:cs="Myanmar Text"/>
        </w:rPr>
        <w:t>ဝိညာဉ်ဖြစ်၏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၁၉း၉၊</w:t>
      </w:r>
      <w:r>
        <w:rPr>
          <w:rFonts w:ascii="Times New Roman" w:hAnsi="Times New Roman" w:eastAsia="Times New Roman" w:cs="Times New Roman"/>
        </w:rPr>
        <w:t xml:space="preserve"> </w:t>
      </w:r>
      <w:r>
        <w:rPr>
          <w:rFonts w:ascii="Myanmar Text" w:hAnsi="Myanmar Text" w:eastAsia="Myanmar Text" w:cs="Myanmar Text"/>
        </w:rPr>
        <w:t>၁၀။</w:t>
      </w:r>
    </w:p>
    <w:p>
      <w:pPr>
        <w:pStyle w:val="ArticleBody"/>
        <w:jc w:val="left"/>
      </w:pPr>
      <w:r>
        <w:rPr>
          <w:rFonts w:ascii="Times New Roman" w:hAnsi="Times New Roman" w:eastAsia="Times New Roman" w:cs="Times New Roman"/>
        </w:rPr>
        <w:t>Millerites zi ankhual takin an hriat chu “the daily,” Daniel lehkhabu-a hmuh hi paganism a entir tih leh “the daily” “lak bo” a ni hun chu kum 508 a ni tih kha a ni. Chu thutak chu hnawl a nih chuan “Isua thu testify-na” thuneihna chu hnawl a ni ang; chu chu “Prophecy Thlarau” a ni a, Prophecy Thlarau chuan “the daily” an hriat danah Millerites-te chu an dik tih chiang takin a hrilh a ni.</w:t>
      </w:r>
    </w:p>
    <w:p>
      <w:pPr>
        <w:pStyle w:val="ArticleScripture"/>
        <w:jc w:val="left"/>
      </w:pPr>
      <w:r>
        <w:rPr>
          <w:rFonts w:ascii="Times New Roman" w:hAnsi="Times New Roman" w:eastAsia="Times New Roman" w:cs="Times New Roman"/>
        </w:rPr>
        <w:t>“Bong ke ile ka bona mabapi le ‘Daily,’ hore lentsoe ‘sacrifice’ le ile la eketsoa ka bohlale ba motho, ’me ha le hlahe temaneng; le hore Morena o ile a fana ka kutloisiso e nepahetseng ea taba ena ho ba ileng ba fana ka mohoo oa hora ea kahlolo. Ha bonngoe bo ne bo le teng, pele ho 1844, hoo e ka bang bohle ba ne ba kopane tabeng ea kutloisiso e nepahetseng ea ‘Daily;’ empa ho tloha ka 1844, pherekanong, maikutlo a mang a ile a amoheloa, ’me lefifi le pherekano tsa latela.” Review and Herald, November 1, 1850.</w:t>
      </w:r>
    </w:p>
    <w:p>
      <w:pPr>
        <w:pStyle w:val="ArticleBody"/>
        <w:jc w:val="left"/>
      </w:pPr>
      <w:r>
        <w:rPr>
          <w:rFonts w:ascii="Times New Roman" w:hAnsi="Times New Roman" w:eastAsia="Times New Roman" w:cs="Times New Roman"/>
        </w:rPr>
        <w:t>Millerit naka simin ka, paganism gi pa khuang ciangin papacy a thuneihna a kaihnak ding a donhnak cu kum 538 ah si loh dingin, kum 508 ah lakin a phiarh zo ti an theih. Millerit naka cu an dik, asinain an hngalhnak cu a tlamtling lo. Pathian ni netabik minung, cang 1 sungah Belteshazzar in a aiawhmi pawl, kum 508 in 538 tiang hi, Khrih hringnun sungah A baptisma ah thuneihnak a hmuh hlan ih kum sawmthum ralrin le timhciahnak a ummi thu-in a rak khihhmuh cia mi profet caan a si ti an hmuh ding. Culei profet caan cu 1776 in 1798 tiang profet caan khal a aiawh ve ti an hmuh ding; cun cui caan pathum hmuahhmuah cun 2001 kum September 11 ni ah a thokmi, le a lo ding nai Sunday law ah a dongmi, sangkhatli le pali rual an sinnak hminsin caan an aiawh thluh ti an hmuh ding.</w:t>
      </w:r>
    </w:p>
    <w:p>
      <w:pPr>
        <w:pStyle w:val="ArticleBody"/>
        <w:jc w:val="left"/>
      </w:pPr>
      <w:r>
        <w:rPr>
          <w:rFonts w:ascii="Nirmala UI" w:hAnsi="Nirmala UI" w:eastAsia="Nirmala UI" w:cs="Nirmala UI"/>
        </w:rPr>
        <w:t>वेल्हाजोल्हो</w:t>
      </w:r>
      <w:r>
        <w:rPr>
          <w:rFonts w:ascii="Times New Roman" w:hAnsi="Times New Roman" w:eastAsia="Times New Roman" w:cs="Times New Roman"/>
        </w:rPr>
        <w:t xml:space="preserve"> </w:t>
      </w:r>
      <w:r>
        <w:rPr>
          <w:rFonts w:ascii="Nirmala UI" w:hAnsi="Nirmala UI" w:eastAsia="Nirmala UI" w:cs="Nirmala UI"/>
        </w:rPr>
        <w:t>१२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अध्यायांत</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मिलेराइट्साचें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बेल्तेशस्सारान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केल्ल्यांमदीं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म्हत्वाचें</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जावपाचें</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मिलेराइट्सांचें</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म्हणल्यार</w:t>
      </w:r>
      <w:r>
        <w:rPr>
          <w:rFonts w:ascii="Times New Roman" w:hAnsi="Times New Roman" w:eastAsia="Times New Roman" w:cs="Times New Roman"/>
        </w:rPr>
        <w:t xml:space="preserve"> “ ‘daily’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दृष्टिकोन</w:t>
      </w:r>
      <w:r>
        <w:rPr>
          <w:rFonts w:ascii="Times New Roman" w:hAnsi="Times New Roman" w:eastAsia="Times New Roman" w:cs="Times New Roman"/>
        </w:rPr>
        <w:t xml:space="preserve">, … </w:t>
      </w:r>
      <w:r>
        <w:rPr>
          <w:rFonts w:ascii="Nirmala UI" w:hAnsi="Nirmala UI" w:eastAsia="Nirmala UI" w:cs="Nirmala UI"/>
        </w:rPr>
        <w:t>न्यायाच्या</w:t>
      </w:r>
      <w:r>
        <w:rPr>
          <w:rFonts w:ascii="Times New Roman" w:hAnsi="Times New Roman" w:eastAsia="Times New Roman" w:cs="Times New Roman"/>
        </w:rPr>
        <w:t xml:space="preserve"> </w:t>
      </w:r>
      <w:r>
        <w:rPr>
          <w:rFonts w:ascii="Nirmala UI" w:hAnsi="Nirmala UI" w:eastAsia="Nirmala UI" w:cs="Nirmala UI"/>
        </w:rPr>
        <w:t>वेळेचो</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दिवपी</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दिल्लो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नाकारप</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लिखाणाक</w:t>
      </w:r>
      <w:r>
        <w:rPr>
          <w:rFonts w:ascii="Times New Roman" w:hAnsi="Times New Roman" w:eastAsia="Times New Roman" w:cs="Times New Roman"/>
        </w:rPr>
        <w:t xml:space="preserve"> </w:t>
      </w:r>
      <w:r>
        <w:rPr>
          <w:rFonts w:ascii="Nirmala UI" w:hAnsi="Nirmala UI" w:eastAsia="Nirmala UI" w:cs="Nirmala UI"/>
        </w:rPr>
        <w:t>नाकारप</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भविष्यवाणीचो</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मिलेराइट्सांचें</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तिसऱ्या</w:t>
      </w:r>
      <w:r>
        <w:rPr>
          <w:rFonts w:ascii="Times New Roman" w:hAnsi="Times New Roman" w:eastAsia="Times New Roman" w:cs="Times New Roman"/>
        </w:rPr>
        <w:t xml:space="preserve"> </w:t>
      </w:r>
      <w:r>
        <w:rPr>
          <w:rFonts w:ascii="Nirmala UI" w:hAnsi="Nirmala UI" w:eastAsia="Nirmala UI" w:cs="Nirmala UI"/>
        </w:rPr>
        <w:t>देवदूताचे</w:t>
      </w:r>
      <w:r>
        <w:rPr>
          <w:rFonts w:ascii="Times New Roman" w:hAnsi="Times New Roman" w:eastAsia="Times New Roman" w:cs="Times New Roman"/>
        </w:rPr>
        <w:t xml:space="preserve"> </w:t>
      </w:r>
      <w:r>
        <w:rPr>
          <w:rFonts w:ascii="Nirmala UI" w:hAnsi="Nirmala UI" w:eastAsia="Nirmala UI" w:cs="Nirmala UI"/>
        </w:rPr>
        <w:t>संदेशवाहकांचे</w:t>
      </w:r>
      <w:r>
        <w:rPr>
          <w:rFonts w:ascii="Times New Roman" w:hAnsi="Times New Roman" w:eastAsia="Times New Roman" w:cs="Times New Roman"/>
        </w:rPr>
        <w:t xml:space="preserve">, </w:t>
      </w:r>
      <w:r>
        <w:rPr>
          <w:rFonts w:ascii="Nirmala UI" w:hAnsi="Nirmala UI" w:eastAsia="Nirmala UI" w:cs="Nirmala UI"/>
        </w:rPr>
        <w:t>म्हणल्यार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w:t>
      </w:r>
      <w:r>
        <w:rPr>
          <w:rFonts w:ascii="Times New Roman" w:hAnsi="Times New Roman" w:eastAsia="Times New Roman" w:cs="Times New Roman"/>
        </w:rPr>
        <w:t xml:space="preserve"> </w:t>
      </w:r>
      <w:r>
        <w:rPr>
          <w:rFonts w:ascii="Nirmala UI" w:hAnsi="Nirmala UI" w:eastAsia="Nirmala UI" w:cs="Nirmala UI"/>
        </w:rPr>
        <w:t>पस्तीस</w:t>
      </w:r>
      <w:r>
        <w:rPr>
          <w:rFonts w:ascii="Times New Roman" w:hAnsi="Times New Roman" w:eastAsia="Times New Roman" w:cs="Times New Roman"/>
        </w:rPr>
        <w:t xml:space="preserve"> </w:t>
      </w:r>
      <w:r>
        <w:rPr>
          <w:rFonts w:ascii="Nirmala UI" w:hAnsi="Nirmala UI" w:eastAsia="Nirmala UI" w:cs="Nirmala UI"/>
        </w:rPr>
        <w:t>वर्सांची</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वर्सांत</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वर्सांत</w:t>
      </w:r>
      <w:r>
        <w:rPr>
          <w:rFonts w:ascii="Times New Roman" w:hAnsi="Times New Roman" w:eastAsia="Times New Roman" w:cs="Times New Roman"/>
        </w:rPr>
        <w:t xml:space="preserve"> “the daily” </w:t>
      </w:r>
      <w:r>
        <w:rPr>
          <w:rFonts w:ascii="Nirmala UI" w:hAnsi="Nirmala UI" w:eastAsia="Nirmala UI" w:cs="Nirmala UI"/>
        </w:rPr>
        <w:t>काडून</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508 </w:t>
      </w:r>
      <w:r>
        <w:rPr>
          <w:rFonts w:ascii="Nirmala UI" w:hAnsi="Nirmala UI" w:eastAsia="Nirmala UI" w:cs="Nirmala UI"/>
        </w:rPr>
        <w:t>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Bermula pada tahun 508, seribu tiga ratus tiga puluh lima tahun membawamu kepada 1843, tetapi bukan sekadar 1843, kerana nubuatan itu sebenarnya menunjukkan tepat kepada hari yang paling akhir dalam tahun 1843, kerana ia menyatakan, “Berbahagialah dia yang menantikan, dan sampai kepada seribu tiga ratus tiga puluh lima hari itu.” Perkataan Ibrani yang diterjemahkan sebagai “sampai,” ialah “naga,” dan ertinya “menyentuh”, atau “meletakkan tangan pada”. Oleh itu, nubuatan itu bermaksud, “berbahagialah dia yang menantikan, dan” menyentuh atau meletakkan tangan pada 1843.</w:t>
      </w:r>
    </w:p>
    <w:p>
      <w:pPr>
        <w:pStyle w:val="ArticleBody"/>
        <w:jc w:val="left"/>
      </w:pPr>
      <w:r>
        <w:rPr>
          <w:rFonts w:ascii="Times New Roman" w:hAnsi="Times New Roman" w:eastAsia="Times New Roman" w:cs="Times New Roman"/>
        </w:rPr>
        <w:t>Kéyahgo adiikáago nąhką́ą́go inéí Millerite nitsíniiyiígíí biniiyé, bílaʼ ashkii dineʼéígíí tʼáá ajiłiiʼígíí, hózhǫ́ǫ́gi ádaałkaiígíí nisinígíí, ánííníłtiʼígíí bikááʼgi daʼdeesdzáhígíí biniiyé hólǫ́. Áádóó Millerite dineʼéígíí “ánííníłtiʼígíí bikááʼgi daʼdeesdzáhígíí” biniiyé ádaałkaiígíí, naaltsoos bíł hazʼą́ą́gi ten virgins yee haneʼígíí dóó Habakkuk chapter two bee hazʼą́ą́gi yee atah nisinígíí yáhootʼééłgo, tʼáá shǫ́ǫ́dí haneʼ hólǫ́go biniiyé hózhǫ́ǫ́go ałtsʼíísgo bee nitsáhákees. Kʼad áádóó éí daʼdeesdzáhígíí bikááʼgi, tʼáá íiyisí “parable” yee haneʼígíí biyiʼ ádaʼdiitʼį́į́łgo nisin, dóó nihá áłtsé hwiináhásdlį́į́ʼgo anííníłtiʼígíí “yádaatʼeeh” doo. Daʼdeesdzáhígíí bikááʼgi dóó biniiyé tʼáá áko łąʼ yáhootʼéego nihá daʼdeelkaahígíí, twenty-three hundred years 1843gi nihaʼádaaltsoosgo łaʼ yáhootʼééłgo nisinígíí bee éí adinídíín, tʼáá nihá áko anííníłtiʼígíí 1844 biniiyé yáhootʼééł. Biyázhí nisinígíí ádáhodíílnihgo éí 1843 bee hwiináhásdlį́į́ʼgi Christ doo náádááhígíí baa nitsáhákees dóó anáhootʼį́į́łígíí bee ádaʼdiilyeedgo hólǫ́. Biyázhí yádiłhiłígíí dóó tʼáá nihá áko éí biyiʼ ádaałkaiígíí baa hózhǫ́ǫ́go bee nahalinígíí, tʼáá ajiłiiʼígíí 1843 year yázhį́į́hgo bikááʼgi hólǫ́, éí 1844 “touches” nisin, áádóó “cometh to” biniiyé yáhootʼééł.</w:t>
      </w:r>
    </w:p>
    <w:p>
      <w:pPr>
        <w:pStyle w:val="ArticleBody"/>
        <w:jc w:val="left"/>
      </w:pPr>
      <w:r>
        <w:rPr>
          <w:rFonts w:ascii="Times New Roman" w:hAnsi="Times New Roman" w:eastAsia="Times New Roman" w:cs="Times New Roman"/>
        </w:rPr>
        <w:t>Pengalaman kekecewaan yang pertama, sebagai penggenapan perumpamaan tentang sepuluh anak dara, dipahami dan diulangi dalam diri mereka yang diwakili oleh Beltesyazar. Kebenaran dan pengalaman yang kelima yang akan diakui oleh mereka yang diwakili oleh Beltesyazar ialah bahwa pada “akhir zaman”, Daniel akan “berdiri pada bahagiannya”.</w:t>
      </w:r>
    </w:p>
    <w:p>
      <w:pPr>
        <w:pStyle w:val="ArticleScripture"/>
        <w:jc w:val="left"/>
      </w:pPr>
      <w:r>
        <w:rPr>
          <w:rFonts w:ascii="Times New Roman" w:hAnsi="Times New Roman" w:eastAsia="Times New Roman" w:cs="Times New Roman"/>
        </w:rPr>
        <w:t>“Danʻel telah berdiri di bagiannya sejak meterai itu dibuka dan terang kebenaran telah bercahaya atas penglihatannya. Ia berdiri di bagiannya, membawa kesaksian yang harus dipahami pada akhir zaman.” *Sermons and Talks*, jilid 1, 225, 226.</w:t>
      </w:r>
    </w:p>
    <w:p>
      <w:pPr>
        <w:pStyle w:val="ArticleBody"/>
        <w:jc w:val="left"/>
      </w:pPr>
      <w:r>
        <w:rPr>
          <w:rFonts w:ascii="Times New Roman" w:hAnsi="Times New Roman" w:eastAsia="Times New Roman" w:cs="Times New Roman"/>
        </w:rPr>
        <w:t>Milleriteng chu banga ah theihna a pung khan tihfaihna leh thiantharna hna an tuar a, chu theihna chu 1798-a Daniel cabu khelh a nih hnuah a lo chhuak ta a ni. Belteshazzar-a entir hna pawh 1989-a Daniel cabu khelh a nih hnuah a lo chhuak theihna pungin tihfaihna leh thiantharna chu an tuar ve ang. Anni chuan Daniel cabu hi mi za leh pali sawm leh pali sang seal-na ah hman atan tum bik a nei tih pawh an hria ang.</w:t>
      </w:r>
    </w:p>
    <w:p>
      <w:pPr>
        <w:pStyle w:val="ArticleScripture"/>
        <w:jc w:val="left"/>
      </w:pPr>
      <w:r>
        <w:rPr>
          <w:rFonts w:ascii="Times New Roman" w:hAnsi="Times New Roman" w:eastAsia="Times New Roman" w:cs="Times New Roman"/>
        </w:rPr>
        <w:t>“</w:t>
      </w:r>
      <w:r>
        <w:rPr>
          <w:rFonts w:ascii="Nirmala UI" w:hAnsi="Nirmala UI" w:eastAsia="Nirmala UI" w:cs="Nirmala UI"/>
        </w:rPr>
        <w:t>மனிதனொருவருக்குச்</w:t>
      </w:r>
      <w:r>
        <w:rPr>
          <w:rFonts w:ascii="Times New Roman" w:hAnsi="Times New Roman" w:eastAsia="Times New Roman" w:cs="Times New Roman"/>
        </w:rPr>
        <w:t xml:space="preserve"> </w:t>
      </w:r>
      <w:r>
        <w:rPr>
          <w:rFonts w:ascii="Nirmala UI" w:hAnsi="Nirmala UI" w:eastAsia="Nirmala UI" w:cs="Nirmala UI"/>
        </w:rPr>
        <w:t>செய்யும்படியாகத்</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விசேஷமான</w:t>
      </w:r>
      <w:r>
        <w:rPr>
          <w:rFonts w:ascii="Times New Roman" w:hAnsi="Times New Roman" w:eastAsia="Times New Roman" w:cs="Times New Roman"/>
        </w:rPr>
        <w:t xml:space="preserve"> </w:t>
      </w:r>
      <w:r>
        <w:rPr>
          <w:rFonts w:ascii="Nirmala UI" w:hAnsi="Nirmala UI" w:eastAsia="Nirmala UI" w:cs="Nirmala UI"/>
        </w:rPr>
        <w:t>வேலையை</w:t>
      </w:r>
      <w:r>
        <w:rPr>
          <w:rFonts w:ascii="Times New Roman" w:hAnsi="Times New Roman" w:eastAsia="Times New Roman" w:cs="Times New Roman"/>
        </w:rPr>
        <w:t xml:space="preserve"> </w:t>
      </w:r>
      <w:r>
        <w:rPr>
          <w:rFonts w:ascii="Nirmala UI" w:hAnsi="Nirmala UI" w:eastAsia="Nirmala UI" w:cs="Nirmala UI"/>
        </w:rPr>
        <w:t>அளிக்கும்போது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செய்ததுபோல்</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பங்கிலும்</w:t>
      </w:r>
      <w:r>
        <w:rPr>
          <w:rFonts w:ascii="Times New Roman" w:hAnsi="Times New Roman" w:eastAsia="Times New Roman" w:cs="Times New Roman"/>
        </w:rPr>
        <w:t xml:space="preserve"> </w:t>
      </w:r>
      <w:r>
        <w:rPr>
          <w:rFonts w:ascii="Nirmala UI" w:hAnsi="Nirmala UI" w:eastAsia="Nirmala UI" w:cs="Nirmala UI"/>
        </w:rPr>
        <w:t>இடத்திலும்</w:t>
      </w:r>
      <w:r>
        <w:rPr>
          <w:rFonts w:ascii="Times New Roman" w:hAnsi="Times New Roman" w:eastAsia="Times New Roman" w:cs="Times New Roman"/>
        </w:rPr>
        <w:t xml:space="preserve"> </w:t>
      </w:r>
      <w:r>
        <w:rPr>
          <w:rFonts w:ascii="Nirmala UI" w:hAnsi="Nirmala UI" w:eastAsia="Nirmala UI" w:cs="Nirmala UI"/>
        </w:rPr>
        <w:t>நிலைத்திருந்து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அழைப்பிற்கு</w:t>
      </w:r>
      <w:r>
        <w:rPr>
          <w:rFonts w:ascii="Times New Roman" w:hAnsi="Times New Roman" w:eastAsia="Times New Roman" w:cs="Times New Roman"/>
        </w:rPr>
        <w:t xml:space="preserve"> </w:t>
      </w:r>
      <w:r>
        <w:rPr>
          <w:rFonts w:ascii="Nirmala UI" w:hAnsi="Nirmala UI" w:eastAsia="Nirmala UI" w:cs="Nirmala UI"/>
        </w:rPr>
        <w:t>பதிலளிக்கத்</w:t>
      </w:r>
      <w:r>
        <w:rPr>
          <w:rFonts w:ascii="Times New Roman" w:hAnsi="Times New Roman" w:eastAsia="Times New Roman" w:cs="Times New Roman"/>
        </w:rPr>
        <w:t xml:space="preserve"> </w:t>
      </w:r>
      <w:r>
        <w:rPr>
          <w:rFonts w:ascii="Nirmala UI" w:hAnsi="Nirmala UI" w:eastAsia="Nirmala UI" w:cs="Nirmala UI"/>
        </w:rPr>
        <w:t>தயாராகவும்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நோக்கத்தை</w:t>
      </w:r>
      <w:r>
        <w:rPr>
          <w:rFonts w:ascii="Times New Roman" w:hAnsi="Times New Roman" w:eastAsia="Times New Roman" w:cs="Times New Roman"/>
        </w:rPr>
        <w:t xml:space="preserve"> </w:t>
      </w:r>
      <w:r>
        <w:rPr>
          <w:rFonts w:ascii="Nirmala UI" w:hAnsi="Nirmala UI" w:eastAsia="Nirmala UI" w:cs="Nirmala UI"/>
        </w:rPr>
        <w:t>நிறைவேற்றத்</w:t>
      </w:r>
      <w:r>
        <w:rPr>
          <w:rFonts w:ascii="Times New Roman" w:hAnsi="Times New Roman" w:eastAsia="Times New Roman" w:cs="Times New Roman"/>
        </w:rPr>
        <w:t xml:space="preserve"> </w:t>
      </w:r>
      <w:r>
        <w:rPr>
          <w:rFonts w:ascii="Nirmala UI" w:hAnsi="Nirmala UI" w:eastAsia="Nirmala UI" w:cs="Nirmala UI"/>
        </w:rPr>
        <w:t>தயாராகவும்</w:t>
      </w:r>
      <w:r>
        <w:rPr>
          <w:rFonts w:ascii="Times New Roman" w:hAnsi="Times New Roman" w:eastAsia="Times New Roman" w:cs="Times New Roman"/>
        </w:rPr>
        <w:t xml:space="preserve"> </w:t>
      </w:r>
      <w:r>
        <w:rPr>
          <w:rFonts w:ascii="Nirmala UI" w:hAnsi="Nirmala UI" w:eastAsia="Nirmala UI" w:cs="Nirmala UI"/>
        </w:rPr>
        <w:t>இருக்க</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Manuscript Releases, volume 6, 108.</w:t>
      </w:r>
    </w:p>
    <w:p>
      <w:pPr>
        <w:pStyle w:val="ArticleBody"/>
        <w:jc w:val="left"/>
      </w:pPr>
      <w:r>
        <w:rPr>
          <w:rFonts w:ascii="Myanmar Text" w:hAnsi="Myanmar Text" w:eastAsia="Myanmar Text" w:cs="Myanmar Text"/>
        </w:rPr>
        <w:t>ကနဦး</w:t>
      </w:r>
      <w:r>
        <w:rPr>
          <w:rFonts w:ascii="Times New Roman" w:hAnsi="Times New Roman" w:eastAsia="Times New Roman" w:cs="Times New Roman"/>
        </w:rPr>
        <w:t xml:space="preserve"> </w:t>
      </w:r>
      <w:r>
        <w:rPr>
          <w:rFonts w:ascii="Myanmar Text" w:hAnsi="Myanmar Text" w:eastAsia="Myanmar Text" w:cs="Myanmar Text"/>
        </w:rPr>
        <w:t>လာအိုဒိကဲယာအဖွဲ့ဝင်များဖြစ်ခဲ့သူများအနေဖြင့်၊</w:t>
      </w:r>
      <w:r>
        <w:rPr>
          <w:rFonts w:ascii="Times New Roman" w:hAnsi="Times New Roman" w:eastAsia="Times New Roman" w:cs="Times New Roman"/>
        </w:rPr>
        <w:t xml:space="preserve"> </w:t>
      </w:r>
      <w:r>
        <w:rPr>
          <w:rFonts w:ascii="Myanmar Text" w:hAnsi="Myanmar Text" w:eastAsia="Myanmar Text" w:cs="Myanmar Text"/>
        </w:rPr>
        <w:t>ဗေလတရှဇာဖြင့်</w:t>
      </w:r>
      <w:r>
        <w:rPr>
          <w:rFonts w:ascii="Times New Roman" w:hAnsi="Times New Roman" w:eastAsia="Times New Roman" w:cs="Times New Roman"/>
        </w:rPr>
        <w:t xml:space="preserve"> </w:t>
      </w:r>
      <w:r>
        <w:rPr>
          <w:rFonts w:ascii="Myanmar Text" w:hAnsi="Myanmar Text" w:eastAsia="Myanmar Text" w:cs="Myanmar Text"/>
        </w:rPr>
        <w:t>ကိုယ်စားပြုထားသူတို့သည်</w:t>
      </w:r>
      <w:r>
        <w:rPr>
          <w:rFonts w:ascii="Times New Roman" w:hAnsi="Times New Roman" w:eastAsia="Times New Roman" w:cs="Times New Roman"/>
        </w:rPr>
        <w:t xml:space="preserve"> </w:t>
      </w:r>
      <w:r>
        <w:rPr>
          <w:rFonts w:ascii="Myanmar Text" w:hAnsi="Myanmar Text" w:eastAsia="Myanmar Text" w:cs="Myanmar Text"/>
        </w:rPr>
        <w:t>နောက်ဆုံးပြန်လည်နိုးထမှုကို</w:t>
      </w:r>
      <w:r>
        <w:rPr>
          <w:rFonts w:ascii="Times New Roman" w:hAnsi="Times New Roman" w:eastAsia="Times New Roman" w:cs="Times New Roman"/>
        </w:rPr>
        <w:t xml:space="preserve"> </w:t>
      </w:r>
      <w:r>
        <w:rPr>
          <w:rFonts w:ascii="Myanmar Text" w:hAnsi="Myanmar Text" w:eastAsia="Myanmar Text" w:cs="Myanmar Text"/>
        </w:rPr>
        <w:t>ပြည့်စုံစေသည်မှာ</w:t>
      </w:r>
      <w:r>
        <w:rPr>
          <w:rFonts w:ascii="Times New Roman" w:hAnsi="Times New Roman" w:eastAsia="Times New Roman" w:cs="Times New Roman"/>
        </w:rPr>
        <w:t xml:space="preserve"> </w:t>
      </w:r>
      <w:r>
        <w:rPr>
          <w:rFonts w:ascii="Myanmar Text" w:hAnsi="Myanmar Text" w:eastAsia="Myanmar Text" w:cs="Myanmar Text"/>
        </w:rPr>
        <w:t>တစ်အုပ်တည်းဖြစ်သော</w:t>
      </w:r>
      <w:r>
        <w:rPr>
          <w:rFonts w:ascii="Times New Roman" w:hAnsi="Times New Roman" w:eastAsia="Times New Roman" w:cs="Times New Roman"/>
        </w:rPr>
        <w:t xml:space="preserve"> </w:t>
      </w:r>
      <w:r>
        <w:rPr>
          <w:rFonts w:ascii="Myanmar Text" w:hAnsi="Myanmar Text" w:eastAsia="Myanmar Text" w:cs="Myanmar Text"/>
        </w:rPr>
        <w:t>ဒ</w:t>
      </w:r>
      <w:r>
        <w:rPr>
          <w:rFonts w:ascii="Nirmala UI" w:hAnsi="Nirmala UI" w:eastAsia="Nirmala UI" w:cs="Nirmala UI"/>
        </w:rPr>
        <w:t>ാന</w:t>
      </w:r>
      <w:r>
        <w:rPr>
          <w:rFonts w:ascii="Myanmar Text" w:hAnsi="Myanmar Text" w:eastAsia="Myanmar Text" w:cs="Myanmar Text"/>
        </w:rPr>
        <w:t>ီယေလကျမ်းနှင့်</w:t>
      </w:r>
      <w:r>
        <w:rPr>
          <w:rFonts w:ascii="Times New Roman" w:hAnsi="Times New Roman" w:eastAsia="Times New Roman" w:cs="Times New Roman"/>
        </w:rPr>
        <w:t xml:space="preserve"> </w:t>
      </w:r>
      <w:r>
        <w:rPr>
          <w:rFonts w:ascii="Myanmar Text" w:hAnsi="Myanmar Text" w:eastAsia="Myanmar Text" w:cs="Myanmar Text"/>
        </w:rPr>
        <w:t>ဗျာဒိတ်ကျမ်းတို့အားဖြင့်</w:t>
      </w:r>
      <w:r>
        <w:rPr>
          <w:rFonts w:ascii="Times New Roman" w:hAnsi="Times New Roman" w:eastAsia="Times New Roman" w:cs="Times New Roman"/>
        </w:rPr>
        <w:t xml:space="preserve"> </w:t>
      </w:r>
      <w:r>
        <w:rPr>
          <w:rFonts w:ascii="Myanmar Text" w:hAnsi="Myanmar Text" w:eastAsia="Myanmar Text" w:cs="Myanmar Text"/>
        </w:rPr>
        <w:t>ဖြစ်ကြောင်းကို</w:t>
      </w:r>
      <w:r>
        <w:rPr>
          <w:rFonts w:ascii="Times New Roman" w:hAnsi="Times New Roman" w:eastAsia="Times New Roman" w:cs="Times New Roman"/>
        </w:rPr>
        <w:t xml:space="preserve"> </w:t>
      </w:r>
      <w:r>
        <w:rPr>
          <w:rFonts w:ascii="Myanmar Text" w:hAnsi="Myanmar Text" w:eastAsia="Myanmar Text" w:cs="Myanmar Text"/>
        </w:rPr>
        <w:t>အသိအမှတ်ပြုကြလိမ့်မည်။</w:t>
      </w:r>
    </w:p>
    <w:p>
      <w:pPr>
        <w:pStyle w:val="ArticleScripture"/>
        <w:jc w:val="left"/>
      </w:pPr>
      <w:r>
        <w:rPr>
          <w:rFonts w:ascii="Times New Roman" w:hAnsi="Times New Roman" w:eastAsia="Times New Roman" w:cs="Times New Roman"/>
        </w:rPr>
        <w:t>“Apabila kitab Daniel dan Wahyu difahami dengan lebih baik, orang percaya akan mengalami suatu pengalaman keagamaan yang sama sekali berbeza... Satu perkara pasti akan difahami daripada pengkajian kitab Wahyu—iaitu bahawa hubungan antara Tuhan dengan umat-Nya adalah erat dan pasti.” The Faith I Live By, 345.</w:t>
      </w:r>
    </w:p>
    <w:p>
      <w:pPr>
        <w:pStyle w:val="ArticleBody"/>
        <w:jc w:val="left"/>
      </w:pPr>
      <w:r>
        <w:rPr>
          <w:rFonts w:ascii="Times New Roman" w:hAnsi="Times New Roman" w:eastAsia="Times New Roman" w:cs="Times New Roman"/>
        </w:rPr>
        <w:t>Sebagai bekas orang Laodikia, mereka akan telah mengenali keadaan Laodikia mereka, dan menyedari bahawa secara rohani mereka sama matinya seperti sebuah lembah tulang-tulang kering; dan sebagai respons terhadap kesaksian yang terus-terang mengenai keadaan mereka yang mati dan sesat, mereka akan menyedari keperluan untuk hidup sebagai keutamaan yang pertama.</w:t>
      </w:r>
    </w:p>
    <w:p>
      <w:pPr>
        <w:pStyle w:val="ArticleScripture"/>
        <w:jc w:val="left"/>
      </w:pPr>
      <w:r>
        <w:rPr>
          <w:rFonts w:ascii="Times New Roman" w:hAnsi="Times New Roman" w:eastAsia="Times New Roman" w:cs="Times New Roman"/>
        </w:rPr>
        <w:t>“ꞌZin dik tak takna leh Pathian hriatna dik tak inkan zinga thar lehna chu kan mamawh zawng zawng zinga a ropui ber leh a hmanhmawh ber a ni. Hei hi zawng tûrin kan hna hmasa ber a ni ang.” Selected Messages, book 1, 121.</w:t>
      </w:r>
    </w:p>
    <w:p>
      <w:pPr>
        <w:pStyle w:val="ArticleBody"/>
        <w:jc w:val="left"/>
      </w:pPr>
      <w:r>
        <w:rPr>
          <w:rFonts w:ascii="Times New Roman" w:hAnsi="Times New Roman" w:eastAsia="Times New Roman" w:cs="Times New Roman"/>
        </w:rPr>
        <w:t>Tlakiso ya Baebele ke gore mongwe le mongwe yo o batlang, o tla bona, mme Moya o o Boitshepo o tla mo kaela gore a tlhaloganye gore ke dibuka tsa Daniele le Baebele ya Tshenolo tse di tlisang tsosoloso e e tlhokegang.</w:t>
      </w:r>
    </w:p>
    <w:p>
      <w:pPr>
        <w:pStyle w:val="ArticleScripture"/>
        <w:jc w:val="left"/>
      </w:pPr>
      <w:r>
        <w:rPr>
          <w:rFonts w:ascii="Times New Roman" w:hAnsi="Times New Roman" w:eastAsia="Times New Roman" w:cs="Times New Roman"/>
        </w:rPr>
        <w:t>“Apabila kita sebagai suatu umat memahami apa ertinya buku ini bagi kita, suatu kebangunan besar akan kelihatan dalam kalangan kita.” Testimonies to Ministers, 113.</w:t>
      </w:r>
    </w:p>
    <w:p>
      <w:pPr>
        <w:pStyle w:val="ArticleBody"/>
        <w:jc w:val="left"/>
      </w:pPr>
      <w:r>
        <w:rPr>
          <w:rFonts w:ascii="Nirmala UI" w:hAnsi="Nirmala UI" w:eastAsia="Nirmala UI" w:cs="Nirmala UI"/>
        </w:rPr>
        <w:t>পাসলিদানিয়েলের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পরিসমাপ্তি</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অভিজ্ঞতাকে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বিধিবদ্ধ</w:t>
      </w:r>
      <w:r>
        <w:rPr>
          <w:rFonts w:ascii="Times New Roman" w:hAnsi="Times New Roman" w:eastAsia="Times New Roman" w:cs="Times New Roman"/>
        </w:rPr>
        <w:t xml:space="preserve"> </w:t>
      </w:r>
      <w:r>
        <w:rPr>
          <w:rFonts w:ascii="Nirmala UI" w:hAnsi="Nirmala UI" w:eastAsia="Nirmala UI" w:cs="Nirmala UI"/>
        </w:rPr>
        <w:t>প্রজাকে</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পংক্তিতে</w:t>
      </w:r>
      <w:r>
        <w:rPr>
          <w:rFonts w:ascii="Times New Roman" w:hAnsi="Times New Roman" w:eastAsia="Times New Roman" w:cs="Times New Roman"/>
        </w:rPr>
        <w:t xml:space="preserve"> </w:t>
      </w:r>
      <w:r>
        <w:rPr>
          <w:rFonts w:ascii="Nirmala UI" w:hAnsi="Nirmala UI" w:eastAsia="Nirmala UI" w:cs="Nirmala UI"/>
        </w:rPr>
        <w:t>বেল্তশৎসর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বেল্তশৎসররূপে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তেইশ</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অভ্যন্তরীণ</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বহিঃস্থ</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বোঝেন।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chazon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mareh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বোঝেন।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পবিত্রস্থান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বাহিনীর</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পবিত্রস্থান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বাহিনীর</w:t>
      </w:r>
      <w:r>
        <w:rPr>
          <w:rFonts w:ascii="Times New Roman" w:hAnsi="Times New Roman" w:eastAsia="Times New Roman" w:cs="Times New Roman"/>
        </w:rPr>
        <w:t xml:space="preserve"> </w:t>
      </w:r>
      <w:r>
        <w:rPr>
          <w:rFonts w:ascii="Nirmala UI" w:hAnsi="Nirmala UI" w:eastAsia="Nirmala UI" w:cs="Nirmala UI"/>
        </w:rPr>
        <w:t>পুনঃস্থাপন</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বোঝেন।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উলাই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হিদ্দেকেল</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বোঝেন।</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भगवानको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अध्ययनको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प्रकाशलाई</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नभएको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दिइनुपर्छ।</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विषयहरूमा</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भन्नुपर्ने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प्रेरणाद्वारा</w:t>
      </w:r>
      <w:r>
        <w:rPr>
          <w:rFonts w:ascii="Times New Roman" w:hAnsi="Times New Roman" w:eastAsia="Times New Roman" w:cs="Times New Roman"/>
        </w:rPr>
        <w:t xml:space="preserve"> </w:t>
      </w:r>
      <w:r>
        <w:rPr>
          <w:rFonts w:ascii="Nirmala UI" w:hAnsi="Nirmala UI" w:eastAsia="Nirmala UI" w:cs="Nirmala UI"/>
        </w:rPr>
        <w:t>अगमवक्ताहरू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प्रेरितहरूले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लेखेका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त्यसतर्फ</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आकर्षित</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आत्माले</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घटनाहरूमा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कुराहरूलाई</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दृष्टिबाट</w:t>
      </w:r>
      <w:r>
        <w:rPr>
          <w:rFonts w:ascii="Times New Roman" w:hAnsi="Times New Roman" w:eastAsia="Times New Roman" w:cs="Times New Roman"/>
        </w:rPr>
        <w:t xml:space="preserve"> </w:t>
      </w:r>
      <w:r>
        <w:rPr>
          <w:rFonts w:ascii="Nirmala UI" w:hAnsi="Nirmala UI" w:eastAsia="Nirmala UI" w:cs="Nirmala UI"/>
        </w:rPr>
        <w:t>ओझेलमा</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ख्रीष्टमा</w:t>
      </w:r>
      <w:r>
        <w:rPr>
          <w:rFonts w:ascii="Times New Roman" w:hAnsi="Times New Roman" w:eastAsia="Times New Roman" w:cs="Times New Roman"/>
        </w:rPr>
        <w:t xml:space="preserve"> </w:t>
      </w:r>
      <w:r>
        <w:rPr>
          <w:rFonts w:ascii="Nirmala UI" w:hAnsi="Nirmala UI" w:eastAsia="Nirmala UI" w:cs="Nirmala UI"/>
        </w:rPr>
        <w:t>लुकाइयोस्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राज्यहरूको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बुँदाबुँदामा</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राजनेताहरू</w:t>
      </w:r>
      <w:r>
        <w:rPr>
          <w:rFonts w:ascii="Times New Roman" w:hAnsi="Times New Roman" w:eastAsia="Times New Roman" w:cs="Times New Roman"/>
        </w:rPr>
        <w:t xml:space="preserve">, </w:t>
      </w:r>
      <w:r>
        <w:rPr>
          <w:rFonts w:ascii="Nirmala UI" w:hAnsi="Nirmala UI" w:eastAsia="Nirmala UI" w:cs="Nirmala UI"/>
        </w:rPr>
        <w:t>परिषद्हरू</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सेनाहरूलाई</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घमण्डलाई</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महिमालाई</w:t>
      </w:r>
      <w:r>
        <w:rPr>
          <w:rFonts w:ascii="Times New Roman" w:hAnsi="Times New Roman" w:eastAsia="Times New Roman" w:cs="Times New Roman"/>
        </w:rPr>
        <w:t xml:space="preserve"> </w:t>
      </w:r>
      <w:r>
        <w:rPr>
          <w:rFonts w:ascii="Nirmala UI" w:hAnsi="Nirmala UI" w:eastAsia="Nirmala UI" w:cs="Nirmala UI"/>
        </w:rPr>
        <w:t>धुलोमा</w:t>
      </w:r>
      <w:r>
        <w:rPr>
          <w:rFonts w:ascii="Times New Roman" w:hAnsi="Times New Roman" w:eastAsia="Times New Roman" w:cs="Times New Roman"/>
        </w:rPr>
        <w:t xml:space="preserve"> </w:t>
      </w:r>
      <w:r>
        <w:rPr>
          <w:rFonts w:ascii="Nirmala UI" w:hAnsi="Nirmala UI" w:eastAsia="Nirmala UI" w:cs="Nirmala UI"/>
        </w:rPr>
        <w:t>मिलाइदिन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“Krangeng a Daniel a∙gipa seng∙aniara Isoloni man∙gimin ong∙a, aro iara mongsongbate ia bon∙kamgipa salrangna on∙gimin ong∙aha. Ulai aro Hiddekelni chisolo, Shinarni dal∙gipa chibimarango, ua nikgimin katchinikani-rang da chubatsroroenggipa ong∙engaha, aro pilak agansoanirang saljanggija chu∙sokna re∙baenggen.”</w:t>
      </w:r>
    </w:p>
    <w:p>
      <w:pPr>
        <w:pStyle w:val="ArticleScripture"/>
        <w:jc w:val="left"/>
      </w:pPr>
      <w:r>
        <w:rPr>
          <w:rFonts w:ascii="Times New Roman" w:hAnsi="Times New Roman" w:eastAsia="Times New Roman" w:cs="Times New Roman"/>
        </w:rPr>
        <w:t>“Tadua hal ehwal bangsa Yahudi ketika nubuat Daniel diberikan.</w:t>
      </w:r>
    </w:p>
    <w:p>
      <w:pPr>
        <w:pStyle w:val="ArticleScripture"/>
        <w:jc w:val="left"/>
      </w:pPr>
      <w:r>
        <w:rPr>
          <w:rFonts w:ascii="Times New Roman" w:hAnsi="Times New Roman" w:eastAsia="Times New Roman" w:cs="Times New Roman"/>
        </w:rPr>
        <w:t>“Hụn hunnak Bible sim dingin hun tamzaw pe ding hihang. Thu kammal hi a dingin i telh bangin i thei lo. Thuphuan Bu hian a sung a um zilsakna theih dingin ei tungah thupiakna khat neiin a kihong hi. ‘Hih genlawhna thu simpa leh a thu kammalte za a, a sungah kigelh thute zui mite chu an chungah vualzawlna a um,’ tiin Pathianin a puang a, ‘banghang hiam cihleh hun chu nai ta hi.’ Eite mipi khat bangin hih bu in ei adingah bang a cihna nei cih i theih ciangin, ei lakah thakiana lianpi khat kilang ding hi. Hih bu in zilsakna pe thute chu i zong a, i sin ding cih thupiakna ei kipe khin zongin, a zilsakna teng chu kimtak in i thei nailo hi.”</w:t>
      </w:r>
    </w:p>
    <w:p>
      <w:pPr>
        <w:pStyle w:val="ArticleScripture"/>
        <w:jc w:val="left"/>
      </w:pPr>
      <w:r>
        <w:rPr>
          <w:rFonts w:ascii="Times New Roman" w:hAnsi="Times New Roman" w:eastAsia="Times New Roman" w:cs="Times New Roman"/>
        </w:rPr>
        <w:t>“Pada masa lampau para pengajar telah menyatakan bahwa Daniel dan Wahyu adalah kitab-kitab yang termeterai, dan orang banyak telah berpaling daripadanya. Selubung yang oleh misterinya yang tampak telah menahan banyak orang daripada menyingkapkannya, telah disingkirkan oleh tangan Allah sendiri dari bagian-bagian firman-Nya ini. Nama itu sendiri, ‘Wahyu,’ bertentangan dengan pernyataan bahwa kitab itu adalah kitab yang termeterai. ‘Wahyu’ berarti bahwa sesuatu yang penting dinyatakan. Kebenaran-kebenaran dalam kitab ini ditujukan kepada mereka yang hidup pada akhir zaman ini. Kita berdiri dengan selubung yang telah disingkirkan di tempat kudus perkara-perkara suci. Kita tidak boleh berdiri di luarnya. Kita harus masuk, bukan dengan pikiran yang ceroboh dan tidak hormat, bukan dengan langkah yang tergesa-gesa, melainkan dengan hormat dan takut akan Allah. Kita sedang mendekati waktu ketika nubuatan-nubuatan dalam kitab Wahyu akan digenapi….”</w:t>
      </w:r>
    </w:p>
    <w:p>
      <w:pPr>
        <w:pStyle w:val="ArticleScripture"/>
        <w:jc w:val="left"/>
      </w:pPr>
      <w:r>
        <w:rPr>
          <w:rFonts w:ascii="Times New Roman" w:hAnsi="Times New Roman" w:eastAsia="Times New Roman" w:cs="Times New Roman"/>
        </w:rPr>
        <w:t>“Thuma re bile re na le ditaelo tša Modimo le bohlatse bja Jesu Kriste, e lego moya wa boporofeta. Matlapa a bohlokwa a a sa lekanego ka theko a hwetšwa Lentšung la Modimo. Bao ba nyakago Lentšu le ba swanetše go boloka monagano o hlwekile. Le ka mohla ga ba a swanela go ineela kganyogong e gobogilego ge ba eja goba ba e-nwa.</w:t>
      </w:r>
    </w:p>
    <w:p>
      <w:pPr>
        <w:pStyle w:val="ArticleScripture"/>
        <w:jc w:val="left"/>
      </w:pPr>
      <w:r>
        <w:rPr>
          <w:rFonts w:ascii="Times New Roman" w:hAnsi="Times New Roman" w:eastAsia="Times New Roman" w:cs="Times New Roman"/>
        </w:rPr>
        <w:t>“Ba dira jalo, boboko bo tla tlhakatlhakanngwa; ba tla bo ba sa kgone go itshokela kgatelelo ya go epela kwa boteng gore ba lemoge bokao jwa dilo tseo tse di amanang le ditiragalo tsa bofelo tsa hisitori ya lefatshe leno.</w:t>
      </w:r>
    </w:p>
    <w:p>
      <w:pPr>
        <w:pStyle w:val="ArticleScripture"/>
        <w:jc w:val="left"/>
      </w:pPr>
      <w:r>
        <w:rPr>
          <w:rFonts w:ascii="Times New Roman" w:hAnsi="Times New Roman" w:eastAsia="Times New Roman" w:cs="Times New Roman"/>
        </w:rPr>
        <w:t>“Apabila kitab Daniel dan Wahyu lebih difahami dengan lebih baik, orang percaya akan mengalami suatu pengalaman keagamaan yang sama sekali berbeza. Kepada mereka akan diberikan sekilas pandang tentang pintu-pintu syurga yang terbuka, sehingga hati dan fikiran akan terkesan oleh sifat tabiat yang wajib dikembangkan oleh semua orang agar dapat menikmati kebahagiaan yang akan menjadi ganjaran bagi mereka yang suci hatinya.</w:t>
      </w:r>
    </w:p>
    <w:p>
      <w:pPr>
        <w:pStyle w:val="ArticleScripture"/>
        <w:jc w:val="left"/>
      </w:pPr>
      <w:r>
        <w:rPr>
          <w:rFonts w:ascii="Times New Roman" w:hAnsi="Times New Roman" w:eastAsia="Times New Roman" w:cs="Times New Roman"/>
        </w:rPr>
        <w:t>“Tuhan akan memberkati semua orang yang dengan rendah hati dan lemah lembut berusaha memahami apa yang dinyatakan dalam Kitab Wahyu. Kitab ini mengandung begitu banyak hal yang sarat dengan keabadian dan penuh kemuliaan sehingga semua orang yang membacanya dan menyelidikinya dengan sungguh-sungguh menerima berkat bagi mereka yang ‘mendengar perkataan nubuat ini, dan menuruti apa yang tertulis di dalamnya.’”</w:t>
      </w:r>
    </w:p>
    <w:p>
      <w:pPr>
        <w:pStyle w:val="ArticleScripture"/>
        <w:jc w:val="left"/>
      </w:pPr>
      <w:r>
        <w:rPr>
          <w:rFonts w:ascii="Times New Roman" w:hAnsi="Times New Roman" w:eastAsia="Times New Roman" w:cs="Times New Roman"/>
        </w:rPr>
        <w:t>“Sesendru akan pasti difahami daripada kajian Wahyu—bahawa hubungan antara Tuhan dengan umat-Nya adalah rapat dan tegas.</w:t>
      </w:r>
    </w:p>
    <w:p>
      <w:pPr>
        <w:pStyle w:val="ArticleScripture"/>
        <w:jc w:val="left"/>
      </w:pPr>
      <w:r>
        <w:rPr>
          <w:rFonts w:ascii="Times New Roman" w:hAnsi="Times New Roman" w:eastAsia="Times New Roman" w:cs="Times New Roman"/>
        </w:rPr>
        <w:t>“Hubungan yang menakjubkan terlihat antara alam semesta surga dan dunia ini. Hal-hal yang dinyatakan kepada Daniel kemudian dilengkapi oleh penyingkapan yang diberikan kepada Yohanes di Pulau Patmos. Kedua kitab ini harus dipelajari dengan saksama. Dua kali Daniel bertanya, Berapa lamakah lagi sampai pada akhir zaman?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နားထောင်ခဲ့သော်လည်း</w:t>
      </w:r>
      <w:r>
        <w:rPr>
          <w:rFonts w:ascii="Times New Roman" w:hAnsi="Times New Roman" w:eastAsia="Times New Roman" w:cs="Times New Roman"/>
        </w:rPr>
        <w:t xml:space="preserve"> </w:t>
      </w:r>
      <w:r>
        <w:rPr>
          <w:rFonts w:ascii="Myanmar Text" w:hAnsi="Myanmar Text" w:eastAsia="Myanmar Text" w:cs="Myanmar Text"/>
        </w:rPr>
        <w:t>ငါမသိမြင်နိုင်ခဲ့။</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အရှင်တော်၊</w:t>
      </w:r>
      <w:r>
        <w:rPr>
          <w:rFonts w:ascii="Times New Roman" w:hAnsi="Times New Roman" w:eastAsia="Times New Roman" w:cs="Times New Roman"/>
        </w:rPr>
        <w:t xml:space="preserve"> </w:t>
      </w:r>
      <w:r>
        <w:rPr>
          <w:rFonts w:ascii="Myanmar Text" w:hAnsi="Myanmar Text" w:eastAsia="Myanmar Text" w:cs="Myanmar Text"/>
        </w:rPr>
        <w:t>ဤအရာများ၏</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ဖြစ်မည်နည်းဟု</w:t>
      </w:r>
      <w:r>
        <w:rPr>
          <w:rFonts w:ascii="Times New Roman" w:hAnsi="Times New Roman" w:eastAsia="Times New Roman" w:cs="Times New Roman"/>
        </w:rPr>
        <w:t xml:space="preserve"> </w:t>
      </w:r>
      <w:r>
        <w:rPr>
          <w:rFonts w:ascii="Myanmar Text" w:hAnsi="Myanmar Text" w:eastAsia="Myanmar Text" w:cs="Myanmar Text"/>
        </w:rPr>
        <w:t>မေးလျှောက်၏။</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သင်၏လမ်းသို့</w:t>
      </w:r>
      <w:r>
        <w:rPr>
          <w:rFonts w:ascii="Times New Roman" w:hAnsi="Times New Roman" w:eastAsia="Times New Roman" w:cs="Times New Roman"/>
        </w:rPr>
        <w:t xml:space="preserve"> </w:t>
      </w:r>
      <w:r>
        <w:rPr>
          <w:rFonts w:ascii="Myanmar Text" w:hAnsi="Myanmar Text" w:eastAsia="Myanmar Text" w:cs="Myanmar Text"/>
        </w:rPr>
        <w:t>သွားလော့။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ဤစကားများကို</w:t>
      </w:r>
      <w:r>
        <w:rPr>
          <w:rFonts w:ascii="Times New Roman" w:hAnsi="Times New Roman" w:eastAsia="Times New Roman" w:cs="Times New Roman"/>
        </w:rPr>
        <w:t xml:space="preserve"> </w:t>
      </w:r>
      <w:r>
        <w:rPr>
          <w:rFonts w:ascii="Myanmar Text" w:hAnsi="Myanmar Text" w:eastAsia="Myanmar Text" w:cs="Myanmar Text"/>
        </w:rPr>
        <w:t>အဆုံးကာလတိုင်အောင်</w:t>
      </w:r>
      <w:r>
        <w:rPr>
          <w:rFonts w:ascii="Times New Roman" w:hAnsi="Times New Roman" w:eastAsia="Times New Roman" w:cs="Times New Roman"/>
        </w:rPr>
        <w:t xml:space="preserve"> </w:t>
      </w:r>
      <w:r>
        <w:rPr>
          <w:rFonts w:ascii="Myanmar Text" w:hAnsi="Myanmar Text" w:eastAsia="Myanmar Text" w:cs="Myanmar Text"/>
        </w:rPr>
        <w:t>ပိတ်ထား၍</w:t>
      </w:r>
      <w:r>
        <w:rPr>
          <w:rFonts w:ascii="Times New Roman" w:hAnsi="Times New Roman" w:eastAsia="Times New Roman" w:cs="Times New Roman"/>
        </w:rPr>
        <w:t xml:space="preserve"> </w:t>
      </w:r>
      <w:r>
        <w:rPr>
          <w:rFonts w:ascii="Myanmar Text" w:hAnsi="Myanmar Text" w:eastAsia="Myanmar Text" w:cs="Myanmar Text"/>
        </w:rPr>
        <w:t>တံဆိပ်ခတ်ထားရမည်။</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သန့်ရှင်းစင်ကြယ်စေခြင်းကို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ဖြူစင်စေခြင်းကိုလည်း</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စမ်းသပ်ခြင်းကိုလည်း</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ဆိုးယုတ်သောသူတို့သည်</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ပြုကြလိမ့်မည်။</w:t>
      </w:r>
      <w:r>
        <w:rPr>
          <w:rFonts w:ascii="Times New Roman" w:hAnsi="Times New Roman" w:eastAsia="Times New Roman" w:cs="Times New Roman"/>
        </w:rPr>
        <w:t xml:space="preserve"> </w:t>
      </w:r>
      <w:r>
        <w:rPr>
          <w:rFonts w:ascii="Myanmar Text" w:hAnsi="Myanmar Text" w:eastAsia="Myanmar Text" w:cs="Myanmar Text"/>
        </w:rPr>
        <w:t>ဆိုးယုတ်သောသူတစ်ဦးတစ်ယောက်မျှ</w:t>
      </w:r>
      <w:r>
        <w:rPr>
          <w:rFonts w:ascii="Times New Roman" w:hAnsi="Times New Roman" w:eastAsia="Times New Roman" w:cs="Times New Roman"/>
        </w:rPr>
        <w:t xml:space="preserve"> </w:t>
      </w:r>
      <w:r>
        <w:rPr>
          <w:rFonts w:ascii="Myanmar Text" w:hAnsi="Myanmar Text" w:eastAsia="Myanmar Text" w:cs="Myanmar Text"/>
        </w:rPr>
        <w:t>နားလည်ကြမည်မဟုတ်။</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ပညာရှိသောသူတို့သည်</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w:t>
      </w:r>
      <w:r>
        <w:rPr>
          <w:rFonts w:ascii="Myanmar Text" w:hAnsi="Myanmar Text" w:eastAsia="Myanmar Text" w:cs="Myanmar Text"/>
        </w:rPr>
        <w:t>နေ့စဉ်ယဇ်ပူဇော်ခြင်းကို</w:t>
      </w:r>
      <w:r>
        <w:rPr>
          <w:rFonts w:ascii="Times New Roman" w:hAnsi="Times New Roman" w:eastAsia="Times New Roman" w:cs="Times New Roman"/>
        </w:rPr>
        <w:t xml:space="preserve"> </w:t>
      </w:r>
      <w:r>
        <w:rPr>
          <w:rFonts w:ascii="Myanmar Text" w:hAnsi="Myanmar Text" w:eastAsia="Myanmar Text" w:cs="Myanmar Text"/>
        </w:rPr>
        <w:t>ဖယ်ရှားယူသွားသောအချိန်မှစ၍၊</w:t>
      </w:r>
      <w:r>
        <w:rPr>
          <w:rFonts w:ascii="Times New Roman" w:hAnsi="Times New Roman" w:eastAsia="Times New Roman" w:cs="Times New Roman"/>
        </w:rPr>
        <w:t xml:space="preserve"> </w:t>
      </w:r>
      <w:r>
        <w:rPr>
          <w:rFonts w:ascii="Myanmar Text" w:hAnsi="Myanmar Text" w:eastAsia="Myanmar Text" w:cs="Myanmar Text"/>
        </w:rPr>
        <w:t>ပျက်စီးခြင်းကို</w:t>
      </w:r>
      <w:r>
        <w:rPr>
          <w:rFonts w:ascii="Times New Roman" w:hAnsi="Times New Roman" w:eastAsia="Times New Roman" w:cs="Times New Roman"/>
        </w:rPr>
        <w:t xml:space="preserve"> </w:t>
      </w:r>
      <w:r>
        <w:rPr>
          <w:rFonts w:ascii="Myanmar Text" w:hAnsi="Myanmar Text" w:eastAsia="Myanmar Text" w:cs="Myanmar Text"/>
        </w:rPr>
        <w:t>ဖြစ်စေသော</w:t>
      </w:r>
      <w:r>
        <w:rPr>
          <w:rFonts w:ascii="Times New Roman" w:hAnsi="Times New Roman" w:eastAsia="Times New Roman" w:cs="Times New Roman"/>
        </w:rPr>
        <w:t xml:space="preserve"> </w:t>
      </w:r>
      <w:r>
        <w:rPr>
          <w:rFonts w:ascii="Myanmar Text" w:hAnsi="Myanmar Text" w:eastAsia="Myanmar Text" w:cs="Myanmar Text"/>
        </w:rPr>
        <w:t>ရွံရှာဖွယ်အရာကို</w:t>
      </w:r>
      <w:r>
        <w:rPr>
          <w:rFonts w:ascii="Times New Roman" w:hAnsi="Times New Roman" w:eastAsia="Times New Roman" w:cs="Times New Roman"/>
        </w:rPr>
        <w:t xml:space="preserve"> </w:t>
      </w:r>
      <w:r>
        <w:rPr>
          <w:rFonts w:ascii="Myanmar Text" w:hAnsi="Myanmar Text" w:eastAsia="Myanmar Text" w:cs="Myanmar Text"/>
        </w:rPr>
        <w:t>တည်ထားသောအချိန်တိုင်အောင်၊</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တစ်ထောင်နှစ်ရာကိုးဆယ်</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စောင့်မျှော်၍</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တစ်ထောင်သုံးရာသုံးဆယ့်ငါး</w:t>
      </w:r>
      <w:r>
        <w:rPr>
          <w:rFonts w:ascii="Times New Roman" w:hAnsi="Times New Roman" w:eastAsia="Times New Roman" w:cs="Times New Roman"/>
        </w:rPr>
        <w:t xml:space="preserve"> </w:t>
      </w:r>
      <w:r>
        <w:rPr>
          <w:rFonts w:ascii="Myanmar Text" w:hAnsi="Myanmar Text" w:eastAsia="Myanmar Text" w:cs="Myanmar Text"/>
        </w:rPr>
        <w:t>ရောက်လာသောသူသည်</w:t>
      </w:r>
      <w:r>
        <w:rPr>
          <w:rFonts w:ascii="Times New Roman" w:hAnsi="Times New Roman" w:eastAsia="Times New Roman" w:cs="Times New Roman"/>
        </w:rPr>
        <w:t xml:space="preserve"> </w:t>
      </w:r>
      <w:r>
        <w:rPr>
          <w:rFonts w:ascii="Myanmar Text" w:hAnsi="Myanmar Text" w:eastAsia="Myanmar Text" w:cs="Myanmar Text"/>
        </w:rPr>
        <w:t>မင်္ဂလာရှိ၏။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w:t>
      </w:r>
      <w:r>
        <w:rPr>
          <w:rFonts w:ascii="Myanmar Text" w:hAnsi="Myanmar Text" w:eastAsia="Myanmar Text" w:cs="Myanmar Text"/>
        </w:rPr>
        <w:t>သင်၏လမ်းကို</w:t>
      </w:r>
      <w:r>
        <w:rPr>
          <w:rFonts w:ascii="Times New Roman" w:hAnsi="Times New Roman" w:eastAsia="Times New Roman" w:cs="Times New Roman"/>
        </w:rPr>
        <w:t xml:space="preserve"> </w:t>
      </w:r>
      <w:r>
        <w:rPr>
          <w:rFonts w:ascii="Myanmar Text" w:hAnsi="Myanmar Text" w:eastAsia="Myanmar Text" w:cs="Myanmar Text"/>
        </w:rPr>
        <w:t>သွားလော့။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အနားယူရလိမ့်မည်။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ရက်များ၏အဆုံး၌</w:t>
      </w:r>
      <w:r>
        <w:rPr>
          <w:rFonts w:ascii="Times New Roman" w:hAnsi="Times New Roman" w:eastAsia="Times New Roman" w:cs="Times New Roman"/>
        </w:rPr>
        <w:t xml:space="preserve"> </w:t>
      </w:r>
      <w:r>
        <w:rPr>
          <w:rFonts w:ascii="Myanmar Text" w:hAnsi="Myanmar Text" w:eastAsia="Myanmar Text" w:cs="Myanmar Text"/>
        </w:rPr>
        <w:t>သင်၏အမွေဝေစု၌</w:t>
      </w:r>
      <w:r>
        <w:rPr>
          <w:rFonts w:ascii="Times New Roman" w:hAnsi="Times New Roman" w:eastAsia="Times New Roman" w:cs="Times New Roman"/>
        </w:rPr>
        <w:t xml:space="preserve"> </w:t>
      </w:r>
      <w:r>
        <w:rPr>
          <w:rFonts w:ascii="Myanmar Text" w:hAnsi="Myanmar Text" w:eastAsia="Myanmar Text" w:cs="Myanmar Text"/>
        </w:rPr>
        <w:t>ရပ်တည်ရလိမ့်မည်။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পুস্তকটি</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দিনগুলোতে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যোহনকে</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করলেন।</w:t>
      </w:r>
    </w:p>
    <w:p>
      <w:pPr>
        <w:pStyle w:val="ArticleScripture"/>
        <w:jc w:val="left"/>
      </w:pPr>
      <w:r>
        <w:rPr>
          <w:rFonts w:ascii="Times New Roman" w:hAnsi="Times New Roman" w:eastAsia="Times New Roman" w:cs="Times New Roman"/>
        </w:rPr>
        <w:t>“Daniel berdiri dalam bahagiannya untuk menyampaikan kesaksiannya yang dimeteraikan sampai pada waktu kesudahan, ketika pekabaran malaikat yang pertama harus diberitakan kepada dunia kita. Perkara-perkara ini sangat penting dalam hari-hari terakhir ini; tetapi sementara ‘banyak orang akan disucikan, dan dibuat putih, dan diuji,’ ‘orang-orang fasik akan berbuat fasik: dan tidak seorang pun dari orang fasik itu akan memahaminya.’ Betapa benarnya hal ini! Dosa adalah pelanggaran terhadap hukum Allah; dan mereka yang tidak mau menerima terang mengenai hukum Allah tidak akan memahami pemberitaan pekabaran malaikat yang pertama, kedua, dan ketiga. Kitab Daniel dibuka meterainya dalam wahyu kepada Yohanes, dan membawa kita maju kepada adegan-adegan terakhir dari sejarah bumi ini.</w:t>
      </w:r>
    </w:p>
    <w:p>
      <w:pPr>
        <w:pStyle w:val="ArticleScripture"/>
        <w:jc w:val="left"/>
      </w:pPr>
      <w:r>
        <w:rPr>
          <w:rFonts w:ascii="Times New Roman" w:hAnsi="Times New Roman" w:eastAsia="Times New Roman" w:cs="Times New Roman"/>
        </w:rPr>
        <w:t>“Гьанив бугеб нижер вацаласда ракӀалде щвезе бугебищ, ниж ругелал ахириял къоязул хӀинкъиябщиназда гьоркьор? Даниилгун цадахъ Откровение цалъа. Гьелал жал рехсей.”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 Osianda na Mituano na Motoba</dc:title>
  <dc:subject>Mengungkap Penglihatan Terakhir Daniel: Perspektif Millerit tentang Kebenaran-Kebenaran Nubuatan bagi Masa Kini</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