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Lima Puluh Lapan</w:t>
      </w:r>
    </w:p>
    <w:p>
      <w:pPr>
        <w:pStyle w:val="ArticleSubtitle"/>
        <w:jc w:val="left"/>
      </w:pPr>
      <w:r>
        <w:rPr>
          <w:rFonts w:ascii="Arial" w:hAnsi="Arial" w:eastAsia="Arial" w:cs="Arial"/>
        </w:rPr>
        <w:t>Membuka Penglihatan: Memahami Hari-hari Perkabungan dalam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Malgun Gothic" w:hAnsi="Malgun Gothic" w:eastAsia="Malgun Gothic" w:cs="Malgun Gothic"/>
        </w:rPr>
        <w:t>디엘</w:t>
      </w:r>
      <w:r>
        <w:rPr>
          <w:rFonts w:ascii="Times New Roman" w:hAnsi="Times New Roman" w:eastAsia="Times New Roman" w:cs="Times New Roman"/>
        </w:rPr>
        <w:t xml:space="preserve"> 10</w:t>
      </w:r>
      <w:r>
        <w:rPr>
          <w:rFonts w:ascii="Malgun Gothic" w:hAnsi="Malgun Gothic" w:eastAsia="Malgun Gothic" w:cs="Malgun Gothic"/>
        </w:rPr>
        <w:t>장</w:t>
      </w:r>
      <w:r>
        <w:rPr>
          <w:rFonts w:ascii="Times New Roman" w:hAnsi="Times New Roman" w:eastAsia="Times New Roman" w:cs="Times New Roman"/>
        </w:rPr>
        <w:t xml:space="preserve"> 1–4</w:t>
      </w:r>
      <w:r>
        <w:rPr>
          <w:rFonts w:ascii="Malgun Gothic" w:hAnsi="Malgun Gothic" w:eastAsia="Malgun Gothic" w:cs="Malgun Gothic"/>
        </w:rPr>
        <w:t>절</w:t>
      </w:r>
      <w:r>
        <w:rPr>
          <w:rFonts w:ascii="Times New Roman" w:hAnsi="Times New Roman" w:eastAsia="Times New Roman" w:cs="Times New Roman"/>
        </w:rPr>
        <w:t xml:space="preserve"> </w:t>
      </w:r>
      <w:r>
        <w:rPr>
          <w:rFonts w:ascii="Malgun Gothic" w:hAnsi="Malgun Gothic" w:eastAsia="Malgun Gothic" w:cs="Malgun Gothic"/>
        </w:rPr>
        <w:t>바사</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고레스</w:t>
      </w:r>
      <w:r>
        <w:rPr>
          <w:rFonts w:ascii="Times New Roman" w:hAnsi="Times New Roman" w:eastAsia="Times New Roman" w:cs="Times New Roman"/>
        </w:rPr>
        <w:t xml:space="preserve"> </w:t>
      </w:r>
      <w:r>
        <w:rPr>
          <w:rFonts w:ascii="Malgun Gothic" w:hAnsi="Malgun Gothic" w:eastAsia="Malgun Gothic" w:cs="Malgun Gothic"/>
        </w:rPr>
        <w:t>제삼년에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다니엘에게</w:t>
      </w:r>
      <w:r>
        <w:rPr>
          <w:rFonts w:ascii="Times New Roman" w:hAnsi="Times New Roman" w:eastAsia="Times New Roman" w:cs="Times New Roman"/>
        </w:rPr>
        <w:t xml:space="preserve"> </w:t>
      </w:r>
      <w:r>
        <w:rPr>
          <w:rFonts w:ascii="Malgun Gothic" w:hAnsi="Malgun Gothic" w:eastAsia="Malgun Gothic" w:cs="Malgun Gothic"/>
        </w:rPr>
        <w:t>나타났으니</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이름은</w:t>
      </w:r>
      <w:r>
        <w:rPr>
          <w:rFonts w:ascii="Times New Roman" w:hAnsi="Times New Roman" w:eastAsia="Times New Roman" w:cs="Times New Roman"/>
        </w:rPr>
        <w:t xml:space="preserve"> </w:t>
      </w:r>
      <w:r>
        <w:rPr>
          <w:rFonts w:ascii="Malgun Gothic" w:hAnsi="Malgun Gothic" w:eastAsia="Malgun Gothic" w:cs="Malgun Gothic"/>
        </w:rPr>
        <w:t>벨드사살이라</w:t>
      </w:r>
      <w:r>
        <w:rPr>
          <w:rFonts w:ascii="Times New Roman" w:hAnsi="Times New Roman" w:eastAsia="Times New Roman" w:cs="Times New Roman"/>
        </w:rPr>
        <w:t xml:space="preserve"> </w:t>
      </w:r>
      <w:r>
        <w:rPr>
          <w:rFonts w:ascii="Malgun Gothic" w:hAnsi="Malgun Gothic" w:eastAsia="Malgun Gothic" w:cs="Malgun Gothic"/>
        </w:rPr>
        <w:t>하였더라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참되나</w:t>
      </w:r>
      <w:r>
        <w:rPr>
          <w:rFonts w:ascii="Times New Roman" w:hAnsi="Times New Roman" w:eastAsia="Times New Roman" w:cs="Times New Roman"/>
        </w:rPr>
        <w:t xml:space="preserve"> </w:t>
      </w:r>
      <w:r>
        <w:rPr>
          <w:rFonts w:ascii="Malgun Gothic" w:hAnsi="Malgun Gothic" w:eastAsia="Malgun Gothic" w:cs="Malgun Gothic"/>
        </w:rPr>
        <w:t>정한</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오래였고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깨달았으며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이해하였더라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이레</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슬퍼하였노라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좋은</w:t>
      </w:r>
      <w:r>
        <w:rPr>
          <w:rFonts w:ascii="Times New Roman" w:hAnsi="Times New Roman" w:eastAsia="Times New Roman" w:cs="Times New Roman"/>
        </w:rPr>
        <w:t xml:space="preserve"> </w:t>
      </w:r>
      <w:r>
        <w:rPr>
          <w:rFonts w:ascii="Malgun Gothic" w:hAnsi="Malgun Gothic" w:eastAsia="Malgun Gothic" w:cs="Malgun Gothic"/>
        </w:rPr>
        <w:t>떡을</w:t>
      </w:r>
      <w:r>
        <w:rPr>
          <w:rFonts w:ascii="Times New Roman" w:hAnsi="Times New Roman" w:eastAsia="Times New Roman" w:cs="Times New Roman"/>
        </w:rPr>
        <w:t xml:space="preserve"> </w:t>
      </w:r>
      <w:r>
        <w:rPr>
          <w:rFonts w:ascii="Malgun Gothic" w:hAnsi="Malgun Gothic" w:eastAsia="Malgun Gothic" w:cs="Malgun Gothic"/>
        </w:rPr>
        <w:t>먹지</w:t>
      </w:r>
      <w:r>
        <w:rPr>
          <w:rFonts w:ascii="Times New Roman" w:hAnsi="Times New Roman" w:eastAsia="Times New Roman" w:cs="Times New Roman"/>
        </w:rPr>
        <w:t xml:space="preserve"> </w:t>
      </w:r>
      <w:r>
        <w:rPr>
          <w:rFonts w:ascii="Malgun Gothic" w:hAnsi="Malgun Gothic" w:eastAsia="Malgun Gothic" w:cs="Malgun Gothic"/>
        </w:rPr>
        <w:t>아니하였고</w:t>
      </w:r>
      <w:r>
        <w:rPr>
          <w:rFonts w:ascii="Times New Roman" w:hAnsi="Times New Roman" w:eastAsia="Times New Roman" w:cs="Times New Roman"/>
        </w:rPr>
        <w:t xml:space="preserve">, </w:t>
      </w:r>
      <w:r>
        <w:rPr>
          <w:rFonts w:ascii="Malgun Gothic" w:hAnsi="Malgun Gothic" w:eastAsia="Malgun Gothic" w:cs="Malgun Gothic"/>
        </w:rPr>
        <w:t>고기와</w:t>
      </w:r>
      <w:r>
        <w:rPr>
          <w:rFonts w:ascii="Times New Roman" w:hAnsi="Times New Roman" w:eastAsia="Times New Roman" w:cs="Times New Roman"/>
        </w:rPr>
        <w:t xml:space="preserve"> </w:t>
      </w:r>
      <w:r>
        <w:rPr>
          <w:rFonts w:ascii="Malgun Gothic" w:hAnsi="Malgun Gothic" w:eastAsia="Malgun Gothic" w:cs="Malgun Gothic"/>
        </w:rPr>
        <w:t>포도주도</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입에</w:t>
      </w:r>
      <w:r>
        <w:rPr>
          <w:rFonts w:ascii="Times New Roman" w:hAnsi="Times New Roman" w:eastAsia="Times New Roman" w:cs="Times New Roman"/>
        </w:rPr>
        <w:t xml:space="preserve"> </w:t>
      </w:r>
      <w:r>
        <w:rPr>
          <w:rFonts w:ascii="Malgun Gothic" w:hAnsi="Malgun Gothic" w:eastAsia="Malgun Gothic" w:cs="Malgun Gothic"/>
        </w:rPr>
        <w:t>들어가지</w:t>
      </w:r>
      <w:r>
        <w:rPr>
          <w:rFonts w:ascii="Times New Roman" w:hAnsi="Times New Roman" w:eastAsia="Times New Roman" w:cs="Times New Roman"/>
        </w:rPr>
        <w:t xml:space="preserve"> </w:t>
      </w:r>
      <w:r>
        <w:rPr>
          <w:rFonts w:ascii="Malgun Gothic" w:hAnsi="Malgun Gothic" w:eastAsia="Malgun Gothic" w:cs="Malgun Gothic"/>
        </w:rPr>
        <w:t>아니하였으며</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이레가</w:t>
      </w:r>
      <w:r>
        <w:rPr>
          <w:rFonts w:ascii="Times New Roman" w:hAnsi="Times New Roman" w:eastAsia="Times New Roman" w:cs="Times New Roman"/>
        </w:rPr>
        <w:t xml:space="preserve"> </w:t>
      </w:r>
      <w:r>
        <w:rPr>
          <w:rFonts w:ascii="Malgun Gothic" w:hAnsi="Malgun Gothic" w:eastAsia="Malgun Gothic" w:cs="Malgun Gothic"/>
        </w:rPr>
        <w:t>차기까지</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기름을</w:t>
      </w:r>
      <w:r>
        <w:rPr>
          <w:rFonts w:ascii="Times New Roman" w:hAnsi="Times New Roman" w:eastAsia="Times New Roman" w:cs="Times New Roman"/>
        </w:rPr>
        <w:t xml:space="preserve"> </w:t>
      </w:r>
      <w:r>
        <w:rPr>
          <w:rFonts w:ascii="Malgun Gothic" w:hAnsi="Malgun Gothic" w:eastAsia="Malgun Gothic" w:cs="Malgun Gothic"/>
        </w:rPr>
        <w:t>바르지</w:t>
      </w:r>
      <w:r>
        <w:rPr>
          <w:rFonts w:ascii="Times New Roman" w:hAnsi="Times New Roman" w:eastAsia="Times New Roman" w:cs="Times New Roman"/>
        </w:rPr>
        <w:t xml:space="preserve"> </w:t>
      </w:r>
      <w:r>
        <w:rPr>
          <w:rFonts w:ascii="Malgun Gothic" w:hAnsi="Malgun Gothic" w:eastAsia="Malgun Gothic" w:cs="Malgun Gothic"/>
        </w:rPr>
        <w:t>아니하였노라</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이십사일에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힛데겔이라</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강가에</w:t>
      </w:r>
      <w:r>
        <w:rPr>
          <w:rFonts w:ascii="Times New Roman" w:hAnsi="Times New Roman" w:eastAsia="Times New Roman" w:cs="Times New Roman"/>
        </w:rPr>
        <w:t xml:space="preserve"> </w:t>
      </w:r>
      <w:r>
        <w:rPr>
          <w:rFonts w:ascii="Malgun Gothic" w:hAnsi="Malgun Gothic" w:eastAsia="Malgun Gothic" w:cs="Malgun Gothic"/>
        </w:rPr>
        <w:t>있었느니라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Kgweding ya seswantšhetšo ya matšatši a mararo le seripa ya Kutollo kgaolo ya lesome le tee, ge dihlatse tše pedi di hwile mo mokgotheng, “selo” se utollwa go Belteshazara. Pele ga moo o be a šetše a kwešišitše “pono” (mareh), gobane kgaolong ya senyane, Gabriele o be a šetše a tlile gomme a mo fa kwešišo ya pono.</w:t>
      </w:r>
    </w:p>
    <w:p>
      <w:pPr>
        <w:pStyle w:val="ArticleScripture"/>
        <w:jc w:val="left"/>
      </w:pPr>
      <w:r>
        <w:rPr>
          <w:rFonts w:ascii="Times New Roman" w:hAnsi="Times New Roman" w:eastAsia="Times New Roman" w:cs="Times New Roman"/>
        </w:rPr>
        <w:t>Sungguh, ketika aku sedang berkata-kata dalam doa, bahkan malaikat Gabriel, yang telah kulihat dalam penglihatan pada mulanya itu, datang terbang dengan cepat menyentuh aku kira-kira pada waktu persembahan korban petang. Lalu ia memberi pengertian kepadaku, berbicara kepadaku, dan berkata, “Hai Daniel, sekarang aku datang untuk memberikan kepadamu kebijaksanaan dan pengertian. Pada permulaan permohonanmu itu keluarlah firman, dan aku datang untuk memberitahukannya kepadamu; sebab engkau sangat dikasihi. Oleh sebab itu, pahamilah perkara itu dan perhatikanlah penglihatan itu.” Daniel 9:21–23.</w:t>
      </w:r>
    </w:p>
    <w:p>
      <w:pPr>
        <w:pStyle w:val="ArticleBody"/>
        <w:jc w:val="left"/>
      </w:pPr>
      <w:r>
        <w:rPr>
          <w:rFonts w:ascii="Times New Roman" w:hAnsi="Times New Roman" w:eastAsia="Times New Roman" w:cs="Times New Roman"/>
        </w:rPr>
        <w:t>“</w:t>
      </w:r>
      <w:r>
        <w:rPr>
          <w:rFonts w:ascii="Nirmala UI" w:hAnsi="Nirmala UI" w:eastAsia="Nirmala UI" w:cs="Nirmala UI"/>
        </w:rPr>
        <w:t>மனிதனாகிய</w:t>
      </w:r>
      <w:r>
        <w:rPr>
          <w:rFonts w:ascii="Times New Roman" w:hAnsi="Times New Roman" w:eastAsia="Times New Roman" w:cs="Times New Roman"/>
        </w:rPr>
        <w:t xml:space="preserve"> </w:t>
      </w:r>
      <w:r>
        <w:rPr>
          <w:rFonts w:ascii="Nirmala UI" w:hAnsi="Nirmala UI" w:eastAsia="Nirmala UI" w:cs="Nirmala UI"/>
        </w:rPr>
        <w:t>கபிரியேல்</w:t>
      </w:r>
      <w:r>
        <w:rPr>
          <w:rFonts w:ascii="Times New Roman" w:hAnsi="Times New Roman" w:eastAsia="Times New Roman" w:cs="Times New Roman"/>
        </w:rPr>
        <w:t xml:space="preserve">, whom”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ஆரம்பத்திலிருந்த</w:t>
      </w:r>
      <w:r>
        <w:rPr>
          <w:rFonts w:ascii="Times New Roman" w:hAnsi="Times New Roman" w:eastAsia="Times New Roman" w:cs="Times New Roman"/>
        </w:rPr>
        <w:t xml:space="preserve"> </w:t>
      </w:r>
      <w:r>
        <w:rPr>
          <w:rFonts w:ascii="Nirmala UI" w:hAnsi="Nirmala UI" w:eastAsia="Nirmala UI" w:cs="Nirmala UI"/>
        </w:rPr>
        <w:t>தரிசனத்தில்</w:t>
      </w:r>
      <w:r>
        <w:rPr>
          <w:rFonts w:ascii="Times New Roman" w:hAnsi="Times New Roman" w:eastAsia="Times New Roman" w:cs="Times New Roman"/>
        </w:rPr>
        <w:t xml:space="preserve"> </w:t>
      </w:r>
      <w:r>
        <w:rPr>
          <w:rFonts w:ascii="Nirmala UI" w:hAnsi="Nirmala UI" w:eastAsia="Nirmala UI" w:cs="Nirmala UI"/>
        </w:rPr>
        <w:t>கண்டிருந்தான்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“chazon,” </w:t>
      </w:r>
      <w:r>
        <w:rPr>
          <w:rFonts w:ascii="Nirmala UI" w:hAnsi="Nirmala UI" w:eastAsia="Nirmala UI" w:cs="Nirmala UI"/>
        </w:rPr>
        <w:t>எனப்படும்</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தரிசனத்தைக்</w:t>
      </w:r>
      <w:r>
        <w:rPr>
          <w:rFonts w:ascii="Times New Roman" w:hAnsi="Times New Roman" w:eastAsia="Times New Roman" w:cs="Times New Roman"/>
        </w:rPr>
        <w:t xml:space="preserve"> </w:t>
      </w:r>
      <w:r>
        <w:rPr>
          <w:rFonts w:ascii="Nirmala UI" w:hAnsi="Nirmala UI" w:eastAsia="Nirmala UI" w:cs="Nirmala UI"/>
        </w:rPr>
        <w:t>குறிப்பதாகும்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எட்டாம்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ராஜ்யங்கள்</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தரிசனத்தை</w:t>
      </w:r>
      <w:r>
        <w:rPr>
          <w:rFonts w:ascii="Times New Roman" w:hAnsi="Times New Roman" w:eastAsia="Times New Roman" w:cs="Times New Roman"/>
        </w:rPr>
        <w:t xml:space="preserve"> </w:t>
      </w:r>
      <w:r>
        <w:rPr>
          <w:rFonts w:ascii="Nirmala UI" w:hAnsi="Nirmala UI" w:eastAsia="Nirmala UI" w:cs="Nirmala UI"/>
        </w:rPr>
        <w:t>கபிரியேல்</w:t>
      </w:r>
      <w:r>
        <w:rPr>
          <w:rFonts w:ascii="Times New Roman" w:hAnsi="Times New Roman" w:eastAsia="Times New Roman" w:cs="Times New Roman"/>
        </w:rPr>
        <w:t xml:space="preserve"> </w:t>
      </w:r>
      <w:r>
        <w:rPr>
          <w:rFonts w:ascii="Nirmala UI" w:hAnsi="Nirmala UI" w:eastAsia="Nirmala UI" w:cs="Nirmala UI"/>
        </w:rPr>
        <w:t>தானியேலுக்காக</w:t>
      </w:r>
      <w:r>
        <w:rPr>
          <w:rFonts w:ascii="Times New Roman" w:hAnsi="Times New Roman" w:eastAsia="Times New Roman" w:cs="Times New Roman"/>
        </w:rPr>
        <w:t xml:space="preserve"> </w:t>
      </w:r>
      <w:r>
        <w:rPr>
          <w:rFonts w:ascii="Nirmala UI" w:hAnsi="Nirmala UI" w:eastAsia="Nirmala UI" w:cs="Nirmala UI"/>
        </w:rPr>
        <w:t>விளக்கிக்</w:t>
      </w:r>
      <w:r>
        <w:rPr>
          <w:rFonts w:ascii="Times New Roman" w:hAnsi="Times New Roman" w:eastAsia="Times New Roman" w:cs="Times New Roman"/>
        </w:rPr>
        <w:t xml:space="preserve"> </w:t>
      </w:r>
      <w:r>
        <w:rPr>
          <w:rFonts w:ascii="Nirmala UI" w:hAnsi="Nirmala UI" w:eastAsia="Nirmala UI" w:cs="Nirmala UI"/>
        </w:rPr>
        <w:t>கூறியதைக்</w:t>
      </w:r>
      <w:r>
        <w:rPr>
          <w:rFonts w:ascii="Times New Roman" w:hAnsi="Times New Roman" w:eastAsia="Times New Roman" w:cs="Times New Roman"/>
        </w:rPr>
        <w:t xml:space="preserve"> </w:t>
      </w:r>
      <w:r>
        <w:rPr>
          <w:rFonts w:ascii="Nirmala UI" w:hAnsi="Nirmala UI" w:eastAsia="Nirmala UI" w:cs="Nirmala UI"/>
        </w:rPr>
        <w:t>குறித்தது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ஒன்பதாம்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கவனிக்க</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“mareh,”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தோற்றத்தின்</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கபிரியேல்</w:t>
      </w:r>
      <w:r>
        <w:rPr>
          <w:rFonts w:ascii="Times New Roman" w:hAnsi="Times New Roman" w:eastAsia="Times New Roman" w:cs="Times New Roman"/>
        </w:rPr>
        <w:t xml:space="preserve">, </w:t>
      </w:r>
      <w:r>
        <w:rPr>
          <w:rFonts w:ascii="Nirmala UI" w:hAnsi="Nirmala UI" w:eastAsia="Nirmala UI" w:cs="Nirmala UI"/>
        </w:rPr>
        <w:t>இரண்டாயிரத்து</w:t>
      </w:r>
      <w:r>
        <w:rPr>
          <w:rFonts w:ascii="Times New Roman" w:hAnsi="Times New Roman" w:eastAsia="Times New Roman" w:cs="Times New Roman"/>
        </w:rPr>
        <w:t xml:space="preserve"> </w:t>
      </w:r>
      <w:r>
        <w:rPr>
          <w:rFonts w:ascii="Nirmala UI" w:hAnsi="Nirmala UI" w:eastAsia="Nirmala UI" w:cs="Nirmala UI"/>
        </w:rPr>
        <w:t>முன்னூறு</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வரலாற்றுப்</w:t>
      </w:r>
      <w:r>
        <w:rPr>
          <w:rFonts w:ascii="Times New Roman" w:hAnsi="Times New Roman" w:eastAsia="Times New Roman" w:cs="Times New Roman"/>
        </w:rPr>
        <w:t xml:space="preserve"> </w:t>
      </w:r>
      <w:r>
        <w:rPr>
          <w:rFonts w:ascii="Nirmala UI" w:hAnsi="Nirmala UI" w:eastAsia="Nirmala UI" w:cs="Nirmala UI"/>
        </w:rPr>
        <w:t>பகுப்பை</w:t>
      </w:r>
      <w:r>
        <w:rPr>
          <w:rFonts w:ascii="Times New Roman" w:hAnsi="Times New Roman" w:eastAsia="Times New Roman" w:cs="Times New Roman"/>
        </w:rPr>
        <w:t xml:space="preserve"> </w:t>
      </w:r>
      <w:r>
        <w:rPr>
          <w:rFonts w:ascii="Nirmala UI" w:hAnsi="Nirmala UI" w:eastAsia="Nirmala UI" w:cs="Nirmala UI"/>
        </w:rPr>
        <w:t>தானியேலுக்குக்</w:t>
      </w:r>
      <w:r>
        <w:rPr>
          <w:rFonts w:ascii="Times New Roman" w:hAnsi="Times New Roman" w:eastAsia="Times New Roman" w:cs="Times New Roman"/>
        </w:rPr>
        <w:t xml:space="preserve"> </w:t>
      </w:r>
      <w:r>
        <w:rPr>
          <w:rFonts w:ascii="Nirmala UI" w:hAnsi="Nirmala UI" w:eastAsia="Nirmala UI" w:cs="Nirmala UI"/>
        </w:rPr>
        <w:t>கொடுக்கிறார்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Kgaolo ya borobongwe e ile ya phethagatšwa ngwageng wa pele wa Dario. Ge Belteshazara a bolela gore o “be a kwešiša pono” ka “ngwaga wa boraro wa Korese,” o be a kwešišitše pono ya “mareh” ka nywaga e mebedi. Seo Belteshazara a ilego a kwešiša ka “mehleng yeo” ya go lla e be e le “selo,” e lego lentšu la Seheberu “dabar,” gomme se be se le se telele, gobane nako yeo e beilwego e be e le nywaga e dikete tše pedi, makgolo a mahlano le masomepedi.</w:t>
      </w:r>
    </w:p>
    <w:p>
      <w:pPr>
        <w:pStyle w:val="ArticleBody"/>
        <w:jc w:val="left"/>
      </w:pPr>
      <w:r>
        <w:rPr>
          <w:rFonts w:ascii="Times New Roman" w:hAnsi="Times New Roman" w:eastAsia="Times New Roman" w:cs="Times New Roman"/>
        </w:rPr>
        <w:t>Daniel sudah pun memahami sebahagian daripada “perkara” itu, kerana dalam fasal sembilan dia sedang melaksanakan doa Imamat dua puluh enam, dan itulah doa bagi “perkara” itu. Terdapat pertambahan terang mengenai “tujuh masa” yang difahami oleh Belteshazzar sepanjang dua puluh satu hari perkabungan itu, dan pertambahan terang mengenai “tujuh masa” pada hari-hari perkabungan tersebut melambangkan pertambahan terang mengenai “tujuh masa” pada tahun 1856. Kaum Millerite juga sebelumnya telah mengetahui tentang “tujuh masa,” kerana mereka telah memberitakannya, tetapi terdapat terang tambahan yang akan menguji mereka tepat pada titik dalam sejarah mereka ketika mereka beralih daripada pergerakan Filadelfia kepada pergerakan Laodikia.</w:t>
      </w:r>
    </w:p>
    <w:p>
      <w:pPr>
        <w:pStyle w:val="ArticleBody"/>
        <w:jc w:val="left"/>
      </w:pPr>
      <w:r>
        <w:rPr>
          <w:rFonts w:ascii="Times New Roman" w:hAnsi="Times New Roman" w:eastAsia="Times New Roman" w:cs="Times New Roman"/>
        </w:rPr>
        <w:t>Amalanga a Belteshazzar a fana ka tshwantshetso ya histori ya boporofeta ya nako eo mokgatlho wa Filadelfia o neng wa fetela mo mokgatlhong wa Laodisea ka 1856, mme morago wa fetela mo kerekeng ya Adventist ya Laodisea ka 1863. Histori ya ga Belteshazzar le ya Bamillerite ya lesedi le le oketsegileng malebana le “dinako tse supa,” e tsamaisana le phetogo ya mokgatlho wa Laodisea wa moengele wa boraro go ya mo mokgatlhong wa Filadelfia wa ba lekgolo le masome a manè a metso e mene a dikete, le mo malatsing a khutsafalo, e leng mo nakong ya go diega, fa lesedi le le oketsegileng malebana le “dinako tse supa,” le ne le tshwanetse go senolwa.</w:t>
      </w:r>
    </w:p>
    <w:p>
      <w:pPr>
        <w:pStyle w:val="ArticleBody"/>
        <w:jc w:val="left"/>
      </w:pPr>
      <w:r>
        <w:rPr>
          <w:rFonts w:ascii="Times New Roman" w:hAnsi="Times New Roman" w:eastAsia="Times New Roman" w:cs="Times New Roman"/>
        </w:rPr>
        <w:t>Belteshazzar mewakili kedua-duanya, iaitu seorang utusan dan suatu gerakan. Pada hari-hari perkabungannya, utusan itu harus memahami “perkara” itu, yakni Kebenaran, dan kemudian dia harus menyampaikan “perkara” itu kepada suatu gerakan, apabila Mikhael membangkitkan kedua-dua saksi itu pada tahun 2023.</w:t>
      </w:r>
    </w:p>
    <w:p>
      <w:pPr>
        <w:pStyle w:val="ArticleBody"/>
        <w:jc w:val="left"/>
      </w:pPr>
      <w:r>
        <w:rPr>
          <w:rFonts w:ascii="Times New Roman" w:hAnsi="Times New Roman" w:eastAsia="Times New Roman" w:cs="Times New Roman"/>
        </w:rPr>
        <w:t>Kata Ibrani “mareh” (penglihatan tentang rupa Kristus), yang dikenali Daniel sebagai sesuatu yang difahaminya dalam ayat satu, dikemukakan sebanyak empat kali dalam penglihatan terakhir Daniel. Dua kali ia diterjemahkan sebagai “penglihatan,” dan dua kali sebagai “rupa.” Kali pertama Daniel menggunakan perkataan itu dalam ayat satu, dia menyatakan bahawa dia memahami “penglihatan” itu, tetapi tiga rujukan yang lain menunjukkan Daniel mengalami penglihatan itu. Dalam ayat enam, wajah Kristus adalah “seperti ‘rupa’ kilat.”</w:t>
      </w:r>
    </w:p>
    <w:p>
      <w:pPr>
        <w:pStyle w:val="ArticleScripture"/>
        <w:jc w:val="left"/>
      </w:pPr>
      <w:r>
        <w:rPr>
          <w:rFonts w:ascii="Times New Roman" w:hAnsi="Times New Roman" w:eastAsia="Times New Roman" w:cs="Times New Roman"/>
        </w:rPr>
        <w:t>Na pada hari kedua puluh empat bulan pertama, ketika aku berada di tepi sungai besar itu, yaitu Hiddekel, kuangkat mataku dan kulihat, dan tampaklah seorang laki-laki tertentu berpakaian lenan, dengan pinggang berikatkan emas murni dari Uphaz. Tubuhnya pun seperti permata beril, wajahnya seperti rupa kilat, matanya seperti suluh api, lengan-lengannya dan kakinya seperti warna tembaga yang digilap, dan suara perkataannya seperti bunyi himpunan orang banyak. Dan aku, Daniel, seorang diri melihat penglihatan itu; sebab orang-orang yang bersama-sama denganku tidak melihat penglihatan itu; tetapi kegentaran yang besar menimpa mereka, sehingga mereka lari menyembunyikan diri. Sebab itu tinggallah aku seorang diri, dan aku melihat penglihatan yang besar ini, dan tidak ada lagi kekuatan padaku; karena keelokanku berubah dalam diriku menjadi kebinasaan, dan aku tidak lagi mempunyai kekuatan. Daniel 10:4–8.</w:t>
      </w:r>
    </w:p>
    <w:p>
      <w:pPr>
        <w:pStyle w:val="ArticleBody"/>
        <w:jc w:val="left"/>
      </w:pPr>
      <w:r>
        <w:rPr>
          <w:rFonts w:ascii="Times New Roman" w:hAnsi="Times New Roman" w:eastAsia="Times New Roman" w:cs="Times New Roman"/>
        </w:rPr>
        <w:t>Go na le lefoko le lengwe la Sehebere le le ranolwang e le “ponatshegelo,” le re tla le sekaseka morago ga gore re tlhagise dingwe tsa diponagalo tsa lefoko la Sehebere “mareh.” Mo ditemaneng tse di fetileng ke lefoko “ponalo,” e leng lone lefoko la Sehebere “mareh.” Lefoko leo leo le ranolwa gape e le “ponatshegelo” mo temaneng ya bolesome le borataro. Mo temaneng ya bolesome le borataro, ponatshegelo ya ga Keresete e tlisitse kutlobotlhoko mo go Daniele.</w:t>
      </w:r>
    </w:p>
    <w:p>
      <w:pPr>
        <w:pStyle w:val="ArticleScripture"/>
        <w:jc w:val="left"/>
      </w:pPr>
      <w:r>
        <w:rPr>
          <w:rFonts w:ascii="Times New Roman" w:hAnsi="Times New Roman" w:eastAsia="Times New Roman" w:cs="Times New Roman"/>
        </w:rPr>
        <w:t>Lihatlah, seorang yang rupanya seperti anak-anak manusia menjamah bibirku; lalu aku membuka mulutku dan berbicara, serta berkata kepada dia yang berdiri di hadapanku, Ya tuanku, oleh penglihatan itu dukacitaku menimpa aku, dan aku tidak mempunyai kekuatan lagi. Daniel 10:16.</w:t>
      </w:r>
    </w:p>
    <w:p>
      <w:pPr>
        <w:pStyle w:val="ArticleBody"/>
        <w:jc w:val="left"/>
      </w:pPr>
      <w:r>
        <w:rPr>
          <w:rFonts w:ascii="Times New Roman" w:hAnsi="Times New Roman" w:eastAsia="Times New Roman" w:cs="Times New Roman"/>
        </w:rPr>
        <w:t>Lefoko la Seheberu le le ranotsweng e le “ditlhabi,” le raya sethoko, mme “ponatshegelo” ya go bonala ga ga Keresete e Daniele a e boneng mo temaneng eo e ne ya retologa mo sethokong. “Sethoko” mo porofeteng se emela ntlha ya phetogo.</w:t>
      </w:r>
    </w:p>
    <w:p>
      <w:pPr>
        <w:pStyle w:val="ArticleScripture"/>
        <w:jc w:val="left"/>
      </w:pPr>
      <w:r>
        <w:rPr>
          <w:rFonts w:ascii="Times New Roman" w:hAnsi="Times New Roman" w:eastAsia="Times New Roman" w:cs="Times New Roman"/>
        </w:rPr>
        <w:t>“Terdapat pelajaran yang harus dipelajari dari sejarah masa lampau; dan perhatian diarahkan kepada hal-hal ini, agar semua orang dapat memahami bahwa Allah bekerja menurut garis-garis yang sama sekarang sebagaimana Ia senantiasa telah melakukannya. Tangan-Nya tampak dalam pekerjaan-Nya dan di antara bangsa-bangsa sekarang, sama seperti yang selalu terjadi sejak Injil pertama kali diberitakan kepada Adam di Eden.</w:t>
      </w:r>
    </w:p>
    <w:p>
      <w:pPr>
        <w:pStyle w:val="ArticleScripture"/>
        <w:jc w:val="left"/>
      </w:pPr>
      <w:r>
        <w:rPr>
          <w:rFonts w:ascii="Times New Roman" w:hAnsi="Times New Roman" w:eastAsia="Times New Roman" w:cs="Times New Roman"/>
        </w:rPr>
        <w:t>“Terdapat masa-masa yang merupakan titik-titik balik dalam sejarah bangsa-bangsa dan gereja. Dalam pemeliharaan Allah, apabila berbagai krisis ini tiba, terang bagi masa itu diberikan. Jika terang itu diterima, akan ada kemajuan rohani; jika ditolak, kemerosotan rohani dan karam iman akan menyusul. Tuhan dalam firman-Nya telah menyingkapkan pekerjaan ofensif Injil sebagaimana pekerjaan itu telah dilaksanakan pada masa lampau, dan akan dilaksanakan pada masa yang akan datang, bahkan sampai kepada pertentangan penutup, ketika kuasa-kuasa setanis akan mengadakan gerakan terakhir mereka yang ajaib.” Bible Echo, 26 Agustus 1895.</w:t>
      </w:r>
    </w:p>
    <w:p>
      <w:pPr>
        <w:pStyle w:val="ArticleBody"/>
        <w:jc w:val="left"/>
      </w:pPr>
      <w:r>
        <w:rPr>
          <w:rFonts w:ascii="Times New Roman" w:hAnsi="Times New Roman" w:eastAsia="Times New Roman" w:cs="Times New Roman"/>
        </w:rPr>
        <w:t>Vesi ya khume na sita yi yimela ndhawu ya ku hundzuka eka matimu lawa Belteshazzar a ma yimelaka. I ndhawu ya ku hundzuka eka mhalamhala ya Vurephaburiki (rixaka) ni le ka mhalamhala ya Vuprotestante (kereke) hi ku fana. Yi yimela xiphiqo, naswona yi yimela ndhawu leyi ku nyikeriwaka ku vonakala ko hlawuleka eka matimu wolawo. Ndhawu ya ku hundzuka eka Daniyele yi humelele loko Daniyele a “khumbiwe,” ra vumbirhi eka minkarhi yinharhu. Daniyele a a ta khumbiwa kanharhu, naswona nkarhi wa vumbirhi lowu a khumbiweke ha wona, a wu ri ndhawu ya ku hundzuka eka Daniyele; naswona ndhawu yoleyo ya ku hundzuka a yi ri ya vumbirhi eka minkarhi yinharhu leyi Daniyele a voneke xivono xa “mareh”.</w:t>
      </w:r>
    </w:p>
    <w:p>
      <w:pPr>
        <w:pStyle w:val="ArticleScripture"/>
        <w:jc w:val="left"/>
      </w:pPr>
      <w:r>
        <w:rPr>
          <w:rFonts w:ascii="Times New Roman" w:hAnsi="Times New Roman" w:eastAsia="Times New Roman" w:cs="Times New Roman"/>
        </w:rPr>
        <w:t>“Lihatlah, seorang yang rupanya seperti anak-anak manusia menyentuh bibirku; lalu aku membuka mulutku dan berkata kepada dia yang berdiri di hadapanku: Ya tuanku, oleh karena penglihatan itu dukacitaku melanda aku, dan aku tidak mempunyai kekuatan lagi.” Daniel 10:16</w:t>
      </w:r>
    </w:p>
    <w:p>
      <w:pPr>
        <w:pStyle w:val="ArticleBody"/>
        <w:jc w:val="left"/>
      </w:pPr>
      <w:r>
        <w:rPr>
          <w:rFonts w:ascii="Times New Roman" w:hAnsi="Times New Roman" w:eastAsia="Times New Roman" w:cs="Times New Roman"/>
        </w:rPr>
        <w:t>Kit akan menyentuh tiga sentuhan itu sebentar lagi. Yang pertama daripada empat kali perkataan “mareh” digunakan oleh Daniel ialah kesaksiannya bahawa dia memahami penglihatan itu, dan tiga rujukan yang terakhir mengenal pasti pengalamannya ketika dia benar-benar melihat penampakan itu. Kali ketiga dia mengenal pasti penglihatan tentang penampakan itu ialah ayat lapan belas, ketika dia disentuh untuk kali yang ketiga.</w:t>
      </w:r>
    </w:p>
    <w:p>
      <w:pPr>
        <w:pStyle w:val="ArticleScripture"/>
        <w:jc w:val="left"/>
      </w:pPr>
      <w:r>
        <w:rPr>
          <w:rFonts w:ascii="Times New Roman" w:hAnsi="Times New Roman" w:eastAsia="Times New Roman" w:cs="Times New Roman"/>
        </w:rPr>
        <w:t>Mme mongwe yo o tshwanang le ponalo ya motho a tla gape a nkama, mme a nonotsha. Daniele 10:18.</w:t>
      </w:r>
    </w:p>
    <w:p>
      <w:pPr>
        <w:pStyle w:val="ArticleBody"/>
        <w:jc w:val="left"/>
      </w:pPr>
      <w:r>
        <w:rPr>
          <w:rFonts w:ascii="Times New Roman" w:hAnsi="Times New Roman" w:eastAsia="Times New Roman" w:cs="Times New Roman"/>
        </w:rPr>
        <w:t>Pada sentuhan yang kedua, dalam ayat enam belas, yang merupakan rujukan kedua kepada penglihatan “marah”, kekuatannya lenyap; tetapi pada sentuhan yang ketiga, kekuatannya dipulihkan. Dalam ayat sepuluh, enam belas, dan delapan belas, Daniel disentuh. Dalam ayat enam, Daniel melihat penampakan Kristus, lalu Gabriel, dan dalam ayat sepuluh, Gabriel menyentuh Daniel untuk pertama kalinya.</w:t>
      </w:r>
    </w:p>
    <w:p>
      <w:pPr>
        <w:pStyle w:val="ArticleScripture"/>
        <w:jc w:val="left"/>
      </w:pPr>
      <w:r>
        <w:rPr>
          <w:rFonts w:ascii="Times New Roman" w:hAnsi="Times New Roman" w:eastAsia="Times New Roman" w:cs="Times New Roman"/>
        </w:rPr>
        <w:t>Lalu kuangkat mataku dan kulihat, dan tampaklah seorang laki-laki berpakaian lenan, pinggangnya berikatkan emas murni dari Uphaz. Tubuhnya pun seperti permata krisolit, wajahnya seperti kilat menyambar, matanya seperti suluh api, lengan dan kakinya berkilau seperti tembaga yang digosok, dan suara perkataannya seperti suara orang banyak. Dan aku, Daniel, seorang diri melihat penglihatan itu; orang-orang yang bersama-sama dengan aku tidak melihat penglihatan itu, tetapi kegentaran yang besar menimpa mereka, sehingga mereka melarikan diri dan menyembunyikan diri. Sebab itu tinggallah aku seorang diri, dan aku melihat penglihatan yang besar ini, tetapi tidak ada lagi kekuatan padaku; keelokanku berubah padaku menjadi kebinasaan, dan aku tidak mempertahankan kekuatan lagi.</w:t>
      </w:r>
    </w:p>
    <w:p>
      <w:pPr>
        <w:pStyle w:val="ArticleScripture"/>
        <w:jc w:val="left"/>
      </w:pPr>
      <w:r>
        <w:rPr>
          <w:rFonts w:ascii="Times New Roman" w:hAnsi="Times New Roman" w:eastAsia="Times New Roman" w:cs="Times New Roman"/>
        </w:rPr>
        <w:t>Atsaka ndzi twe rito ra marito yakwe; kutani loko ndzi twa rito ra marito yakwe, ndzi wela evurhongweni lebyikulu hi mombo, xikandza xa mina xi langutile ehansi. Kutani, waswivo, voko ri ndzi khumba, ri ndzi veka hi matsolo ya mina ni le ka swandla swa mina. Kutani a ku eka mina: Wena Daniyele, wanuna la rhandziwaka ngopfu, twisisa marito lawa ndzi vulavulaka na wena ha wona, u yima hi ku lulama; hikuva sweswi ndzi rhumeriwile eka wena. Kutani loko a vulavule rito rero eka mina, ndzi yima ndzi ri karhi ndzi rhurhumela. Kutani a ku eka mina: U nga chavi, Daniyele; hikuva ku sukela esikwini ro sungula leri u vekeke mbilu ya wena ku twisisa ni ku titsongahata emahlweni ka Xikwembu xa wena, marito ya wena ma twiwile; kutani mina ndzi tile hikwalaho ka marito ya wena. Kambe hosi ya mfumo wa Peresiya yi ndzi kanetile masiku ya 21; kambe, waswivo, Mikayele, un’wana wa tihosana letikulu, u tile ku ndzi pfuna; kutani ndzi sale kona ni tihosi ta Peresiya. Sweswi ndzi tile ku ku twisisa leswi nga ta wela vanhu va wena emasikwini ya makumu; hikuva xivono xa ha ri xa masiku yo tala. Daniyele 10:5–14.</w:t>
      </w:r>
    </w:p>
    <w:p>
      <w:pPr>
        <w:pStyle w:val="ArticleBody"/>
        <w:jc w:val="left"/>
      </w:pPr>
      <w:r>
        <w:rPr>
          <w:rFonts w:ascii="Times New Roman" w:hAnsi="Times New Roman" w:eastAsia="Times New Roman" w:cs="Times New Roman"/>
        </w:rPr>
        <w:t>Kemudian dalam ayat enam belas, Daniel disentuh untuk kali yang kedua, ketika dia melihat penglihatan tentang Kristus.</w:t>
      </w:r>
    </w:p>
    <w:p>
      <w:pPr>
        <w:pStyle w:val="ArticleScripture"/>
        <w:jc w:val="left"/>
      </w:pPr>
      <w:r>
        <w:rPr>
          <w:rFonts w:ascii="Times New Roman" w:hAnsi="Times New Roman" w:eastAsia="Times New Roman" w:cs="Times New Roman"/>
        </w:rPr>
        <w:t>Ton nti, bere a ɔkasa saa nsɛm yi kyerɛɛ me no, mede m’anim kyerɛɛ fam, na meyɛɛ mum. Na hwɛ, obi a ɔte sɛ nnipa mma no sεsε me anofafa; ɛno akyi no, mebuee m’anom, na mekasae, na meka kyerɛɛ nea ogyina m’anim no se, Ao, me wura, anisoadehu no nti m’awerɛhow adan aba me so, na minnya ahoɔden biara nka. Na ɔkwan bɛn so na me, me wura yi somfo, betumi ne me wura yi akasa? Efisɛ me de, amonom hɔ ara na ahoɔden biara anka me mu, na home mpo nka me mu bio. Daniel 10:15–17.</w:t>
      </w:r>
    </w:p>
    <w:p>
      <w:pPr>
        <w:pStyle w:val="ArticleBody"/>
        <w:jc w:val="left"/>
      </w:pPr>
      <w:r>
        <w:rPr>
          <w:rFonts w:ascii="Times New Roman" w:hAnsi="Times New Roman" w:eastAsia="Times New Roman" w:cs="Times New Roman"/>
        </w:rPr>
        <w:t>A Daniela a tshwarwa la boraro, ge Gabriele a tšwelela, e sego Kriste.</w:t>
      </w:r>
    </w:p>
    <w:p>
      <w:pPr>
        <w:pStyle w:val="ArticleScripture"/>
        <w:jc w:val="left"/>
      </w:pPr>
      <w:r>
        <w:rPr>
          <w:rFonts w:ascii="Times New Roman" w:hAnsi="Times New Roman" w:eastAsia="Times New Roman" w:cs="Times New Roman"/>
        </w:rPr>
        <w:t>Bjale fao zogo tede ya ts’e bo ba gelene ba motho, ya nnamatlafatsa, mme a re: Wena monna ya ratwang haholo, o se ke wa tshaba; kgotso e be ho wena; eba matla, ee, eba matla. Yare ha a se a buile le nna, ka matlafala, mme ka re: Morena wa ka a ke a bue; hobane o nnamatlafaditse. Yaba o re: Na o a tseba hore na ke tletse eng ho wena? jwale ke tla boela ke yo lwana le kgosana ya Persia; mme ha ke tswile, bonang, kgosana ya Gerike e tla tla. Empa ke tla o bontsha se ngodilweng Lengolong la nnete; mme ha ho ya emeng le nna ditabeng tsena haese Mikaele, kgosana ya lona. Daniele 10:18–21.</w:t>
      </w:r>
    </w:p>
    <w:p>
      <w:pPr>
        <w:pStyle w:val="ArticleBody"/>
        <w:jc w:val="left"/>
      </w:pPr>
      <w:r>
        <w:rPr>
          <w:rFonts w:ascii="Times New Roman" w:hAnsi="Times New Roman" w:eastAsia="Times New Roman" w:cs="Times New Roman"/>
        </w:rPr>
        <w:t>Daniel u amangwa mithlolo yitsatfu, futsi ngesikhatsi sekucala nangesesitsatfu uamangwa yingelosi Gabriyeli. Ngesikhatsi sesibili aangwa nguye Khristu. Daniel wasebentisa livi lelifanako lesiHebheru kane, kodvwa ngesikhatsi sekucala kulawo makane, evesini lekucala, abesho kutsi wayicondza “umbono.” Kucondza liciniso kubalulekile, kodvwa akufani nekubhekana neliciniso ngekwako, njengobe enta kulawo lamanye katsatfu.</w:t>
      </w:r>
    </w:p>
    <w:p>
      <w:pPr>
        <w:pStyle w:val="ArticleBody"/>
        <w:jc w:val="left"/>
      </w:pPr>
      <w:r>
        <w:rPr>
          <w:rFonts w:ascii="Times New Roman" w:hAnsi="Times New Roman" w:eastAsia="Times New Roman" w:cs="Times New Roman"/>
        </w:rPr>
        <w:t>Mua han Daniel in a lungngaih hunte a tawp hnuah, a lungngaih hunte a tawp hma khan hriatna a neih tawh a vision chu hmuh tura thil thleng a dawng a. Chu thil thleng chu hmawng thum-in a siam a ni a, chu hmawng thumte chu khawih thum-in an entir a ni. Khawih hmasa leh khawih hnuhnung ber chu Gabriel-in a ti a, a inkara khawih chu Krista-in a ti. Khawih hmasa leh khawih hnuhnung berte chu Hebrai alphabet-a ziah hmasa leh ziah hnuhnung berte an ni. Chu hmawng hnihna-ah chuan, Daniel-in a Lal nêna inzawmna lamah a nihna chu hel mi sual a nihzia a hre chhuak a, chutiang chuan inkara khawih chu helna a entir a ni; chu helna chu Hebrai alphabet-a ziah sâwm leh pathumna-in a entir ang.</w:t>
      </w:r>
    </w:p>
    <w:p>
      <w:pPr>
        <w:pStyle w:val="ArticleScripture"/>
        <w:jc w:val="left"/>
      </w:pPr>
      <w:r>
        <w:rPr>
          <w:rFonts w:ascii="Times New Roman" w:hAnsi="Times New Roman" w:eastAsia="Times New Roman" w:cs="Times New Roman"/>
        </w:rPr>
        <w:t>“Tetapi Petrus kini tidak lagi menghiraukan perahu ataupun muatannya. Mukjizat ini, lebih daripada yang lain yang pernah disaksikannya, baginya merupakan suatu penyataan kuasa ilahi. Dalam Yesus dia melihat Seorang yang memegang seluruh alam di bawah kawalan-Nya. Kehadiran keilahian menyingkapkan kenajisannya sendiri. Kasih kepada Tuannya, rasa malu kerana ketidakpercayaannya sendiri, kesyukuran atas kerendahan hati Kristus, dan di atas segalanya, kesedaran akan kenajisannya di hadapan kesucian yang tidak terbatas, semuanya menenggelamkannya. Sementara rakan-rakannya sedang mengamankan hasil tangkapan di dalam jala, Petrus sujud di kaki Juruselamat, sambil berseru, ‘Jauhilah aku; kerana aku ini seorang berdosa, ya Tuhan.’”</w:t>
      </w:r>
    </w:p>
    <w:p>
      <w:pPr>
        <w:pStyle w:val="ArticleScripture"/>
        <w:jc w:val="left"/>
      </w:pPr>
      <w:r>
        <w:rPr>
          <w:rFonts w:ascii="Times New Roman" w:hAnsi="Times New Roman" w:eastAsia="Times New Roman" w:cs="Times New Roman"/>
        </w:rPr>
        <w:t>“Adalah hadirat kekudusan Ilahi yang sama yang telah menyebabkan nabi Daniel tersungkur seperti orang mati di hadapan malaikat Allah. Ia berkata, ‘Wajah elokku berubah padaku menjadi kebinasaan, dan aku tidak mempunyai kekuatan lagi.’ Demikian juga ketika Yesaya melihat kemuliaan Tuhan, ia berseru, ‘Celakalah aku! sebab aku binasa; karena aku ini seorang yang najis bibir, dan aku tinggal di tengah-tengah bangsa yang najis bibir; sebab mataku telah melihat Sang Raja, TUHAN semesta alam.’ Daniel 10:8; Yesaya 6:5. Kemanusiaan, dengan kelemahan dan dosanya, diperhadapkan dengan kesempurnaan keilahian, dan ia merasa dirinya sama sekali serba kurang dan tidak kudus. Demikianlah halnya dengan semua orang yang telah dikaruniai suatu pemandangan akan kebesaran dan kemuliaan Allah.”</w:t>
      </w:r>
    </w:p>
    <w:p>
      <w:pPr>
        <w:pStyle w:val="ArticleScripture"/>
        <w:jc w:val="left"/>
      </w:pPr>
      <w:r>
        <w:rPr>
          <w:rFonts w:ascii="Times New Roman" w:hAnsi="Times New Roman" w:eastAsia="Times New Roman" w:cs="Times New Roman"/>
        </w:rPr>
        <w:t>“Petrus berseru, ‘Pergilah daripadaku; karena aku ini seorang berdosa;’ namun ia tetap berpegang pada kaki Yesus, karena merasa bahwa ia tidak dapat dipisahkan dari-Nya. Juruselamat menjawab, ‘Jangan takut; mulai dari sekarang engkau akan menjala manusia.’ Setelah Yesaya memandang kekudusan Allah dan ketidaklayakannya sendiri, barulah kepadanya dipercayakan pekabaran ilahi. Setelah Petrus dibimbing kepada penyangkalan diri dan ketergantungan pada kuasa ilahi, barulah ia menerima panggilan kepada pekerjaannya bagi Kristus.” The Desire of Ages, 246.</w:t>
      </w:r>
    </w:p>
    <w:p>
      <w:pPr>
        <w:pStyle w:val="ArticleBody"/>
        <w:jc w:val="left"/>
      </w:pPr>
      <w:r>
        <w:rPr>
          <w:rFonts w:ascii="Times New Roman" w:hAnsi="Times New Roman" w:eastAsia="Times New Roman" w:cs="Times New Roman"/>
        </w:rPr>
        <w:t xml:space="preserve">“mareh” </w:t>
      </w:r>
      <w:r>
        <w:rPr>
          <w:rFonts w:ascii="Malgun Gothic" w:hAnsi="Malgun Gothic" w:eastAsia="Malgun Gothic" w:cs="Malgun Gothic"/>
        </w:rPr>
        <w:t>니</w:t>
      </w:r>
      <w:r>
        <w:rPr>
          <w:rFonts w:ascii="Times New Roman" w:hAnsi="Times New Roman" w:eastAsia="Times New Roman" w:cs="Times New Roman"/>
        </w:rPr>
        <w:t xml:space="preserve"> ngan chu Krista ni an lohzia hmuhtîrna a ni; mahse vântirhkoh Gabriela chu Danielan thu a hman ve hnihna leh lihnaah a entîr. A hmasa berah chu Belteshazzaran hmuhtîrna chu a hrethiam tih sawi a ni; nimahsela a hnuhnûng pathumte chu Daniela'n hmuhtîrna a chan thu an entîr. Daniela'n hmuhtîrna a chan pathum lai chiahah khân amah chu khawih a ni bawk.</w:t>
      </w:r>
    </w:p>
    <w:p>
      <w:pPr>
        <w:pStyle w:val="ArticleBody"/>
        <w:jc w:val="left"/>
      </w:pPr>
      <w:r>
        <w:rPr>
          <w:rFonts w:ascii="Times New Roman" w:hAnsi="Times New Roman" w:eastAsia="Times New Roman" w:cs="Times New Roman"/>
        </w:rPr>
        <w:t>Kemana kali pertama dia disentuh oleh Gabriel ialah sesudah dia melihat penampakan Kristus yang dimuliakan, dan pengalaman itu meninggalkannya dalam “tidur nyenyak dengan mukaku di tanah, dan mukaku menghadap ke bumi.” Penglihatan itu telah menghasilkan suatu pemisahan, kerana mereka yang telah bersama dengannya “tidak melihat penglihatan itu; tetapi suatu gementar yang besar menimpa mereka, sehingga mereka melarikan diri untuk menyembunyikan diri.” Dalam kekecewaan yang pertama, Yeremia “duduk seorang diri, oleh sebab tangan Tuhan ada atasnya,” dan pada Belsyazar “tidak tinggal lagi kekuatan” “kerana” “seri wajahku berubah dalam diriku menjadi kebinasaan, dan” dia “tidak mengekalkan kekuatan.”</w:t>
      </w:r>
    </w:p>
    <w:p>
      <w:pPr>
        <w:pStyle w:val="ArticleBody"/>
        <w:jc w:val="left"/>
      </w:pPr>
      <w:r>
        <w:rPr>
          <w:rFonts w:ascii="Myanmar Text" w:hAnsi="Myanmar Text" w:eastAsia="Myanmar Text" w:cs="Myanmar Text"/>
        </w:rPr>
        <w:t>အခါ</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ထိတွေ့ပြီးနောက်၊</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မိမိဒူးများနှင့်</w:t>
      </w:r>
      <w:r>
        <w:rPr>
          <w:rFonts w:ascii="Times New Roman" w:hAnsi="Times New Roman" w:eastAsia="Times New Roman" w:cs="Times New Roman"/>
        </w:rPr>
        <w:t xml:space="preserve"> </w:t>
      </w:r>
      <w:r>
        <w:rPr>
          <w:rFonts w:ascii="Myanmar Text" w:hAnsi="Myanmar Text" w:eastAsia="Myanmar Text" w:cs="Myanmar Text"/>
        </w:rPr>
        <w:t>လက်ဖဝါးများပေါ်၌</w:t>
      </w:r>
      <w:r>
        <w:rPr>
          <w:rFonts w:ascii="Times New Roman" w:hAnsi="Times New Roman" w:eastAsia="Times New Roman" w:cs="Times New Roman"/>
        </w:rPr>
        <w:t xml:space="preserve"> </w:t>
      </w:r>
      <w:r>
        <w:rPr>
          <w:rFonts w:ascii="Myanmar Text" w:hAnsi="Myanmar Text" w:eastAsia="Myanmar Text" w:cs="Myanmar Text"/>
        </w:rPr>
        <w:t>ထိုင်စေ၏။</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မိမိပြောသောစကားများကို</w:t>
      </w:r>
      <w:r>
        <w:rPr>
          <w:rFonts w:ascii="Times New Roman" w:hAnsi="Times New Roman" w:eastAsia="Times New Roman" w:cs="Times New Roman"/>
        </w:rPr>
        <w:t xml:space="preserve"> </w:t>
      </w:r>
      <w:r>
        <w:rPr>
          <w:rFonts w:ascii="Myanmar Text" w:hAnsi="Myanmar Text" w:eastAsia="Myanmar Text" w:cs="Myanmar Text"/>
        </w:rPr>
        <w:t>နားလည်၍</w:t>
      </w:r>
      <w:r>
        <w:rPr>
          <w:rFonts w:ascii="Times New Roman" w:hAnsi="Times New Roman" w:eastAsia="Times New Roman" w:cs="Times New Roman"/>
        </w:rPr>
        <w:t xml:space="preserve"> </w:t>
      </w:r>
      <w:r>
        <w:rPr>
          <w:rFonts w:ascii="Myanmar Text" w:hAnsi="Myanmar Text" w:eastAsia="Myanmar Text" w:cs="Myanmar Text"/>
        </w:rPr>
        <w:t>ထရပ်ရန်</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အမိန့်ပေးသဖြင့်၊</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တုန်လှုပ်နေသော်လည်း</w:t>
      </w:r>
      <w:r>
        <w:rPr>
          <w:rFonts w:ascii="Times New Roman" w:hAnsi="Times New Roman" w:eastAsia="Times New Roman" w:cs="Times New Roman"/>
        </w:rPr>
        <w:t xml:space="preserve"> </w:t>
      </w:r>
      <w:r>
        <w:rPr>
          <w:rFonts w:ascii="Myanmar Text" w:hAnsi="Myanmar Text" w:eastAsia="Myanmar Text" w:cs="Myanmar Text"/>
        </w:rPr>
        <w:t>ထရပ်ခဲ့၏။</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ဝမ်းနည်းမြည်တမ်းခြင်းနှစ်ဆယ့်တစ်ရက်အတွင်း</w:t>
      </w:r>
      <w:r>
        <w:rPr>
          <w:rFonts w:ascii="Times New Roman" w:hAnsi="Times New Roman" w:eastAsia="Times New Roman" w:cs="Times New Roman"/>
        </w:rPr>
        <w:t xml:space="preserve"> </w:t>
      </w:r>
      <w:r>
        <w:rPr>
          <w:rFonts w:ascii="Myanmar Text" w:hAnsi="Myanmar Text" w:eastAsia="Myanmar Text" w:cs="Myanmar Text"/>
        </w:rPr>
        <w:t>ဖြစ်ပျက်ခဲ့သောအရာများကို</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အဆင့်လိုက်</w:t>
      </w:r>
      <w:r>
        <w:rPr>
          <w:rFonts w:ascii="Times New Roman" w:hAnsi="Times New Roman" w:eastAsia="Times New Roman" w:cs="Times New Roman"/>
        </w:rPr>
        <w:t xml:space="preserve"> </w:t>
      </w:r>
      <w:r>
        <w:rPr>
          <w:rFonts w:ascii="Myanmar Text" w:hAnsi="Myanmar Text" w:eastAsia="Myanmar Text" w:cs="Myanmar Text"/>
        </w:rPr>
        <w:t>ဖော်ပြပေး၏။</w:t>
      </w:r>
      <w:r>
        <w:rPr>
          <w:rFonts w:ascii="Times New Roman" w:hAnsi="Times New Roman" w:eastAsia="Times New Roman" w:cs="Times New Roman"/>
        </w:rPr>
        <w:t xml:space="preserve"> </w:t>
      </w:r>
      <w:r>
        <w:rPr>
          <w:rFonts w:ascii="Myanmar Text" w:hAnsi="Myanmar Text" w:eastAsia="Myanmar Text" w:cs="Myanmar Text"/>
        </w:rPr>
        <w:t>ပါရှားဘုရင်များနှင့်</w:t>
      </w:r>
      <w:r>
        <w:rPr>
          <w:rFonts w:ascii="Times New Roman" w:hAnsi="Times New Roman" w:eastAsia="Times New Roman" w:cs="Times New Roman"/>
        </w:rPr>
        <w:t xml:space="preserve"> </w:t>
      </w:r>
      <w:r>
        <w:rPr>
          <w:rFonts w:ascii="Myanmar Text" w:hAnsi="Myanmar Text" w:eastAsia="Myanmar Text" w:cs="Myanmar Text"/>
        </w:rPr>
        <w:t>နှစ်ဆယ့်တစ်ရက်ပတ်လုံး</w:t>
      </w:r>
      <w:r>
        <w:rPr>
          <w:rFonts w:ascii="Times New Roman" w:hAnsi="Times New Roman" w:eastAsia="Times New Roman" w:cs="Times New Roman"/>
        </w:rPr>
        <w:t xml:space="preserve"> </w:t>
      </w:r>
      <w:r>
        <w:rPr>
          <w:rFonts w:ascii="Myanmar Text" w:hAnsi="Myanmar Text" w:eastAsia="Myanmar Text" w:cs="Myanmar Text"/>
        </w:rPr>
        <w:t>တိုက်ခိုက်လွန်ဆွဲပြီးနောက်</w:t>
      </w:r>
      <w:r>
        <w:rPr>
          <w:rFonts w:ascii="Times New Roman" w:hAnsi="Times New Roman" w:eastAsia="Times New Roman" w:cs="Times New Roman"/>
        </w:rPr>
        <w:t xml:space="preserve"> </w:t>
      </w:r>
      <w:r>
        <w:rPr>
          <w:rFonts w:ascii="Myanmar Text" w:hAnsi="Myanmar Text" w:eastAsia="Myanmar Text" w:cs="Myanmar Text"/>
        </w:rPr>
        <w:t>မိက္ခေလသည်</w:t>
      </w:r>
      <w:r>
        <w:rPr>
          <w:rFonts w:ascii="Times New Roman" w:hAnsi="Times New Roman" w:eastAsia="Times New Roman" w:cs="Times New Roman"/>
        </w:rPr>
        <w:t xml:space="preserve"> </w:t>
      </w:r>
      <w:r>
        <w:rPr>
          <w:rFonts w:ascii="Myanmar Text" w:hAnsi="Myanmar Text" w:eastAsia="Myanmar Text" w:cs="Myanmar Text"/>
        </w:rPr>
        <w:t>စစ်ပွဲတွင်</w:t>
      </w:r>
      <w:r>
        <w:rPr>
          <w:rFonts w:ascii="Times New Roman" w:hAnsi="Times New Roman" w:eastAsia="Times New Roman" w:cs="Times New Roman"/>
        </w:rPr>
        <w:t xml:space="preserve"> </w:t>
      </w:r>
      <w:r>
        <w:rPr>
          <w:rFonts w:ascii="Myanmar Text" w:hAnsi="Myanmar Text" w:eastAsia="Myanmar Text" w:cs="Myanmar Text"/>
        </w:rPr>
        <w:t>ပါဝင်ရန်</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ဆင်းလာခဲ့ကြောင်း၊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ဆုတောင်းချက်များကို</w:t>
      </w:r>
      <w:r>
        <w:rPr>
          <w:rFonts w:ascii="Times New Roman" w:hAnsi="Times New Roman" w:eastAsia="Times New Roman" w:cs="Times New Roman"/>
        </w:rPr>
        <w:t xml:space="preserve"> </w:t>
      </w:r>
      <w:r>
        <w:rPr>
          <w:rFonts w:ascii="Myanmar Text" w:hAnsi="Myanmar Text" w:eastAsia="Myanmar Text" w:cs="Myanmar Text"/>
        </w:rPr>
        <w:t>ဖြေကြားရန်နှင့်</w:t>
      </w:r>
      <w:r>
        <w:rPr>
          <w:rFonts w:ascii="Times New Roman" w:hAnsi="Times New Roman" w:eastAsia="Times New Roman" w:cs="Times New Roman"/>
        </w:rPr>
        <w:t xml:space="preserve"> “</w:t>
      </w:r>
      <w:r>
        <w:rPr>
          <w:rFonts w:ascii="Myanmar Text" w:hAnsi="Myanmar Text" w:eastAsia="Myanmar Text" w:cs="Myanmar Text"/>
        </w:rPr>
        <w:t>နောက်ဆုံးကာလများ၌</w:t>
      </w:r>
      <w:r>
        <w:rPr>
          <w:rFonts w:ascii="Times New Roman" w:hAnsi="Times New Roman" w:eastAsia="Times New Roman" w:cs="Times New Roman"/>
        </w:rPr>
        <w:t xml:space="preserve"> </w:t>
      </w:r>
      <w:r>
        <w:rPr>
          <w:rFonts w:ascii="Myanmar Text" w:hAnsi="Myanmar Text" w:eastAsia="Myanmar Text" w:cs="Myanmar Text"/>
        </w:rPr>
        <w:t>သင်၏လူမျိုးအပေါ်</w:t>
      </w:r>
      <w:r>
        <w:rPr>
          <w:rFonts w:ascii="Times New Roman" w:hAnsi="Times New Roman" w:eastAsia="Times New Roman" w:cs="Times New Roman"/>
        </w:rPr>
        <w:t xml:space="preserve"> </w:t>
      </w:r>
      <w:r>
        <w:rPr>
          <w:rFonts w:ascii="Myanmar Text" w:hAnsi="Myanmar Text" w:eastAsia="Myanmar Text" w:cs="Myanmar Text"/>
        </w:rPr>
        <w:t>ကျရောက်မည့်အရာ</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ရှင်းလင်းဖော်ပြရန်</w:t>
      </w:r>
      <w:r>
        <w:rPr>
          <w:rFonts w:ascii="Times New Roman" w:hAnsi="Times New Roman" w:eastAsia="Times New Roman" w:cs="Times New Roman"/>
        </w:rPr>
        <w:t xml:space="preserve"> </w:t>
      </w:r>
      <w:r>
        <w:rPr>
          <w:rFonts w:ascii="Myanmar Text" w:hAnsi="Myanmar Text" w:eastAsia="Myanmar Text" w:cs="Myanmar Text"/>
        </w:rPr>
        <w:t>လာခဲ့ကြောင်းကို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ဖော်ထုတ်ပြောပြ၏။</w:t>
      </w:r>
      <w:r>
        <w:rPr>
          <w:rFonts w:ascii="Times New Roman" w:hAnsi="Times New Roman" w:eastAsia="Times New Roman" w:cs="Times New Roman"/>
        </w:rPr>
        <w:t xml:space="preserve"> </w:t>
      </w:r>
      <w:r>
        <w:rPr>
          <w:rFonts w:ascii="Myanmar Text" w:hAnsi="Myanmar Text" w:eastAsia="Myanmar Text" w:cs="Myanmar Text"/>
        </w:rPr>
        <w:t>မိက္ခေလသည်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ဆင်းလာသောအခါ၊</w:t>
      </w:r>
      <w:r>
        <w:rPr>
          <w:rFonts w:ascii="Times New Roman" w:hAnsi="Times New Roman" w:eastAsia="Times New Roman" w:cs="Times New Roman"/>
        </w:rPr>
        <w:t xml:space="preserve"> </w:t>
      </w:r>
      <w:r>
        <w:rPr>
          <w:rFonts w:ascii="Myanmar Text" w:hAnsi="Myanmar Text" w:eastAsia="Myanmar Text" w:cs="Myanmar Text"/>
        </w:rPr>
        <w:t>ဂါဗြေလကို</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နောက်ဆုံးကာလများအကြောင်း</w:t>
      </w:r>
      <w:r>
        <w:rPr>
          <w:rFonts w:ascii="Times New Roman" w:hAnsi="Times New Roman" w:eastAsia="Times New Roman" w:cs="Times New Roman"/>
        </w:rPr>
        <w:t xml:space="preserve"> </w:t>
      </w:r>
      <w:r>
        <w:rPr>
          <w:rFonts w:ascii="Myanmar Text" w:hAnsi="Myanmar Text" w:eastAsia="Myanmar Text" w:cs="Myanmar Text"/>
        </w:rPr>
        <w:t>ရှင်းပြစေရန်</w:t>
      </w:r>
      <w:r>
        <w:rPr>
          <w:rFonts w:ascii="Times New Roman" w:hAnsi="Times New Roman" w:eastAsia="Times New Roman" w:cs="Times New Roman"/>
        </w:rPr>
        <w:t xml:space="preserve"> </w:t>
      </w:r>
      <w:r>
        <w:rPr>
          <w:rFonts w:ascii="Myanmar Text" w:hAnsi="Myanmar Text" w:eastAsia="Myanmar Text" w:cs="Myanmar Text"/>
        </w:rPr>
        <w:t>စေလွှတ်ခဲ့သည်။</w:t>
      </w:r>
    </w:p>
    <w:p>
      <w:pPr>
        <w:pStyle w:val="ArticleBody"/>
        <w:jc w:val="left"/>
      </w:pPr>
      <w:r>
        <w:rPr>
          <w:rFonts w:ascii="Times New Roman" w:hAnsi="Times New Roman" w:eastAsia="Times New Roman" w:cs="Times New Roman"/>
        </w:rPr>
        <w:t>Penjelasan Gabriel diberikan kepada Daniel pada akhir dua puluh satu hari perkabungan, yang, dalam penerapan baris demi baris atas Wahyu pasal sebelas, melambangkan saat Yehezkiel dalam pasal tiga puluh tujuh dua kali diperintahkan untuk bernubuat kepada tulang-tulang mati, agar membangkitkan kedua nabi itu keluar dari kuburnya. Hal itu terjadi ketika Mikhael turun dari surga dan membangkitkan tubuh Musa, sambil menolak untuk berurusan dengan Iblis dalam kitab Yudas. Daniel masih akan disentuh dua kali lagi sesudah Gabriel memberinya gambaran umum tentang hari-hari perkabungan itu.</w:t>
      </w:r>
    </w:p>
    <w:p>
      <w:pPr>
        <w:pStyle w:val="ArticleBody"/>
        <w:jc w:val="left"/>
      </w:pPr>
      <w:r>
        <w:rPr>
          <w:rFonts w:ascii="Times New Roman" w:hAnsi="Times New Roman" w:eastAsia="Times New Roman" w:cs="Times New Roman"/>
        </w:rPr>
        <w:t>Selepas Gabriel selesai, Daniel “menghadapkan wajahnya ke tanah, lalu ia menjadi bisu”, kemudian Kristus sendiri “menjamah” “bibir” Daniel, lalu Daniel “membuka” “mulutnya, lalu berkata-kata, dan berkata kepada dia yang berdiri di hadapanku, Ya tuanku, oleh sebab penglihatan itu dukacitaku menimpa aku, dan aku tidak lagi mempunyai kekuatan. Kerana bagaimanakah hamba tuanku ini dapat berkata-kata dengan tuanku ini? kerana bagi diriku, serta-merta tiada lagi kekuatan padaku, dan tiada lagi nafas yang tinggal dalam diriku.”</w:t>
      </w:r>
    </w:p>
    <w:p>
      <w:pPr>
        <w:pStyle w:val="ArticleBody"/>
        <w:jc w:val="left"/>
      </w:pPr>
      <w:r>
        <w:rPr>
          <w:rFonts w:ascii="Times New Roman" w:hAnsi="Times New Roman" w:eastAsia="Times New Roman" w:cs="Times New Roman"/>
        </w:rPr>
        <w:t>Pengalaman melihat dan bercakap-cakap dengan Kristus merendahkan Daniel sampai ke debu. Ia menjadi kelu, dan akan tetap demikian sekiranya Kristus tidak menjamah bibirnya, sebagaimana bibir Yesaya telah dijamah oleh bara dari mezbah.</w:t>
      </w:r>
    </w:p>
    <w:p>
      <w:pPr>
        <w:pStyle w:val="ArticleBody"/>
        <w:jc w:val="left"/>
      </w:pPr>
      <w:r>
        <w:rPr>
          <w:rFonts w:ascii="Times New Roman" w:hAnsi="Times New Roman" w:eastAsia="Times New Roman" w:cs="Times New Roman"/>
        </w:rPr>
        <w:t>Khotsi ri ta ya emahlweni ni dyondzo leyi eka xihloko lexi landzelaka.</w:t>
      </w:r>
    </w:p>
    <w:p>
      <w:pPr>
        <w:pStyle w:val="ArticleScripture"/>
        <w:jc w:val="left"/>
      </w:pPr>
      <w:r>
        <w:rPr>
          <w:rFonts w:ascii="Times New Roman" w:hAnsi="Times New Roman" w:eastAsia="Times New Roman" w:cs="Times New Roman"/>
        </w:rPr>
        <w:t>“Wɔ bere a Yesaia huu yi adiyisɛm a ɛfa n’Awurade anuonyam ne ne kɛseyɛ ho no, ɔtee nka kɛse wɔ Onyankopɔn kronkronyɛ ne ne ho tew mu. Nsonsonoe no yɛɛ den dɛn ara wɔ ne Bɔfo no pɛyɛ a biribiara ntumi nsɛe no ne wɔn a, ɔne wɔn aka ho akyɛ wɔ Israel ne Yuda a wɔayi wɔn asi hɔ no mu no bɔne kwan ntam! Ɔteɛm sɛ, ‘Due me! efisɛ masɛe; efisɛ meyɛ onipa a m’ano ho ntew, na mete ɔman a wɔn ano ho ntew no mfinimfini: efisɛ m’ani ahu Ɔhene no, Asafo Awurade no.’ Nkyekyem 5. Bere a ogyina hɔ, te sɛ nea ɔwɔ ɔsoro anim hɔ hann pɛɛ mu wɔ kronkronbea no mu no, ɔhuu sɛ, sɛ wɔgyaa no maa n’ankasa ne pɛyɛ a ennu na wanni ahoɔden no a, anka ontumi nwie da koraa sɛ obedi dwuma a wɔafrɛ no aba so no ho dwuma. Nanso wɔsomaa seraf bi baa hɔ sɛ ɔbɛma n’awerɛhow no atɔ ne yam na wasiesie no ama ne som dwuma kɛse no. Wɔde ogya nnyansram a ɛte ase fi afɔremuka no so de kaa n’ano, na wɔkaa sɛ, ‘Hwɛ, eyi aka w’ano; na wɔayi w’amumɔyɛ afi hɔ, na wɔatew wo bɔne ho.’ Afei wɔtee Onyankopɔn nne sɛ ɛka sɛ, ‘Hena na mɛsoma, na hena na ɔbɛkɔ ama Yɛn?’ na Yesaia buae sɛ, ‘M’aba ha; soma me.’ Nkyekyem 7, 8.”</w:t>
      </w:r>
    </w:p>
    <w:p>
      <w:pPr>
        <w:pStyle w:val="ArticleScripture"/>
        <w:jc w:val="left"/>
      </w:pPr>
      <w:r>
        <w:rPr>
          <w:rFonts w:ascii="Times New Roman" w:hAnsi="Times New Roman" w:eastAsia="Times New Roman" w:cs="Times New Roman"/>
        </w:rPr>
        <w:t>“Pengunjung sorgawi itu memerintahkan kepada utusan yang sedang menanti itu, ‘Pergilah, dan katakanlah kepada bangsa ini, Memang kamu akan mendengar, tetapi tidak mengerti; Dan memang kamu akan melihat, tetapi tidak memahami. Buatlah hati bangsa ini menjadi tebal, Dan buatlah telinga mereka berat, serta pejamkanlah mata mereka; Supaya jangan mereka melihat dengan matanya, dan mendengar dengan telinganya, Dan mengerti dengan hatinya, Lalu bertobat, dan disembuhkan.’ Ayat 9, 10.</w:t>
      </w:r>
    </w:p>
    <w:p>
      <w:pPr>
        <w:pStyle w:val="ArticleScripture"/>
        <w:jc w:val="left"/>
      </w:pPr>
      <w:r>
        <w:rPr>
          <w:rFonts w:ascii="Times New Roman" w:hAnsi="Times New Roman" w:eastAsia="Times New Roman" w:cs="Times New Roman"/>
        </w:rPr>
        <w:t>“Tugas nabi itu jelas; ia harus mengangkat suaranya untuk memprotes kejahatan-kejahatan yang sedang merajalela. Namun ia gentar untuk memikul pekerjaan itu tanpa suatu jaminan pengharapan. ‘Tuhan, berapa lama lagi?’ tanyanya. Ayat 11. Apakah tidak ada seorang pun dari umat pilihan-Mu yang akan memahami, bertobat, dan disembuhkan?”</w:t>
      </w:r>
    </w:p>
    <w:p>
      <w:pPr>
        <w:pStyle w:val="ArticleScripture"/>
        <w:jc w:val="left"/>
      </w:pPr>
      <w:r>
        <w:rPr>
          <w:rFonts w:ascii="Times New Roman" w:hAnsi="Times New Roman" w:eastAsia="Times New Roman" w:cs="Times New Roman"/>
        </w:rPr>
        <w:t>“Utueyak wa umutedi wakwe ukukwata ku Yuda uwalubilamo tawateli ukuletwa apafye. Umulimo wakwe tawali uwakuba uwabula ifisabo lyonse. Nomba ububi ubwaleumfwala no kwandakana mu nkulo ishingi tawateli ukutalusheko mu nshita yakwe. Mu bumi bwakwe bonse ali no kuba umusambi wa kutekanya kandi uwashipa—kasesema wa bulayo nganshi pamo no wa bufi bwa busanso. Icihango cakwa Lesa pa kuselela ukwafikilishiwa, ifisabo fyonse ifya misebo yakwe, pamo ne milimo ya batumwa bonse abashinka bakwa Lesa, fikamoneka. Abasheleko bamo bakapususha. Ukuti ici cifikepo, amashiwi ya kucenjezya no kupapata yafwile ukulengewa ku calo ica kulamba, Shikulu alandile ati: ‘Mpaka imisumba yapoka no kubulamo abantu, Ne nyumba shibe abantu, Ne mpanga ibe iyapulamo sana, Kandi Shikulu afumye abantu ukubatwala ukutali, Kandi kube ukulekelelwa ukukalamba mukati ka mpanga.’ Verse 11, 12.”</w:t>
      </w:r>
    </w:p>
    <w:p>
      <w:pPr>
        <w:pStyle w:val="ArticleScripture"/>
        <w:jc w:val="left"/>
      </w:pPr>
      <w:r>
        <w:rPr>
          <w:rFonts w:ascii="Times New Roman" w:hAnsi="Times New Roman" w:eastAsia="Times New Roman" w:cs="Times New Roman"/>
        </w:rPr>
        <w:t>“Penghakiman berat yang akan menimpa mereka yang tidak bertaubat,—perang, pembuangan, penindasan, kehilangan kuasa dan martabat di antara bangsa-bangsa,—semua ini akan datang supaya mereka yang mengenali di dalamnya tangan Allah yang murka dapat dibimbing kepada pertobatan. Kesepuluh suku kerajaan utara itu tidak lama lagi akan tercerai-berai di antara bangsa-bangsa dan kota-kota mereka akan ditinggalkan sunyi; bala tentera pembinasa dari bangsa-bangsa yang memusuhi akan menyapu negeri mereka berulang kali; bahkan Yerusalem akhirnya akan jatuh, dan Yehuda akan dibawa ke dalam pembuangan; namun Tanah Perjanjian itu tidak akan tetap ditinggalkan sama sekali untuk selama-lamanya. Jaminan pengunjung syurgawi itu kepada Yesaya ialah: ‘Di dalamnya masih ada sepersepuluh, Dan itu akan kembali, lalu akan dimakan habis: Seperti pohon telebinth dan seperti pohon oak, Yang tunggulnya masih ada padanya, apabila daun-daunnya gugur: Demikianlah benih yang kudus itu akan menjadi tunggulnya.’ Ayat 13.”</w:t>
      </w:r>
    </w:p>
    <w:p>
      <w:pPr>
        <w:pStyle w:val="ArticleScripture"/>
        <w:jc w:val="left"/>
      </w:pPr>
      <w:r>
        <w:rPr>
          <w:rFonts w:ascii="Times New Roman" w:hAnsi="Times New Roman" w:eastAsia="Times New Roman" w:cs="Times New Roman"/>
        </w:rPr>
        <w:t>“Go tšhošega mo ga phethagatšong ya mafelelo ya morero wa Modimo go ile gwa tliša sebete pelong ya Jesaya. Go sa kgathale gore maatla a lefase a ka itlhomela kgahlanong le Juda? Go sa kgathale gore motseta wa Morena a ka kopana le kganetšo le go ganetšwa? Jesaya o be a bone Kgoši, Morena wa mašaba; o be a kwele sefela sa diserafime, ‘Lefase ka moka le tletše letago la Gagwe;’ o be a filwe tshepišo ya gore melaetša ya Jehofa go Juda yeo e boetšego morago e tla sepedišana le maatla a Moya o Mokgethwa a go kgodiša; gomme moporofeta o ile a tiišetšwa bakeng sa mošomo wo o bego o le ka pele ga gagwe. Temana 3. Go phatša le thomo ya gagwe ye telele le ye thata o ile a rwala gotee le yena kgopolo ya pono ye. Ka nywaga ye masome a tshela goba go feta o ile a ema pele ga bana ba Juda bjalo ka moporofeta wa kholofelo, a e-ba le sebete se segolo le go feta dipolelelong tša gagwe tša phenyo ya nakong e tlago ya kereke.” Baporofeta le Dikgoši,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Lima Puluh Lapan</dc:title>
  <dc:subject>Membuka Penglihatan: Memahami Hari-hari Perkabungan dalam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