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Enam Puluh Tiga</w:t>
      </w:r>
    </w:p>
    <w:p>
      <w:pPr>
        <w:pStyle w:val="ArticleSubtitle"/>
        <w:jc w:val="left"/>
      </w:pPr>
      <w:r>
        <w:rPr>
          <w:rFonts w:ascii="Nirmala UI" w:hAnsi="Nirmala UI" w:eastAsia="Nirmala UI" w:cs="Nirmala UI"/>
        </w:rPr>
        <w:t>ᱫᱟᱱᱤᱭᱮᱞ</w:t>
      </w:r>
      <w:r>
        <w:rPr>
          <w:rFonts w:ascii="Arial" w:hAnsi="Arial" w:eastAsia="Arial" w:cs="Arial"/>
        </w:rPr>
        <w:t xml:space="preserve"> </w:t>
      </w:r>
      <w:r>
        <w:rPr>
          <w:rFonts w:ascii="Nirmala UI" w:hAnsi="Nirmala UI" w:eastAsia="Nirmala UI" w:cs="Nirmala UI"/>
        </w:rPr>
        <w:t>ᱟᱜ</w:t>
      </w:r>
      <w:r>
        <w:rPr>
          <w:rFonts w:ascii="Arial" w:hAnsi="Arial" w:eastAsia="Arial" w:cs="Arial"/>
        </w:rPr>
        <w:t xml:space="preserve"> </w:t>
      </w:r>
      <w:r>
        <w:rPr>
          <w:rFonts w:ascii="Nirmala UI" w:hAnsi="Nirmala UI" w:eastAsia="Nirmala UI" w:cs="Nirmala UI"/>
        </w:rPr>
        <w:t>ᱮᱞᱮᱵᱮᱱ</w:t>
      </w:r>
      <w:r>
        <w:rPr>
          <w:rFonts w:ascii="Arial" w:hAnsi="Arial" w:eastAsia="Arial" w:cs="Arial"/>
        </w:rPr>
        <w:t xml:space="preserve"> </w:t>
      </w:r>
      <w:r>
        <w:rPr>
          <w:rFonts w:ascii="Nirmala UI" w:hAnsi="Nirmala UI" w:eastAsia="Nirmala UI" w:cs="Nirmala UI"/>
        </w:rPr>
        <w:t>ᱟᱫᱷᱭᱟᱭ</w:t>
      </w:r>
      <w:r>
        <w:rPr>
          <w:rFonts w:ascii="Arial" w:hAnsi="Arial" w:eastAsia="Arial" w:cs="Arial"/>
        </w:rPr>
        <w:t xml:space="preserve"> </w:t>
      </w:r>
      <w:r>
        <w:rPr>
          <w:rFonts w:ascii="Nirmala UI" w:hAnsi="Nirmala UI" w:eastAsia="Nirmala UI" w:cs="Nirmala UI"/>
        </w:rPr>
        <w:t>ᱨᱮ</w:t>
      </w:r>
      <w:r>
        <w:rPr>
          <w:rFonts w:ascii="Arial" w:hAnsi="Arial" w:eastAsia="Arial" w:cs="Arial"/>
        </w:rPr>
        <w:t xml:space="preserve"> </w:t>
      </w:r>
      <w:r>
        <w:rPr>
          <w:rFonts w:ascii="Nirmala UI" w:hAnsi="Nirmala UI" w:eastAsia="Nirmala UI" w:cs="Nirmala UI"/>
        </w:rPr>
        <w:t>ᱵᱷᱵᱤᱥᱥᱚᱛᱵᱟᱱᱤ</w:t>
      </w:r>
      <w:r>
        <w:rPr>
          <w:rFonts w:ascii="Arial" w:hAnsi="Arial" w:eastAsia="Arial" w:cs="Arial"/>
        </w:rPr>
        <w:t xml:space="preserve"> </w:t>
      </w:r>
      <w:r>
        <w:rPr>
          <w:rFonts w:ascii="Nirmala UI" w:hAnsi="Nirmala UI" w:eastAsia="Nirmala UI" w:cs="Nirmala UI"/>
        </w:rPr>
        <w:t>ᱩᱫᱩᱜ</w:t>
      </w:r>
      <w:r>
        <w:rPr>
          <w:rFonts w:ascii="Arial" w:hAnsi="Arial" w:eastAsia="Arial" w:cs="Arial"/>
        </w:rPr>
        <w:t xml:space="preserve">: </w:t>
      </w:r>
      <w:r>
        <w:rPr>
          <w:rFonts w:ascii="Nirmala UI" w:hAnsi="Nirmala UI" w:eastAsia="Nirmala UI" w:cs="Nirmala UI"/>
        </w:rPr>
        <w:t>ᱟᱱᱩᱥᱱᱫᱷᱟᱱ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Nirmala UI" w:hAnsi="Nirmala UI" w:eastAsia="Nirmala UI" w:cs="Nirmala UI"/>
        </w:rPr>
        <w:t>आम्ही</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दानियेलाच्या</w:t>
      </w:r>
      <w:r>
        <w:rPr>
          <w:rFonts w:ascii="Times New Roman" w:hAnsi="Times New Roman" w:eastAsia="Times New Roman" w:cs="Times New Roman"/>
        </w:rPr>
        <w:t xml:space="preserve"> </w:t>
      </w:r>
      <w:r>
        <w:rPr>
          <w:rFonts w:ascii="Nirmala UI" w:hAnsi="Nirmala UI" w:eastAsia="Nirmala UI" w:cs="Nirmala UI"/>
        </w:rPr>
        <w:t>अकराव्या</w:t>
      </w:r>
      <w:r>
        <w:rPr>
          <w:rFonts w:ascii="Times New Roman" w:hAnsi="Times New Roman" w:eastAsia="Times New Roman" w:cs="Times New Roman"/>
        </w:rPr>
        <w:t xml:space="preserve"> </w:t>
      </w:r>
      <w:r>
        <w:rPr>
          <w:rFonts w:ascii="Nirmala UI" w:hAnsi="Nirmala UI" w:eastAsia="Nirmala UI" w:cs="Nirmala UI"/>
        </w:rPr>
        <w:t>अध्यायाचा</w:t>
      </w:r>
      <w:r>
        <w:rPr>
          <w:rFonts w:ascii="Times New Roman" w:hAnsi="Times New Roman" w:eastAsia="Times New Roman" w:cs="Times New Roman"/>
        </w:rPr>
        <w:t xml:space="preserve"> </w:t>
      </w:r>
      <w:r>
        <w:rPr>
          <w:rFonts w:ascii="Nirmala UI" w:hAnsi="Nirmala UI" w:eastAsia="Nirmala UI" w:cs="Nirmala UI"/>
        </w:rPr>
        <w:t>क्रमाने</w:t>
      </w:r>
      <w:r>
        <w:rPr>
          <w:rFonts w:ascii="Times New Roman" w:hAnsi="Times New Roman" w:eastAsia="Times New Roman" w:cs="Times New Roman"/>
        </w:rPr>
        <w:t xml:space="preserve"> </w:t>
      </w:r>
      <w:r>
        <w:rPr>
          <w:rFonts w:ascii="Nirmala UI" w:hAnsi="Nirmala UI" w:eastAsia="Nirmala UI" w:cs="Nirmala UI"/>
        </w:rPr>
        <w:t>अभ्यास</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w:t>
      </w:r>
    </w:p>
    <w:p>
      <w:pPr>
        <w:pStyle w:val="ArticleScripture"/>
        <w:jc w:val="left"/>
      </w:pP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ਭੀ</w:t>
      </w:r>
      <w:r>
        <w:rPr>
          <w:rFonts w:ascii="Times New Roman" w:hAnsi="Times New Roman" w:eastAsia="Times New Roman" w:cs="Times New Roman"/>
        </w:rPr>
        <w:t xml:space="preserve">, </w:t>
      </w:r>
      <w:r>
        <w:rPr>
          <w:rFonts w:ascii="Nirmala UI" w:hAnsi="Nirmala UI" w:eastAsia="Nirmala UI" w:cs="Nirmala UI"/>
        </w:rPr>
        <w:t>ਮਾਦੀ</w:t>
      </w:r>
      <w:r>
        <w:rPr>
          <w:rFonts w:ascii="Times New Roman" w:hAnsi="Times New Roman" w:eastAsia="Times New Roman" w:cs="Times New Roman"/>
        </w:rPr>
        <w:t xml:space="preserve"> </w:t>
      </w:r>
      <w:r>
        <w:rPr>
          <w:rFonts w:ascii="Nirmala UI" w:hAnsi="Nirmala UI" w:eastAsia="Nirmala UI" w:cs="Nirmala UI"/>
        </w:rPr>
        <w:t>ਦਾਰਿਯੁਸ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ਪੁਸ਼ਟੀ</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ਦਿਖਾਵਾਂਗਾ।</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ਫ਼ਾਰਸ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ਉੱਠਣਗੇ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ਧਨਵਾਨ</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ਭੜਕਾਵੇਗਾ।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ਪਰਾਕ੍ਰਮੀ</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ਉੱਠੇਗਾ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ਇੱਛਾ</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ਉੱਠੇਗਾ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ਤੋੜਿਆ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ਹਵਾਵਾਂ</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ਵੰਡਿਆ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ਉਖਾੜਿਆ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ਇਤਨਾ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ਇਲਾਵਾ</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11:1–4</w:t>
      </w:r>
      <w:r>
        <w:rPr>
          <w:rFonts w:ascii="Nirmala UI" w:hAnsi="Nirmala UI" w:eastAsia="Nirmala UI" w:cs="Nirmala UI"/>
        </w:rPr>
        <w:t>।</w:t>
      </w:r>
    </w:p>
    <w:p>
      <w:pPr>
        <w:pStyle w:val="ArticleBody"/>
        <w:jc w:val="left"/>
      </w:pPr>
      <w:r>
        <w:rPr>
          <w:rFonts w:ascii="Times New Roman" w:hAnsi="Times New Roman" w:eastAsia="Times New Roman" w:cs="Times New Roman"/>
        </w:rPr>
        <w:t>Jibriel aneanza kwa kumjulisha Danieli kwamba yeye pia alifanya kazi pamoja na Dario katika mwaka wake wa kwanza, ambao ni mwaka ambao mpwa wa Dario, jemadari wake, aliiteka Babeli na kumwua Belshaza. Danieli anapokea ono hili katika mwaka wa tatu wa Koreshi, kulingana na aya ya kwanza ya sura ya kumi, kwa hiyo Jibriel anawaainisha wote wawili, Dario na Koreshi, kuwa alama zinazowakilisha “wakati wa mwisho.” Belshaza na Babeli vilitekwa na Milki ya Wamedi na Waajemi katika mwaka wa 538 KK.</w:t>
      </w:r>
    </w:p>
    <w:p>
      <w:pPr>
        <w:pStyle w:val="ArticleScripture"/>
        <w:jc w:val="left"/>
      </w:pPr>
      <w:r>
        <w:rPr>
          <w:rFonts w:ascii="Times New Roman" w:hAnsi="Times New Roman" w:eastAsia="Times New Roman" w:cs="Times New Roman"/>
        </w:rPr>
        <w:t>“Ko Kairo i ringkhum ia ka Babylon, kaba u la shim da ka buit ha ka snem 538 BC, bad ryngkat bad ka jingïap jong u Belshazzar, ïa uba ki Persia ki la pyniap, ka hima Babylon ka la kut noh ka jingïalong jong ka.” Uriah Smith, Daniel and the Revelation, 46.</w:t>
      </w:r>
    </w:p>
    <w:p>
      <w:pPr>
        <w:pStyle w:val="ArticleBody"/>
        <w:jc w:val="left"/>
      </w:pPr>
      <w:r>
        <w:rPr>
          <w:rFonts w:ascii="Times New Roman" w:hAnsi="Times New Roman" w:eastAsia="Times New Roman" w:cs="Times New Roman"/>
        </w:rPr>
        <w:t>Pada tahun 538 SM, Daniel mencatat pasal sembilan.</w:t>
      </w:r>
    </w:p>
    <w:p>
      <w:pPr>
        <w:pStyle w:val="ArticleScripture"/>
        <w:jc w:val="left"/>
      </w:pPr>
      <w:r>
        <w:rPr>
          <w:rFonts w:ascii="Times New Roman" w:hAnsi="Times New Roman" w:eastAsia="Times New Roman" w:cs="Times New Roman"/>
        </w:rPr>
        <w:t>“Penglihatan yang tercatat dalam bab sebelumnya [bab lapan] telah diberikan pada tahun ketiga pemerintahan Belsyazar, 538 SM. Pada tahun yang sama, yang juga merupakan tahun pertama pemerintahan Darius, berlakulah peristiwa-peristiwa yang diceritakan dalam bab ini [bab sembilan].” Uriah Smith, Daniel and the Revelation, 205.</w:t>
      </w:r>
    </w:p>
    <w:p>
      <w:pPr>
        <w:pStyle w:val="ArticleBody"/>
        <w:jc w:val="left"/>
      </w:pPr>
      <w:r>
        <w:rPr>
          <w:rFonts w:ascii="Times New Roman" w:hAnsi="Times New Roman" w:eastAsia="Times New Roman" w:cs="Times New Roman"/>
        </w:rPr>
        <w:t>Tahun pertama Darius, iaitu tahun ketiga dan terakhir pemerintahan Belsyazar, pada tahun 538 SM, Tuhan menghukum tanah orang Kasdim dan menjadikannya sunyi sepi.</w:t>
      </w:r>
    </w:p>
    <w:p>
      <w:pPr>
        <w:pStyle w:val="ArticleScripture"/>
        <w:jc w:val="left"/>
      </w:pPr>
      <w:r>
        <w:rPr>
          <w:rFonts w:ascii="Times New Roman" w:hAnsi="Times New Roman" w:eastAsia="Times New Roman" w:cs="Times New Roman"/>
        </w:rPr>
        <w:t>Ari, bumë bumo byona bujaku musobe no kwa kushangaza; na mataifa haya yatamtumikia mfalme wa Babeli miaka sabini. Tena itakuwa, miaka sabini itakapotimia, ndipo nitakapomwadhibu mfalme wa Babeli, na taifa lile, asema Bwana, kwa ajili ya uovu wao, na nchi ya Wakaldayo, nami nitaifanya kuwa ukiwa wa milele. Yeremia 25:11, 12.</w:t>
      </w:r>
    </w:p>
    <w:p>
      <w:pPr>
        <w:pStyle w:val="ArticleBody"/>
        <w:jc w:val="left"/>
      </w:pPr>
      <w:r>
        <w:rPr>
          <w:rFonts w:ascii="Times New Roman" w:hAnsi="Times New Roman" w:eastAsia="Times New Roman" w:cs="Times New Roman"/>
        </w:rPr>
        <w:t>Dalam ayat sepuluh, Tuhan menggunakan perkataan “selepas”, ketika Dia beralih kepada penghukuman atas Babel. “Selepas” Babel dijadikan sunyi sepi, Tuhan akan melaksanakan pekerjaan-Nya yang baik bagi umat Allah.</w:t>
      </w:r>
    </w:p>
    <w:p>
      <w:pPr>
        <w:pStyle w:val="ArticleScripture"/>
        <w:jc w:val="left"/>
      </w:pPr>
      <w:r>
        <w:rPr>
          <w:rFonts w:ascii="Times New Roman" w:hAnsi="Times New Roman" w:eastAsia="Times New Roman" w:cs="Times New Roman"/>
        </w:rPr>
        <w:t>“</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சொல்லுகிறது</w:t>
      </w:r>
      <w:r>
        <w:rPr>
          <w:rFonts w:ascii="Times New Roman" w:hAnsi="Times New Roman" w:eastAsia="Times New Roman" w:cs="Times New Roman"/>
        </w:rPr>
        <w:t xml:space="preserve">: </w:t>
      </w:r>
      <w:r>
        <w:rPr>
          <w:rFonts w:ascii="Nirmala UI" w:hAnsi="Nirmala UI" w:eastAsia="Nirmala UI" w:cs="Nirmala UI"/>
        </w:rPr>
        <w:t>பாபிலோனில்</w:t>
      </w:r>
      <w:r>
        <w:rPr>
          <w:rFonts w:ascii="Times New Roman" w:hAnsi="Times New Roman" w:eastAsia="Times New Roman" w:cs="Times New Roman"/>
        </w:rPr>
        <w:t xml:space="preserve"> </w:t>
      </w:r>
      <w:r>
        <w:rPr>
          <w:rFonts w:ascii="Nirmala UI" w:hAnsi="Nirmala UI" w:eastAsia="Nirmala UI" w:cs="Nirmala UI"/>
        </w:rPr>
        <w:t>எழுபது</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நிறைவுற்றபின்</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உங்களைத்</w:t>
      </w:r>
      <w:r>
        <w:rPr>
          <w:rFonts w:ascii="Times New Roman" w:hAnsi="Times New Roman" w:eastAsia="Times New Roman" w:cs="Times New Roman"/>
        </w:rPr>
        <w:t xml:space="preserve"> </w:t>
      </w:r>
      <w:r>
        <w:rPr>
          <w:rFonts w:ascii="Nirmala UI" w:hAnsi="Nirmala UI" w:eastAsia="Nirmala UI" w:cs="Nirmala UI"/>
        </w:rPr>
        <w:t>தரிசித்து</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இந்நிலைக்கு</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கொண்டுவருவேன்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நல்ல</w:t>
      </w:r>
      <w:r>
        <w:rPr>
          <w:rFonts w:ascii="Times New Roman" w:hAnsi="Times New Roman" w:eastAsia="Times New Roman" w:cs="Times New Roman"/>
        </w:rPr>
        <w:t xml:space="preserve"> </w:t>
      </w:r>
      <w:r>
        <w:rPr>
          <w:rFonts w:ascii="Nirmala UI" w:hAnsi="Nirmala UI" w:eastAsia="Nirmala UI" w:cs="Nirmala UI"/>
        </w:rPr>
        <w:t>வார்த்தையை</w:t>
      </w:r>
      <w:r>
        <w:rPr>
          <w:rFonts w:ascii="Times New Roman" w:hAnsi="Times New Roman" w:eastAsia="Times New Roman" w:cs="Times New Roman"/>
        </w:rPr>
        <w:t xml:space="preserve"> </w:t>
      </w:r>
      <w:r>
        <w:rPr>
          <w:rFonts w:ascii="Nirmala UI" w:hAnsi="Nirmala UI" w:eastAsia="Nirmala UI" w:cs="Nirmala UI"/>
        </w:rPr>
        <w:t>உங்கள்மேல்</w:t>
      </w:r>
      <w:r>
        <w:rPr>
          <w:rFonts w:ascii="Times New Roman" w:hAnsi="Times New Roman" w:eastAsia="Times New Roman" w:cs="Times New Roman"/>
        </w:rPr>
        <w:t xml:space="preserve"> </w:t>
      </w:r>
      <w:r>
        <w:rPr>
          <w:rFonts w:ascii="Nirmala UI" w:hAnsi="Nirmala UI" w:eastAsia="Nirmala UI" w:cs="Nirmala UI"/>
        </w:rPr>
        <w:t>நிறைவேற்றுவேன்</w:t>
      </w:r>
      <w:r>
        <w:rPr>
          <w:rFonts w:ascii="Times New Roman" w:hAnsi="Times New Roman" w:eastAsia="Times New Roman" w:cs="Times New Roman"/>
        </w:rPr>
        <w:t xml:space="preserve">.” </w:t>
      </w:r>
      <w:r>
        <w:rPr>
          <w:rFonts w:ascii="Nirmala UI" w:hAnsi="Nirmala UI" w:eastAsia="Nirmala UI" w:cs="Nirmala UI"/>
        </w:rPr>
        <w:t>எரேமியா</w:t>
      </w:r>
      <w:r>
        <w:rPr>
          <w:rFonts w:ascii="Times New Roman" w:hAnsi="Times New Roman" w:eastAsia="Times New Roman" w:cs="Times New Roman"/>
        </w:rPr>
        <w:t xml:space="preserve"> 25:10.</w:t>
      </w:r>
    </w:p>
    <w:p>
      <w:pPr>
        <w:pStyle w:val="ArticleBody"/>
        <w:jc w:val="left"/>
      </w:pPr>
      <w:r>
        <w:rPr>
          <w:rFonts w:ascii="Times New Roman" w:hAnsi="Times New Roman" w:eastAsia="Times New Roman" w:cs="Times New Roman"/>
        </w:rPr>
        <w:t>Pitunungan pitu pulu taun dimulai pada taun 606 SM.</w:t>
      </w:r>
    </w:p>
    <w:p>
      <w:pPr>
        <w:pStyle w:val="ArticleScripture"/>
        <w:jc w:val="left"/>
      </w:pPr>
      <w:r>
        <w:rPr>
          <w:rFonts w:ascii="Times New Roman" w:hAnsi="Times New Roman" w:eastAsia="Times New Roman" w:cs="Times New Roman"/>
        </w:rPr>
        <w:t>“Bermulanya tujuh puluh tahun itu pada 606 SM, Daniel memahami bahawa masa itu kini sedang menghampiri pengakhirannya.” Uriah Smith, Daniel and the Revelation, 205.</w:t>
      </w:r>
    </w:p>
    <w:p>
      <w:pPr>
        <w:pStyle w:val="ArticleBody"/>
        <w:jc w:val="left"/>
      </w:pPr>
      <w:r>
        <w:rPr>
          <w:rFonts w:ascii="Times New Roman" w:hAnsi="Times New Roman" w:eastAsia="Times New Roman" w:cs="Times New Roman"/>
        </w:rPr>
        <w:t>Panutuping pitung puluh taun pangasingan wiwit ing taun 606 SM, lan rampung ing taun 536 SM, yaiku rong taun sawisé patiné Belsyazar lan karusakan Babil ing taun 538 SM. Iku ana ing taun katelu Koresy. Gabriel nempatake ramalan Kali Hiddekel ing taun katelu Koresy, lan miwiti carita ing pasal sewelas kanthi nyebut taun kapisan Darius, lan kanthi mangkono dheweke lagi nandhani rong taun kang tinamtu. Taun 538 SM lan 536 SM loro-loroné padha dadi wektu kang wis katetepaké; taun 538 SM dadi wektu kang wis katetepaké supaya ramalan pitung puluh taun iku rampung, lan taun 536 SM dadi wektu ramalan kang wis katetepaké nalika “sawisé” 538 SM, Gusti bakal nindakaké pakaryan becik Panjenengané tumrap umaté.</w:t>
      </w:r>
    </w:p>
    <w:p>
      <w:pPr>
        <w:pStyle w:val="ArticleBody"/>
        <w:jc w:val="left"/>
      </w:pPr>
      <w:r>
        <w:rPr>
          <w:rFonts w:ascii="Times New Roman" w:hAnsi="Times New Roman" w:eastAsia="Times New Roman" w:cs="Times New Roman"/>
        </w:rPr>
        <w:t>538 BC dan 536 BC, kedua-duanya ialah waktu yang telah ditetapkan, dan kedua-duanya dilambangkan oleh dua tokoh sejarah; yang seorang ialah raja pertama Media dan yang kedua raja pertama Parsi. Berakhirnya tujuh puluh tahun Israel secara harfiah ditawan di Babilon secara harfiah melambangkan seribu dua ratus enam puluh tahun Israel rohani ditawan di Babilon rohani, dari tahun 538 M hingga 1798. Tahun 1798 ialah suatu “waktu yang telah ditetapkan”, dan kemudian tempoh yang dikenal pasti secara nubuat sebagai “zaman akhir” pun bermula. 538 BC dan 536 BC, yang dilambangkan sebagai suatu “waktu yang telah ditetapkan”, juga menandai permulaan suatu tempoh yang dilambangkan sebagai “zaman akhir”.</w:t>
      </w:r>
    </w:p>
    <w:p>
      <w:pPr>
        <w:pStyle w:val="ArticleScripture"/>
        <w:jc w:val="left"/>
      </w:pPr>
      <w:r>
        <w:rPr>
          <w:rFonts w:ascii="Times New Roman" w:hAnsi="Times New Roman" w:eastAsia="Times New Roman" w:cs="Times New Roman"/>
        </w:rPr>
        <w:t>“Lekgotla la Modimo mo lefatsheng le ne le le mo botshwarong ka boammaaruri mo nakong eno e telele ya pogiso e e sa kgaotseng, fela jaaka bana ba Iseraele ba ne ba tswerwe mo botshwarong kwa Babelona mo nakong ya botshwarwa.” Prophets and Kings, 714.</w:t>
      </w:r>
    </w:p>
    <w:p>
      <w:pPr>
        <w:pStyle w:val="ArticleBody"/>
        <w:jc w:val="left"/>
      </w:pPr>
      <w:r>
        <w:rPr>
          <w:rFonts w:ascii="Times New Roman" w:hAnsi="Times New Roman" w:eastAsia="Times New Roman" w:cs="Times New Roman"/>
        </w:rPr>
        <w:t>Boprofeta bohle bo lebane ka ho khetheha haholo le matsatsi a ho qetela ho feta matsatsi ao bo ileng ba phethahala ka ’ona pele; ka hona 538 BC le morena Dariuse, hammoho le 536 BC le morena Korese, li emela “nako ya bofelo” ka 1989, ’me marena ao a mabeli a tšoantšetsa Mopresidente Reagan le Mopresidente Bush wa pele. 538 BC le 536 BC li emela letshwao la tsela le phethahalang ha matsatsi ao ka bobedi a utlwisisoa hore a emela letshwao le le leng la tsela. Letshwao la tsela la “nako ya bofelo” le na le matshwao a mabeli, ’me ka dinako tse dingwe, jwaloka ka Reagan le Bush wa pele, matshwao ka bobedi a phethahala ka selemo se le seng. Empa hoo ke mokgethelo molaong, hobane letshwao la tsela la “nako ya bofelo” mehleng ya Moshe e ne e le tswalo ya Aarone le Moshe ka bobedi, e neng e arohane ka dilemo tse tharo. Historing ya Kreste, e ne e le tswalo ya Johanne Mokolobetsi le Kreste e neng e arohane ka dikgwedi tse tsheletseng.</w:t>
      </w:r>
    </w:p>
    <w:p>
      <w:pPr>
        <w:pStyle w:val="ArticleBody"/>
        <w:jc w:val="left"/>
      </w:pPr>
      <w:r>
        <w:rPr>
          <w:rFonts w:ascii="Times New Roman" w:hAnsi="Times New Roman" w:eastAsia="Times New Roman" w:cs="Times New Roman"/>
        </w:rPr>
        <w:t>Dengan “masa kesudahan,” dalam sejarah antikristus hal itu ialah pada tahun 1798 dan 1799. Revolusi Prancis adalah suatu pokok nubuat, dan revolusi itu bermula pada tahun 1789, serta berlangsung selama sepuluh tahun, berakhir pada tahun 1799, pada waktu yang telah ditetapkan baginya, sebagaimana tahun 1798 juga merupakan suatu waktu yang telah ditetapkan. Bersama-sama, keduanya menandai luka yang mematikan yang diberikan kepada binatang itu, dan juga perempuan yang menunggangi serta memerintah atas binatang itu. Darius adalah raja yang mengalahkan musuhnya dengan mengirim tentaranya masuk melalui “tembok,” dan ia melambangkan Reagan, yang mengalahkan musuhnya dengan meruntuhkan tembok dari “tirai besi.” Koresy melambangkan Bush yang pertama, sebab Koresy dikenal sebagai Koresy Agung, dan George Bush yang pertama adalah Bush yang lebih agung, sedangkan Bush yang terakhir adalah Bush yang lebih kecil.</w:t>
      </w:r>
    </w:p>
    <w:p>
      <w:pPr>
        <w:pStyle w:val="ArticleBody"/>
        <w:jc w:val="left"/>
      </w:pPr>
      <w:r>
        <w:rPr>
          <w:rFonts w:ascii="Leelawadee UI" w:hAnsi="Leelawadee UI" w:eastAsia="Leelawadee UI" w:cs="Leelawadee UI"/>
        </w:rPr>
        <w:t>ត្បិតស្ដេចទាំងពីរនេះ</w:t>
      </w:r>
      <w:r>
        <w:rPr>
          <w:rFonts w:ascii="Times New Roman" w:hAnsi="Times New Roman" w:eastAsia="Times New Roman" w:cs="Times New Roman"/>
        </w:rPr>
        <w:t xml:space="preserve"> </w:t>
      </w:r>
      <w:r>
        <w:rPr>
          <w:rFonts w:ascii="Leelawadee UI" w:hAnsi="Leelawadee UI" w:eastAsia="Leelawadee UI" w:cs="Leelawadee UI"/>
        </w:rPr>
        <w:t>និងកាលបរិច្ឆេទទាំងពីរដែលពួកគេតំណាងឱ្យ</w:t>
      </w:r>
      <w:r>
        <w:rPr>
          <w:rFonts w:ascii="Times New Roman" w:hAnsi="Times New Roman" w:eastAsia="Times New Roman" w:cs="Times New Roman"/>
        </w:rPr>
        <w:t xml:space="preserve"> </w:t>
      </w:r>
      <w:r>
        <w:rPr>
          <w:rFonts w:ascii="Leelawadee UI" w:hAnsi="Leelawadee UI" w:eastAsia="Leelawadee UI" w:cs="Leelawadee UI"/>
        </w:rPr>
        <w:t>ពិតជានិមិត្តសញ្ញាតែមួយ។</w:t>
      </w:r>
      <w:r>
        <w:rPr>
          <w:rFonts w:ascii="Times New Roman" w:hAnsi="Times New Roman" w:eastAsia="Times New Roman" w:cs="Times New Roman"/>
        </w:rPr>
        <w:t xml:space="preserve"> </w:t>
      </w:r>
      <w:r>
        <w:rPr>
          <w:rFonts w:ascii="Leelawadee UI" w:hAnsi="Leelawadee UI" w:eastAsia="Leelawadee UI" w:cs="Leelawadee UI"/>
        </w:rPr>
        <w:t>មួយសម្គាល់អំឡុងពេលចិតសិបឆ្នាំដែលបាប៊ីឡូននឹងគ្រប់គ្រង។</w:t>
      </w:r>
      <w:r>
        <w:rPr>
          <w:rFonts w:ascii="Times New Roman" w:hAnsi="Times New Roman" w:eastAsia="Times New Roman" w:cs="Times New Roman"/>
        </w:rPr>
        <w:t xml:space="preserve"> </w:t>
      </w:r>
      <w:r>
        <w:rPr>
          <w:rFonts w:ascii="Leelawadee UI" w:hAnsi="Leelawadee UI" w:eastAsia="Leelawadee UI" w:cs="Leelawadee UI"/>
        </w:rPr>
        <w:t>អំឡុងពេលចិតសិបឆ្នាំនោះបានដល់ពេលកំណត់របស់វានៅឆ្នាំ</w:t>
      </w:r>
      <w:r>
        <w:rPr>
          <w:rFonts w:ascii="Times New Roman" w:hAnsi="Times New Roman" w:eastAsia="Times New Roman" w:cs="Times New Roman"/>
        </w:rPr>
        <w:t xml:space="preserve"> 538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ហើយត្រូវបានតំណាងដោយដារីយុស។</w:t>
      </w:r>
      <w:r>
        <w:rPr>
          <w:rFonts w:ascii="Times New Roman" w:hAnsi="Times New Roman" w:eastAsia="Times New Roman" w:cs="Times New Roman"/>
        </w:rPr>
        <w:t xml:space="preserve"> </w:t>
      </w:r>
      <w:r>
        <w:rPr>
          <w:rFonts w:ascii="Leelawadee UI" w:hAnsi="Leelawadee UI" w:eastAsia="Leelawadee UI" w:cs="Leelawadee UI"/>
        </w:rPr>
        <w:t>ការបញ្ចប់នៃការជាប់ឃុំជាឈ្លើយអស់រយៈពេលចិតសិបឆ្នាំ</w:t>
      </w:r>
      <w:r>
        <w:rPr>
          <w:rFonts w:ascii="Times New Roman" w:hAnsi="Times New Roman" w:eastAsia="Times New Roman" w:cs="Times New Roman"/>
        </w:rPr>
        <w:t xml:space="preserve"> </w:t>
      </w:r>
      <w:r>
        <w:rPr>
          <w:rFonts w:ascii="Leelawadee UI" w:hAnsi="Leelawadee UI" w:eastAsia="Leelawadee UI" w:cs="Leelawadee UI"/>
        </w:rPr>
        <w:t>បានដល់ពេលកំណត់របស់វានៅឆ្នាំ</w:t>
      </w:r>
      <w:r>
        <w:rPr>
          <w:rFonts w:ascii="Times New Roman" w:hAnsi="Times New Roman" w:eastAsia="Times New Roman" w:cs="Times New Roman"/>
        </w:rPr>
        <w:t xml:space="preserve"> 536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ហើយត្រូវបានតំណាងដោយស៊ីរូស។</w:t>
      </w:r>
      <w:r>
        <w:rPr>
          <w:rFonts w:ascii="Times New Roman" w:hAnsi="Times New Roman" w:eastAsia="Times New Roman" w:cs="Times New Roman"/>
        </w:rPr>
        <w:t xml:space="preserve"> </w:t>
      </w:r>
      <w:r>
        <w:rPr>
          <w:rFonts w:ascii="Leelawadee UI" w:hAnsi="Leelawadee UI" w:eastAsia="Leelawadee UI" w:cs="Leelawadee UI"/>
        </w:rPr>
        <w:t>រួមគ្នា</w:t>
      </w:r>
      <w:r>
        <w:rPr>
          <w:rFonts w:ascii="Times New Roman" w:hAnsi="Times New Roman" w:eastAsia="Times New Roman" w:cs="Times New Roman"/>
        </w:rPr>
        <w:t xml:space="preserve"> </w:t>
      </w:r>
      <w:r>
        <w:rPr>
          <w:rFonts w:ascii="Leelawadee UI" w:hAnsi="Leelawadee UI" w:eastAsia="Leelawadee UI" w:cs="Leelawadee UI"/>
        </w:rPr>
        <w:t>ពួកគេតំណាងឱ្យ</w:t>
      </w:r>
      <w:r>
        <w:rPr>
          <w:rFonts w:ascii="Times New Roman" w:hAnsi="Times New Roman" w:eastAsia="Times New Roman" w:cs="Times New Roman"/>
        </w:rPr>
        <w:t xml:space="preserve"> «</w:t>
      </w:r>
      <w:r>
        <w:rPr>
          <w:rFonts w:ascii="Leelawadee UI" w:hAnsi="Leelawadee UI" w:eastAsia="Leelawadee UI" w:cs="Leelawadee UI"/>
        </w:rPr>
        <w:t>ពេលវេលានៃចុងបញ្ចប់</w:t>
      </w:r>
      <w:r>
        <w:rPr>
          <w:rFonts w:ascii="Times New Roman" w:hAnsi="Times New Roman" w:eastAsia="Times New Roman" w:cs="Times New Roman"/>
        </w:rPr>
        <w:t xml:space="preserve">» </w:t>
      </w:r>
      <w:r>
        <w:rPr>
          <w:rFonts w:ascii="Leelawadee UI" w:hAnsi="Leelawadee UI" w:eastAsia="Leelawadee UI" w:cs="Leelawadee UI"/>
        </w:rPr>
        <w:t>នៅពេលដែលពន្លឺទំនាយត្រូវបានបើកបង្ហាញឡើងវិញ។</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1798 </w:t>
      </w:r>
      <w:r>
        <w:rPr>
          <w:rFonts w:ascii="Leelawadee UI" w:hAnsi="Leelawadee UI" w:eastAsia="Leelawadee UI" w:cs="Leelawadee UI"/>
        </w:rPr>
        <w:t>ទេវតាទីមួយនៃវិវរណៈ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បានមកដល់</w:t>
      </w:r>
      <w:r>
        <w:rPr>
          <w:rFonts w:ascii="Times New Roman" w:hAnsi="Times New Roman" w:eastAsia="Times New Roman" w:cs="Times New Roman"/>
        </w:rPr>
        <w:t xml:space="preserve"> «</w:t>
      </w:r>
      <w:r>
        <w:rPr>
          <w:rFonts w:ascii="Leelawadee UI" w:hAnsi="Leelawadee UI" w:eastAsia="Leelawadee UI" w:cs="Leelawadee UI"/>
        </w:rPr>
        <w:t>ពេលវេលានៃចុងបញ្ចប់</w:t>
      </w:r>
      <w:r>
        <w:rPr>
          <w:rFonts w:ascii="Times New Roman" w:hAnsi="Times New Roman" w:eastAsia="Times New Roman" w:cs="Times New Roman"/>
        </w:rPr>
        <w:t xml:space="preserve">» </w:t>
      </w:r>
      <w:r>
        <w:rPr>
          <w:rFonts w:ascii="Leelawadee UI" w:hAnsi="Leelawadee UI" w:eastAsia="Leelawadee UI" w:cs="Leelawadee UI"/>
        </w:rPr>
        <w:t>ហើយបងស្រី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និយាយថា</w:t>
      </w:r>
      <w:r>
        <w:rPr>
          <w:rFonts w:ascii="Times New Roman" w:hAnsi="Times New Roman" w:eastAsia="Times New Roman" w:cs="Times New Roman"/>
        </w:rPr>
        <w:t xml:space="preserve"> </w:t>
      </w:r>
      <w:r>
        <w:rPr>
          <w:rFonts w:ascii="Leelawadee UI" w:hAnsi="Leelawadee UI" w:eastAsia="Leelawadee UI" w:cs="Leelawadee UI"/>
        </w:rPr>
        <w:t>ទេវតានោះ</w:t>
      </w:r>
      <w:r>
        <w:rPr>
          <w:rFonts w:ascii="Times New Roman" w:hAnsi="Times New Roman" w:eastAsia="Times New Roman" w:cs="Times New Roman"/>
        </w:rPr>
        <w:t xml:space="preserve"> «</w:t>
      </w:r>
      <w:r>
        <w:rPr>
          <w:rFonts w:ascii="Leelawadee UI" w:hAnsi="Leelawadee UI" w:eastAsia="Leelawadee UI" w:cs="Leelawadee UI"/>
        </w:rPr>
        <w:t>មិនមែនជាបុគ្គលណាផ្សេងក្រៅពីព្រះយេស៊ូវគ្រីស្ទទេ</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Myanmar Text" w:hAnsi="Myanmar Text" w:eastAsia="Myanmar Text" w:cs="Myanmar Text"/>
        </w:rPr>
        <w:t>ပေရသိဘုရင်</w:t>
      </w:r>
      <w:r>
        <w:rPr>
          <w:rFonts w:ascii="Times New Roman" w:hAnsi="Times New Roman" w:eastAsia="Times New Roman" w:cs="Times New Roman"/>
        </w:rPr>
        <w:t xml:space="preserve"> </w:t>
      </w:r>
      <w:r>
        <w:rPr>
          <w:rFonts w:ascii="Myanmar Text" w:hAnsi="Myanmar Text" w:eastAsia="Myanmar Text" w:cs="Myanmar Text"/>
        </w:rPr>
        <w:t>ကုရုမင်း၏</w:t>
      </w:r>
      <w:r>
        <w:rPr>
          <w:rFonts w:ascii="Times New Roman" w:hAnsi="Times New Roman" w:eastAsia="Times New Roman" w:cs="Times New Roman"/>
        </w:rPr>
        <w:t xml:space="preserve"> </w:t>
      </w:r>
      <w:r>
        <w:rPr>
          <w:rFonts w:ascii="Myanmar Text" w:hAnsi="Myanmar Text" w:eastAsia="Myanmar Text" w:cs="Myanmar Text"/>
        </w:rPr>
        <w:t>တတိယနှစ်၌၊</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w:t>
      </w:r>
      <w:r>
        <w:rPr>
          <w:rFonts w:ascii="Times New Roman" w:hAnsi="Times New Roman" w:eastAsia="Times New Roman" w:cs="Times New Roman"/>
        </w:rPr>
        <w:t xml:space="preserve"> </w:t>
      </w:r>
      <w:r>
        <w:rPr>
          <w:rFonts w:ascii="Myanmar Text" w:hAnsi="Myanmar Text" w:eastAsia="Myanmar Text" w:cs="Myanmar Text"/>
        </w:rPr>
        <w:t>မင်းသားဖြစ်၍</w:t>
      </w:r>
      <w:r>
        <w:rPr>
          <w:rFonts w:ascii="Times New Roman" w:hAnsi="Times New Roman" w:eastAsia="Times New Roman" w:cs="Times New Roman"/>
        </w:rPr>
        <w:t xml:space="preserve"> </w:t>
      </w:r>
      <w:r>
        <w:rPr>
          <w:rFonts w:ascii="Myanmar Text" w:hAnsi="Myanmar Text" w:eastAsia="Myanmar Text" w:cs="Myanmar Text"/>
        </w:rPr>
        <w:t>ကောင်းကင်တမန်များအပေါ်</w:t>
      </w:r>
      <w:r>
        <w:rPr>
          <w:rFonts w:ascii="Times New Roman" w:hAnsi="Times New Roman" w:eastAsia="Times New Roman" w:cs="Times New Roman"/>
        </w:rPr>
        <w:t xml:space="preserve"> </w:t>
      </w:r>
      <w:r>
        <w:rPr>
          <w:rFonts w:ascii="Myanmar Text" w:hAnsi="Myanmar Text" w:eastAsia="Myanmar Text" w:cs="Myanmar Text"/>
        </w:rPr>
        <w:t>အာခန်ဂေလ်ဖြစ်သော</w:t>
      </w:r>
      <w:r>
        <w:rPr>
          <w:rFonts w:ascii="Times New Roman" w:hAnsi="Times New Roman" w:eastAsia="Times New Roman" w:cs="Times New Roman"/>
        </w:rPr>
        <w:t xml:space="preserve"> </w:t>
      </w:r>
      <w:r>
        <w:rPr>
          <w:rFonts w:ascii="Myanmar Text" w:hAnsi="Myanmar Text" w:eastAsia="Myanmar Text" w:cs="Myanmar Text"/>
        </w:rPr>
        <w:t>မိခေလသည်</w:t>
      </w:r>
      <w:r>
        <w:rPr>
          <w:rFonts w:ascii="Times New Roman" w:hAnsi="Times New Roman" w:eastAsia="Times New Roman" w:cs="Times New Roman"/>
        </w:rPr>
        <w:t xml:space="preserve"> </w:t>
      </w:r>
      <w:r>
        <w:rPr>
          <w:rFonts w:ascii="Myanmar Text" w:hAnsi="Myanmar Text" w:eastAsia="Myanmar Text" w:cs="Myanmar Text"/>
        </w:rPr>
        <w:t>ဆင်းသက်လာကာ</w:t>
      </w:r>
      <w:r>
        <w:rPr>
          <w:rFonts w:ascii="Times New Roman" w:hAnsi="Times New Roman" w:eastAsia="Times New Roman" w:cs="Times New Roman"/>
        </w:rPr>
        <w:t xml:space="preserve"> </w:t>
      </w:r>
      <w:r>
        <w:rPr>
          <w:rFonts w:ascii="Myanmar Text" w:hAnsi="Myanmar Text" w:eastAsia="Myanmar Text" w:cs="Myanmar Text"/>
        </w:rPr>
        <w:t>ကုရုနှင့်</w:t>
      </w:r>
      <w:r>
        <w:rPr>
          <w:rFonts w:ascii="Times New Roman" w:hAnsi="Times New Roman" w:eastAsia="Times New Roman" w:cs="Times New Roman"/>
        </w:rPr>
        <w:t xml:space="preserve"> </w:t>
      </w:r>
      <w:r>
        <w:rPr>
          <w:rFonts w:ascii="Myanmar Text" w:hAnsi="Myanmar Text" w:eastAsia="Myanmar Text" w:cs="Myanmar Text"/>
        </w:rPr>
        <w:t>ဆက်ဆံလှုပ်ရှား၍၊</w:t>
      </w:r>
      <w:r>
        <w:rPr>
          <w:rFonts w:ascii="Times New Roman" w:hAnsi="Times New Roman" w:eastAsia="Times New Roman" w:cs="Times New Roman"/>
        </w:rPr>
        <w:t xml:space="preserve"> </w:t>
      </w:r>
      <w:r>
        <w:rPr>
          <w:rFonts w:ascii="Myanmar Text" w:hAnsi="Myanmar Text" w:eastAsia="Myanmar Text" w:cs="Myanmar Text"/>
        </w:rPr>
        <w:t>ကုရုအား</w:t>
      </w:r>
      <w:r>
        <w:rPr>
          <w:rFonts w:ascii="Times New Roman" w:hAnsi="Times New Roman" w:eastAsia="Times New Roman" w:cs="Times New Roman"/>
        </w:rPr>
        <w:t xml:space="preserve"> </w:t>
      </w:r>
      <w:r>
        <w:rPr>
          <w:rFonts w:ascii="Myanmar Text" w:hAnsi="Myanmar Text" w:eastAsia="Myanmar Text" w:cs="Myanmar Text"/>
        </w:rPr>
        <w:t>ယေရုရှလင်သို့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w:t>
      </w:r>
      <w:r>
        <w:rPr>
          <w:rFonts w:ascii="Times New Roman" w:hAnsi="Times New Roman" w:eastAsia="Times New Roman" w:cs="Times New Roman"/>
        </w:rPr>
        <w:t xml:space="preserve"> </w:t>
      </w:r>
      <w:r>
        <w:rPr>
          <w:rFonts w:ascii="Myanmar Text" w:hAnsi="Myanmar Text" w:eastAsia="Myanmar Text" w:cs="Myanmar Text"/>
        </w:rPr>
        <w:t>ပြန်သွားနိုင်စေရန်၊</w:t>
      </w:r>
      <w:r>
        <w:rPr>
          <w:rFonts w:ascii="Times New Roman" w:hAnsi="Times New Roman" w:eastAsia="Times New Roman" w:cs="Times New Roman"/>
        </w:rPr>
        <w:t xml:space="preserve"> </w:t>
      </w:r>
      <w:r>
        <w:rPr>
          <w:rFonts w:ascii="Myanmar Text" w:hAnsi="Myanmar Text" w:eastAsia="Myanmar Text" w:cs="Myanmar Text"/>
        </w:rPr>
        <w:t>မြို့တော်ကိုလည်းကောင်း၊</w:t>
      </w:r>
      <w:r>
        <w:rPr>
          <w:rFonts w:ascii="Times New Roman" w:hAnsi="Times New Roman" w:eastAsia="Times New Roman" w:cs="Times New Roman"/>
        </w:rPr>
        <w:t xml:space="preserve"> </w:t>
      </w:r>
      <w:r>
        <w:rPr>
          <w:rFonts w:ascii="Myanmar Text" w:hAnsi="Myanmar Text" w:eastAsia="Myanmar Text" w:cs="Myanmar Text"/>
        </w:rPr>
        <w:t>သန့်ရှင်းရာဌာနကိုလည်းကောင်း၊</w:t>
      </w:r>
      <w:r>
        <w:rPr>
          <w:rFonts w:ascii="Times New Roman" w:hAnsi="Times New Roman" w:eastAsia="Times New Roman" w:cs="Times New Roman"/>
        </w:rPr>
        <w:t xml:space="preserve"> </w:t>
      </w:r>
      <w:r>
        <w:rPr>
          <w:rFonts w:ascii="Myanmar Text" w:hAnsi="Myanmar Text" w:eastAsia="Myanmar Text" w:cs="Myanmar Text"/>
        </w:rPr>
        <w:t>လမ်းမများနှင့်</w:t>
      </w:r>
      <w:r>
        <w:rPr>
          <w:rFonts w:ascii="Times New Roman" w:hAnsi="Times New Roman" w:eastAsia="Times New Roman" w:cs="Times New Roman"/>
        </w:rPr>
        <w:t xml:space="preserve"> </w:t>
      </w:r>
      <w:r>
        <w:rPr>
          <w:rFonts w:ascii="Myanmar Text" w:hAnsi="Myanmar Text" w:eastAsia="Myanmar Text" w:cs="Myanmar Text"/>
        </w:rPr>
        <w:t>မြို့ရိုးများကိုလည်းကောင်း</w:t>
      </w:r>
      <w:r>
        <w:rPr>
          <w:rFonts w:ascii="Times New Roman" w:hAnsi="Times New Roman" w:eastAsia="Times New Roman" w:cs="Times New Roman"/>
        </w:rPr>
        <w:t xml:space="preserve"> </w:t>
      </w:r>
      <w:r>
        <w:rPr>
          <w:rFonts w:ascii="Myanmar Text" w:hAnsi="Myanmar Text" w:eastAsia="Myanmar Text" w:cs="Myanmar Text"/>
        </w:rPr>
        <w:t>ပြန်လည်တည်ဆောက်နိုင်စေရန်</w:t>
      </w:r>
      <w:r>
        <w:rPr>
          <w:rFonts w:ascii="Times New Roman" w:hAnsi="Times New Roman" w:eastAsia="Times New Roman" w:cs="Times New Roman"/>
        </w:rPr>
        <w:t xml:space="preserve"> </w:t>
      </w:r>
      <w:r>
        <w:rPr>
          <w:rFonts w:ascii="Myanmar Text" w:hAnsi="Myanmar Text" w:eastAsia="Myanmar Text" w:cs="Myanmar Text"/>
        </w:rPr>
        <w:t>ခွင့်ပြုမည့်</w:t>
      </w:r>
      <w:r>
        <w:rPr>
          <w:rFonts w:ascii="Times New Roman" w:hAnsi="Times New Roman" w:eastAsia="Times New Roman" w:cs="Times New Roman"/>
        </w:rPr>
        <w:t xml:space="preserve"> </w:t>
      </w:r>
      <w:r>
        <w:rPr>
          <w:rFonts w:ascii="Myanmar Text" w:hAnsi="Myanmar Text" w:eastAsia="Myanmar Text" w:cs="Myanmar Text"/>
        </w:rPr>
        <w:t>အမိန့်သုံးချက်အနက်</w:t>
      </w:r>
      <w:r>
        <w:rPr>
          <w:rFonts w:ascii="Times New Roman" w:hAnsi="Times New Roman" w:eastAsia="Times New Roman" w:cs="Times New Roman"/>
        </w:rPr>
        <w:t xml:space="preserve"> </w:t>
      </w:r>
      <w:r>
        <w:rPr>
          <w:rFonts w:ascii="Myanmar Text" w:hAnsi="Myanmar Text" w:eastAsia="Myanmar Text" w:cs="Myanmar Text"/>
        </w:rPr>
        <w:t>ပထမအမိန့်ကို</w:t>
      </w:r>
      <w:r>
        <w:rPr>
          <w:rFonts w:ascii="Times New Roman" w:hAnsi="Times New Roman" w:eastAsia="Times New Roman" w:cs="Times New Roman"/>
        </w:rPr>
        <w:t xml:space="preserve"> </w:t>
      </w:r>
      <w:r>
        <w:rPr>
          <w:rFonts w:ascii="Myanmar Text" w:hAnsi="Myanmar Text" w:eastAsia="Myanmar Text" w:cs="Myanmar Text"/>
        </w:rPr>
        <w:t>ထုတ်ပြန်စေမည့်</w:t>
      </w:r>
      <w:r>
        <w:rPr>
          <w:rFonts w:ascii="Times New Roman" w:hAnsi="Times New Roman" w:eastAsia="Times New Roman" w:cs="Times New Roman"/>
        </w:rPr>
        <w:t xml:space="preserve"> </w:t>
      </w:r>
      <w:r>
        <w:rPr>
          <w:rFonts w:ascii="Myanmar Text" w:hAnsi="Myanmar Text" w:eastAsia="Myanmar Text" w:cs="Myanmar Text"/>
        </w:rPr>
        <w:t>အလင်းတရားကို</w:t>
      </w:r>
      <w:r>
        <w:rPr>
          <w:rFonts w:ascii="Times New Roman" w:hAnsi="Times New Roman" w:eastAsia="Times New Roman" w:cs="Times New Roman"/>
        </w:rPr>
        <w:t xml:space="preserve"> </w:t>
      </w:r>
      <w:r>
        <w:rPr>
          <w:rFonts w:ascii="Myanmar Text" w:hAnsi="Myanmar Text" w:eastAsia="Myanmar Text" w:cs="Myanmar Text"/>
        </w:rPr>
        <w:t>အတည်ပြုရန်</w:t>
      </w:r>
      <w:r>
        <w:rPr>
          <w:rFonts w:ascii="Times New Roman" w:hAnsi="Times New Roman" w:eastAsia="Times New Roman" w:cs="Times New Roman"/>
        </w:rPr>
        <w:t xml:space="preserve"> </w:t>
      </w:r>
      <w:r>
        <w:rPr>
          <w:rFonts w:ascii="Myanmar Text" w:hAnsi="Myanmar Text" w:eastAsia="Myanmar Text" w:cs="Myanmar Text"/>
        </w:rPr>
        <w:t>လာရောက်ခဲ့သည်။</w:t>
      </w:r>
      <w:r>
        <w:rPr>
          <w:rFonts w:ascii="Times New Roman" w:hAnsi="Times New Roman" w:eastAsia="Times New Roman" w:cs="Times New Roman"/>
        </w:rPr>
        <w:t xml:space="preserve"> </w:t>
      </w:r>
      <w:r>
        <w:rPr>
          <w:rFonts w:ascii="Myanmar Text" w:hAnsi="Myanmar Text" w:eastAsia="Myanmar Text" w:cs="Myanmar Text"/>
        </w:rPr>
        <w:t>ထိုလုပ်ငန်းသည်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ပထမကောင်းကင်တမန်နှင့်</w:t>
      </w:r>
      <w:r>
        <w:rPr>
          <w:rFonts w:ascii="Times New Roman" w:hAnsi="Times New Roman" w:eastAsia="Times New Roman" w:cs="Times New Roman"/>
        </w:rPr>
        <w:t xml:space="preserve"> </w:t>
      </w:r>
      <w:r>
        <w:rPr>
          <w:rFonts w:ascii="Myanmar Text" w:hAnsi="Myanmar Text" w:eastAsia="Myanmar Text" w:cs="Myanmar Text"/>
        </w:rPr>
        <w:t>ဒုတိယကောင်းကင်တမန်တို့၏</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ပုံဆောင်ကြိုတင်ဖော်ပြခဲ့သည်။</w:t>
      </w:r>
    </w:p>
    <w:p>
      <w:pPr>
        <w:pStyle w:val="ArticleBody"/>
        <w:jc w:val="left"/>
      </w:pPr>
      <w:r>
        <w:rPr>
          <w:rFonts w:ascii="Times New Roman" w:hAnsi="Times New Roman" w:eastAsia="Times New Roman" w:cs="Times New Roman"/>
        </w:rPr>
        <w:t>Penurunan Mikhael pada waktu kesudahan pada zaman Darius dan Koresh, melambangkan kedatangan malaikat pertama pada tahun 1798, dan bersama-sama keduanya menandai kedatangan malaikat yang sama, pada “waktu kesudahan,” pada tahun 1989. Tahun 1989 memulai masa “waktu kesudahan,” dan itu juga merupakan suatu waktu yang ditetapkan. Waktu yang ditetapkan menandai berakhirnya suatu periode waktu nubuat. Pemberontakan tahun 1863, pada “Kadesh” yang pertama bagi Israel rohani modern, merupakan permulaan dari suatu periode seratus dua puluh enam tahun yang berakhir pada “waktu yang ditetapkan” pada tahun 1989. Seratus dua puluh enam adalah sepersepuluh, atau satu persepuluhan, dari seribu dua ratus enam puluh, dan pada akhir seribu dua ratus enam puluh tahun pada tahun 1798, pergerakan malaikat pertama memasuki sejarah. Pada akhir seratus dua puluh enam tahun, pada tahun 1989, pergerakan malaikat ketiga memasuki sejarah.</w:t>
      </w:r>
    </w:p>
    <w:p>
      <w:pPr>
        <w:pStyle w:val="ArticleBody"/>
        <w:jc w:val="left"/>
      </w:pPr>
      <w:r>
        <w:rPr>
          <w:rFonts w:ascii="Times New Roman" w:hAnsi="Times New Roman" w:eastAsia="Times New Roman" w:cs="Times New Roman"/>
        </w:rPr>
        <w:t>Dalam ayat pertama Daniel pasal sebelas, Gabriel dengan cermat dan tepat menyatakan bahwa sejarah yang digambarkan itu bermula dengan Koresy, pada waktu kesudahan pada tahun 1989. Koresy Agung di sana melambangkan Bush yang lebih besar, yang akan diikuti oleh tiga raja, lalu seorang raja yang keempat yang akan jauh lebih kaya daripada mereka semua. Dengan demikian, raja keempat yang kaya itu, yang menggerakkan seluruh Yunani, adalah presiden keenam sejak tahun 1989.</w:t>
      </w:r>
    </w:p>
    <w:p>
      <w:pPr>
        <w:pStyle w:val="ArticleBody"/>
        <w:jc w:val="left"/>
      </w:pPr>
      <w:r>
        <w:rPr>
          <w:rFonts w:ascii="Times New Roman" w:hAnsi="Times New Roman" w:eastAsia="Times New Roman" w:cs="Times New Roman"/>
        </w:rPr>
        <w:t>Ndzi lulamisa matsalwa ya ndzima ya khume, Daniyele u kombisiwa a ri eku rileni, naswona eka ntokoto wakwe wa ku rila u hundzuriwa a fana ni xifaniso xa Kriste, loko a languta xivono. Nkarhi wa masiku ya 21 wa ku rila wu yimela nkarhi wa rifu lowu gimetaka hi ku pfuxeriwa evuton’wini. Eka ndzima ya khume, Mikayele u xikile a huma etilweni, naswona eka Yuda nkombo, loko A xika, U pfuxa Muxe. Eka Nhlavutelo ndzima ya khume na yin’we, Muxe (na Eliya) va dlayiwile, naswona va file exitarateni masiku manharhu ni hafu ya masifaniso. Kutani Muxe, (kun’we na Eliya) va pfuxiwa hi “rito lerikulu”.</w:t>
      </w:r>
    </w:p>
    <w:p>
      <w:pPr>
        <w:pStyle w:val="ArticleScripture"/>
        <w:jc w:val="left"/>
      </w:pPr>
      <w:r>
        <w:rPr>
          <w:rFonts w:ascii="Times New Roman" w:hAnsi="Times New Roman" w:eastAsia="Times New Roman" w:cs="Times New Roman"/>
        </w:rPr>
        <w:t>Dan selepas tiga hari setengah, Roh kehidupan daripada Allah masuk ke dalam mereka, lalu mereka berdiri di atas kaki mereka; dan ketakutan yang besar menimpa mereka yang melihat mereka. Dan mereka mendengar suatu suara besar dari syurga berkata kepada mereka, Naiklah ke mari. Lalu mereka naik ke syurga dalam awan; dan musuh-musuh mereka melihat mereka. Wahyu 11:11, 12.</w:t>
      </w:r>
    </w:p>
    <w:p>
      <w:pPr>
        <w:pStyle w:val="ArticleBody"/>
        <w:jc w:val="left"/>
      </w:pPr>
      <w:r>
        <w:rPr>
          <w:rFonts w:ascii="Times New Roman" w:hAnsi="Times New Roman" w:eastAsia="Times New Roman" w:cs="Times New Roman"/>
        </w:rPr>
        <w:t>“Suar agung” yang membangkitkan itu ialah suara penghulu malaikat, dan penghulu malaikat itu ialah Mikhael.</w:t>
      </w:r>
    </w:p>
    <w:p>
      <w:pPr>
        <w:pStyle w:val="ArticleScripture"/>
        <w:jc w:val="left"/>
      </w:pPr>
      <w:r>
        <w:rPr>
          <w:rFonts w:ascii="Times New Roman" w:hAnsi="Times New Roman" w:eastAsia="Times New Roman" w:cs="Times New Roman"/>
        </w:rPr>
        <w:t>Ka U Blei hi un hiar na bneng ryngkat bad ka jingïa lynshop, bad da ka sur jong u arkhangel, bad da ka bynta u Blei: bad kiba ïap ha U Khrist kin sa ïeng nyngkong. 1 Thessalonians 4:16.</w:t>
      </w:r>
    </w:p>
    <w:p>
      <w:pPr>
        <w:pStyle w:val="ArticleBody"/>
        <w:jc w:val="left"/>
      </w:pPr>
      <w:r>
        <w:rPr>
          <w:rFonts w:ascii="Times New Roman" w:hAnsi="Times New Roman" w:eastAsia="Times New Roman" w:cs="Times New Roman"/>
        </w:rPr>
        <w:t>Histori moo Mosese le Elia ba bolailoego gomme ba tsošwa ke histori ya go swaiwa ga ba dikete tše lekgolo le masomenne-nne. Histori yeo e thomile ka la 11 Lewedi 2001 ka “lentšu la pele” la morongwa wa Kutollo lesomeseswai, leo Kgaetšedi White a le hlaolago e le go fihla ge meago e megolo ya Motse wa New York e be e lahlelwa fase. “Lentšu la bobedi” la Kutollo kgaolo ya lesomeseswai le lla molaong wa Lamorena wo o tlago kgauswinyane, ge mohlape o mongwe wa Modimo o biletšwa go tšwa Babilona. Ke histori yeo, histori ya go swaiwa, moo Daniele a emelwago bjalo ka yo a fetolwago go ba seswantšho sa Kriste ka go lebelela pono ya “marah,” yeo e lego tlhagišo ya botshadi ya pono ya “mareh.” Ke pono ya “causative,” yeo e “bakago” gore seswantšho seo se lebeletšwego se tšweletšwe gape go bao ba se lebeletšego.</w:t>
      </w:r>
    </w:p>
    <w:p>
      <w:pPr>
        <w:pStyle w:val="ArticleBody"/>
        <w:jc w:val="left"/>
      </w:pPr>
      <w:r>
        <w:rPr>
          <w:rFonts w:ascii="Times New Roman" w:hAnsi="Times New Roman" w:eastAsia="Times New Roman" w:cs="Times New Roman"/>
        </w:rPr>
        <w:t>A ngom a seal, bad a transformation a Daniel ha chapter ten, chungchang a Michael oniani somoi aro mikkangko dakchakenggipa ong∙a, jean Moses, Elijah aro Danielchi mesokgiminrang ong∙a. Ua dakchakani “dal∙begipa ku∙sikko” archangelni dakaha, indake minggittam “ku∙sik” ko on∙aha, skanggipa aro bon∙kamgipa ku∙sikni gisepo, jeongrang apsan ong∙a, maina uarang pilakan Revelation chapter eighteenni ku∙sik ong∙a. Giseponi ku∙sikchi dakgrikani mesokgipa ong∙a, maina Michael Mosesko dakchakengon, ua Satan baksa aganchakchakjaha, Satan, dakgrikani ong∙atgipa, protest ka∙na uko neng∙nikonaba.</w:t>
      </w:r>
    </w:p>
    <w:p>
      <w:pPr>
        <w:pStyle w:val="ArticleScripture"/>
        <w:jc w:val="left"/>
      </w:pPr>
      <w:r>
        <w:rPr>
          <w:rFonts w:ascii="Times New Roman" w:hAnsi="Times New Roman" w:eastAsia="Times New Roman" w:cs="Times New Roman"/>
        </w:rPr>
        <w:t>Tetapi Mikhael, penghulu malaikat, ketika bertikai dengan Iblis dan berbantah tentang tubuh Musa, tidak berani melontarkan tuduhan yang menghujat terhadapnya, melainkan berkata, “Tuhan menghardik engkau.” Yudas 7.</w:t>
      </w:r>
    </w:p>
    <w:p>
      <w:pPr>
        <w:pStyle w:val="ArticleBody"/>
        <w:jc w:val="left"/>
      </w:pPr>
      <w:r>
        <w:rPr>
          <w:rFonts w:ascii="Times New Roman" w:hAnsi="Times New Roman" w:eastAsia="Times New Roman" w:cs="Times New Roman"/>
        </w:rPr>
        <w:t>Waktu pemeteraian yang bermula pada 11 September 2001 dan berakhir pada undang-undang Ahad yang akan segera datang, ditandai dengan tanda tangan “Kebenaran,” kerana di tengah-tengah tempoh itu, pada Julai 2023, suara besar penghulu malaikat itu memulakan pekerjaan membangkitkan orang mati dalam Kristus, yang memilih untuk mendengar suara pertengahan-Nya. Perhatikan bahawa 2023 datang dua puluh dua tahun selepas 2001, dan dua puluh dua ialah sepersepuluh daripada dua ratus dua puluh, yang merupakan lambang hubungan antara Keilahian dan kemanusiaan, dan juga merupakan lambang pemulihan.</w:t>
      </w:r>
    </w:p>
    <w:p>
      <w:pPr>
        <w:pStyle w:val="ArticleBody"/>
        <w:jc w:val="left"/>
      </w:pPr>
      <w:r>
        <w:rPr>
          <w:rFonts w:ascii="Times New Roman" w:hAnsi="Times New Roman" w:eastAsia="Times New Roman" w:cs="Times New Roman"/>
        </w:rPr>
        <w:t>Pada Julai 2023, malaikat yang perkasa itu, yang tidak lain ialah Yesus Kristus, dan yang adalah Kebenaran, yang juga ialah Mikhael, dan yang ialah Alfa dan Omega, turun dengan suatu perkhabaran di dalam tangan-Nya. Kitab kecil di dalam tangan-Nya itu ialah bahagian kitab Daniel yang telah dimeteraikan hingga hari-hari terakhir.</w:t>
      </w:r>
    </w:p>
    <w:p>
      <w:pPr>
        <w:pStyle w:val="ArticleScripture"/>
        <w:jc w:val="left"/>
      </w:pPr>
      <w:r>
        <w:rPr>
          <w:rFonts w:ascii="Times New Roman" w:hAnsi="Times New Roman" w:eastAsia="Times New Roman" w:cs="Times New Roman"/>
        </w:rPr>
        <w:t>“Dalam Wahyu seluruh kitab dalam Alkitab bertemu dan berakhir. Di sinilah pelengkap kitab Daniel. Yang satu adalah nubuat; yang lain adalah wahyu. Kitab yang dimeteraikan itu bukanlah Wahyu, melainkan bagian dari nubuat Daniel yang berhubungan dengan hari-hari terakhir. Malaikat itu memerintahkan, ‘Tetapi engkau, hai Daniel, sembunyikanlah segala firman itu, dan meteraikanlah kitab itu sampai pada akhir zaman.’ Daniel 12:4.” Kisah Para Rasul, 585.</w:t>
      </w:r>
    </w:p>
    <w:p>
      <w:pPr>
        <w:pStyle w:val="ArticleBody"/>
        <w:jc w:val="left"/>
      </w:pPr>
      <w:r>
        <w:rPr>
          <w:rFonts w:ascii="Times New Roman" w:hAnsi="Times New Roman" w:eastAsia="Times New Roman" w:cs="Times New Roman"/>
        </w:rPr>
        <w:t>Karolo ya porofeto ya Daniele ye e amanago le malatsi a bofelo ke kgaolo ya lesome le motso o mongwe. Ke ditemana tse tshela tsa bofelo tsa kgaolo ya lesome le motso o mongwe, mme ka go totobala le go feta, ke ditiragalo tsa histori tse di fitlhelwang mo gare ga kgaolo eo tse di boelediwang mo ditemaneng tseo tse tshela tsa bofelo.</w:t>
      </w:r>
    </w:p>
    <w:p>
      <w:pPr>
        <w:pStyle w:val="ArticleScripture"/>
        <w:jc w:val="left"/>
      </w:pPr>
      <w:r>
        <w:rPr>
          <w:rFonts w:ascii="Times New Roman" w:hAnsi="Times New Roman" w:eastAsia="Times New Roman" w:cs="Times New Roman"/>
        </w:rPr>
        <w:t>“Kita tidak mempunyai waktu untuk disia-siakan. Masa-masa kesukaran ada di hadapan kita. Dunia sedang diguncangkan oleh semangat peperangan. Segera pemandangan-pemandangan kesukaran yang disebutkan dalam nubuatan akan terjadi. Nubuatan dalam Daniel pasal sebelas hampir mencapai penggenapan sepenuhnya. Banyak dari sejarah yang telah terjadi sebagai penggenapan nubuatan ini akan terulang.” Manuscript Releases, nomor 13, 394.</w:t>
      </w:r>
    </w:p>
    <w:p>
      <w:pPr>
        <w:pStyle w:val="ArticleBody"/>
        <w:jc w:val="left"/>
      </w:pPr>
      <w:r>
        <w:rPr>
          <w:rFonts w:ascii="Times New Roman" w:hAnsi="Times New Roman" w:eastAsia="Times New Roman" w:cs="Times New Roman"/>
        </w:rPr>
        <w:t>Temana ya khume na nthihi, ya Daniele kgaolo ya lesome le tee, e laetša histori yeo e bušeletšwago temaneng ya masomenne a tee, gobane temaneng yeo kgoši ya lebowa e eme nageng ya letago. Histori ya temana ya khume na nthihi e hlaola nako yeo molaodi wa sesole sa Roma, Pompey, a tlišitšego Juda le Jerusalema bothopša.</w:t>
      </w:r>
    </w:p>
    <w:p>
      <w:pPr>
        <w:pStyle w:val="ArticleScripture"/>
        <w:jc w:val="left"/>
      </w:pPr>
      <w:r>
        <w:rPr>
          <w:rFonts w:ascii="Times New Roman" w:hAnsi="Times New Roman" w:eastAsia="Times New Roman" w:cs="Times New Roman"/>
        </w:rPr>
        <w:t>Tetapi orang yang datang menyerangnya itu akan berbuat menurut kehendaknya sendiri, dan tidak ada seorang pun yang akan dapat bertahan di hadapannya; dan ia akan berdiri di negeri yang indah, yang oleh tangannya akan dimusnahkan. Daniel 11:16.</w:t>
      </w:r>
    </w:p>
    <w:p>
      <w:pPr>
        <w:pStyle w:val="ArticleBody"/>
        <w:jc w:val="left"/>
      </w:pPr>
      <w:r>
        <w:rPr>
          <w:rFonts w:ascii="Times New Roman" w:hAnsi="Times New Roman" w:eastAsia="Times New Roman" w:cs="Times New Roman"/>
        </w:rPr>
        <w:t>Ndzi kongomile ku tirhisa ndzimana leyi tanihi xikhomiso xa ku tekela enhlokweni ka hina tindzimana leti rhangaka ndzimana leyi, hikwalaho ndzi ta sungula hi ku veka ku twisisa loku endhawini ya kona. Hi kongomile ku kombisa leswaku matimu lama landzelaka ku avana ka mfumo wa Alexander Lonkulu eka tindzimana ta vunharhu ni ta mune, ma sungula hi 1989 kutani ma kombisa Nyimpi ya sweswi ya le Ukraine, ku hlula ka Putin ematshan’weni ya matimba ya Vupela-dyambu, ni ku hluriwa ka Putin endzhaku ka sweswo, leswi nghenisaka eka ndzimana ya khume na tsevu.</w:t>
      </w:r>
    </w:p>
    <w:p>
      <w:pPr>
        <w:pStyle w:val="ArticleScripture"/>
        <w:jc w:val="left"/>
      </w:pPr>
      <w:r>
        <w:rPr>
          <w:rFonts w:ascii="Times New Roman" w:hAnsi="Times New Roman" w:eastAsia="Times New Roman" w:cs="Times New Roman"/>
        </w:rPr>
        <w:t>“Walaupun Mesir tidak dapat bertahan di hadapan Antiokhus, raja dari utara, Antiokhus pun tidak dapat bertahan di hadapan orang-orang Roma, yang sekarang datang melawannya. Tidak ada lagi kerajaan-kerajaan yang sanggup menahan kuasa yang sedang bangkit ini. Siria ditaklukkan, dan ditambahkan kepada empayar Roma, apabila Pompey, 65 SM, melucutkan Antiokhus Asiaticus daripada miliknya, dan menjadikan Siria sebuah provinsi Roma.</w:t>
      </w:r>
    </w:p>
    <w:p>
      <w:pPr>
        <w:pStyle w:val="ArticleScripture"/>
        <w:jc w:val="left"/>
      </w:pPr>
      <w:r>
        <w:rPr>
          <w:rFonts w:ascii="Times New Roman" w:hAnsi="Times New Roman" w:eastAsia="Times New Roman" w:cs="Times New Roman"/>
        </w:rPr>
        <w:t>“Ku ti borɔl lil mɛnɛ kɛ, a ka bɛ se ka tiɲɛ Dugu Senu la, ka a faga. Rɔmɛ ka fara Ala ka mɔgɔw, Yahudiyaw, kan ka kɛ jɔyɔrɔ ye san BC 161 la; o dɔrɔn de, a bɛ ta yɔrɔba ta kalan kalo jɔyɔrɔ sɛbɛnni la. Nka, a ma sɛ ka sigi Juda kan kɔfɛfɛrɛ ni kɛrɛ ye fo san BC 63; ani o kɛra nin cogo la.”</w:t>
      </w:r>
    </w:p>
    <w:p>
      <w:pPr>
        <w:pStyle w:val="ArticleScripture"/>
        <w:jc w:val="left"/>
      </w:pPr>
      <w:r>
        <w:rPr>
          <w:rFonts w:ascii="Times New Roman" w:hAnsi="Times New Roman" w:eastAsia="Times New Roman" w:cs="Times New Roman"/>
        </w:rPr>
        <w:t>“Ka Pompey a boela go tšwa leetong la gagwe kgahlanong le Mithridates, kgoši ya Pontus, baphadišani ba babedi, Hyrcanus le Aristobulus, ba be ba phadišana ka mphapahlogo wa Judea. Taba ya bona e ile ya tlišwa pele ga Pompey, yo ka pela a lemogilego go se loke ga ditletlebo tša Aristobulus, eupša a rata go diegiša sephetho tabeng ye go fihlela ka morago ga leeto la gagwe leo a bego a le kganyoga kudu la go tsena Arabia, a holofetša gore ka nako yeo o tla boa, a lokiše ditaba tša bona ka mo go tlago go bonagala go lokile le go swanela. Aristobulus, ka go lemoga maikemišetšo a kgonthe a Pompey, a kitimela morago Judea, a hloma baagi ba gagwe ka dibetša, gomme a itokišetša tšhireletšo e matla, a ikemišeditše gore, le ge e ka ba ka kotsi efe goba efe, a boloke mphapahlogo wo a bego a bona e sa le pele gore o tla ahlolelwa yo mongwe. Pompey a latela mofaladi yoo ka kgauswi. Ge a batamela Jerusalema, Aristobulus, a thoma go itshola ka tsela ya gagwe, a tšwela ka ntle go yo mo gahlanetša, gomme a leka go lokiša ditaba ka go holofetša go ikokobeletša ka botlalo le tšhelete e ntši. Pompey, ka go amogela kgopelo ye, a roma Gabinius, a eteletše pele sehlopha sa mašole, gore a yo amogela tšhelete yeo. Eupša ge molaodi yoo yo mogolo wa mašole a fihla Jerusalema, a hwetša dikgoro di tswaletšwe pele ga gagwe, gomme a botšwa a le godimo ga merako gore motse o ka se eme ka kelano yeo.”</w:t>
      </w:r>
    </w:p>
    <w:p>
      <w:pPr>
        <w:pStyle w:val="ArticleScripture"/>
        <w:jc w:val="left"/>
      </w:pPr>
      <w:r>
        <w:rPr>
          <w:rFonts w:ascii="Times New Roman" w:hAnsi="Times New Roman" w:eastAsia="Times New Roman" w:cs="Times New Roman"/>
        </w:rPr>
        <w:t>“Помбей энэ мэтээр өөрийг нь шийтгэлгүй мэхлэхийг үл тэвчин, өөр дээрээ саатуулан байсан Аристобулыг гавлан, тэр даруй бүх цэргийн хүчээ авч Иерусалимын эсрэг хөдөлжээ. Аристобулын талынхан тэр газрыг хамгаалахын төлөө байсан бол, Гирканы талынхан хаалгыг нээхийн төлөө байв. Сүүлчийнхэн олонх болж, дийлэн гарсан тул Помбейд хот руу саадгүй нэвтрэх боломж олгов. Үүний дараа Аристобулын баримтлагчид Помбей түүнийг эзлэн авах чин хүсэлтэй байсанчлан, тэр газрыг хамгаалахаар бүрэн шийдэн, сүмийн уул руу ухран оржээ. Гурван сарын эцэст довтолгоо хийхэд хүрэлцэхүйц хэмжээний цөмрөлтийг хэрэмд гаргаж, тэр газрыг илдний үзүүрээр эзлэн авав. Үүний дараа болсон аймшигт хядлагад арван хоёр мянган хүн алагджээ. Тэр үед тэнгэрлэг үйлчлэлд оролцож байсан тахилч нар тайван гараар, тууштай зорилгоор хэвийн ажлаа үргэлжлүүлж байсан нь, хэдий тэдний эргэн тойронд найз нөхөд нь хядуулж, бүр өөрсдийнх нь цус ч тахилынх нь цустай олонтоо холилдож байсан атал, тэр догшин үймээнийг үл анзаарч буй мэт харагдсан нь сэтгэл хөдөлгөм дүр зураг байсан хэмээн түүхч тэмдэглэжээ.”</w:t>
      </w:r>
    </w:p>
    <w:p>
      <w:pPr>
        <w:pStyle w:val="ArticleScripture"/>
        <w:jc w:val="left"/>
      </w:pPr>
      <w:r>
        <w:rPr>
          <w:rFonts w:ascii="Times New Roman" w:hAnsi="Times New Roman" w:eastAsia="Times New Roman" w:cs="Times New Roman"/>
        </w:rPr>
        <w:t>“Selepas menamatkan peperangan itu, Pompey merobohkan tembok-tembok Yerusalem, memindahkan beberapa kota daripada bidang kuasa Yudea kepada bidang kuasa Siria, dan mengenakan upeti ke atas orang Yahudi. Demikianlah, buat pertama kalinya, Yerusalem melalui penaklukan diletakkan ke dalam tangan kuasa yang akan memegang “tanah yang mulia” itu dalam genggaman besinya sehingga kuasa itu membinasakannya sama sekali.” Uriah Smith, Daniel and the Revelation, 259, 260.</w:t>
      </w:r>
    </w:p>
    <w:p>
      <w:pPr>
        <w:pStyle w:val="ArticleBody"/>
        <w:jc w:val="left"/>
      </w:pPr>
      <w:r>
        <w:rPr>
          <w:rFonts w:ascii="Times New Roman" w:hAnsi="Times New Roman" w:eastAsia="Times New Roman" w:cs="Times New Roman"/>
        </w:rPr>
        <w:t>Kita akan meneruskan kajian ini dalam rencana kita yang seterusnya.</w:t>
      </w:r>
    </w:p>
    <w:p>
      <w:pPr>
        <w:pStyle w:val="ArticleScripture"/>
        <w:jc w:val="left"/>
      </w:pPr>
      <w:r>
        <w:rPr>
          <w:rFonts w:ascii="Times New Roman" w:hAnsi="Times New Roman" w:eastAsia="Times New Roman" w:cs="Times New Roman"/>
        </w:rPr>
        <w:t>“ꞌBolwetedi gore ga go na ngangišo goba go huduega gare ga batho ba Modimo ga se gwa swanela go tšeelwa e le bohlatse bja mafelelo bja gore ba kgomaretše ka tiišo thutong ye e phetšego gabotse. Go na le lebaka la go boifa gore mohlomongwe ga ba kgetholle ka go hlaka gare ga therešo le phošo. Ge go se na dipotšišo tše mpsha tšeo di tšweletšwago ke nyakišišo ya Mangwalo, ge go se na phapano ya dikgopolo yeo e tlago go dira gore batho ba nyake Beibele ka bobona gore ba kgonthišetše gore ba na le therešo, gona go tla ba le ba bantši bjale, bjalo ka mehleng ya bogologolo, bao ba tlago go kgomarela setšo gomme ba rapela seo ba sa tsebego gore ke eng.</w:t>
      </w:r>
    </w:p>
    <w:p>
      <w:pPr>
        <w:pStyle w:val="ArticleScripture"/>
        <w:jc w:val="left"/>
      </w:pPr>
      <w:r>
        <w:rPr>
          <w:rFonts w:ascii="Times New Roman" w:hAnsi="Times New Roman" w:eastAsia="Times New Roman" w:cs="Times New Roman"/>
        </w:rPr>
        <w:t>“Ndzi kombisiwe leswaku vo tala lava tivulaka leswaku va ni vutivi bya ntiyiso wa nkarhi wa sweswi a va swi tivi leswi va swi pfumelaka. A va byi twisisi vumbhoni bya ripfumelo ra vona. A va na ku tlangela loku faneleke ka ntirho wa nkarhi wa sweswi. Loko nkarhi wa ndzingo wu ta fika, ku ni vavanuna lava sweswi va chumayelaka van’wana lava, loko va kambisisa swiyimo leswi va swi khomeke, va nga ta kuma leswaku ku ni swilo swo tala leswi va nga kotiki ku nyika xivangelo lexi enerisaka ha swona. Ku fikela loko va ringiwa hi ndlela leyi, a va nga ri tivi vupfumala-vutivi bya vona lebyikulu. Naswona ku ni vo tala evandlheni lava tekaka swona hi ku olova leswaku va swi twisisa leswi va swi pfumelaka; kambe, ku fikela loko ku pfuka mphikizano, a va byi tivi ku tsana ka vona hi voxe. Loko va hambanisiwa ni lava va fanaka na vona hi ripfumelo, kutani va sindzisiwa ku yima hi voxe va ri voxe leswaku va hlamusela leswi va swi pfumelaka, va ta hlamala loko va vona leswaku miehleketo ya vona yi pfilunganyekile swinene malunghana ni leswi a va swi amukerile tanihi ntiyiso. Leswi swi tshembiseka leswaku exikarhi ka hina ku ve ni ku fularhela Xikwembu lexi hanyaka ni ku hundzukela eka vanhu, ku veka vutlhari bya munhu endhawini ya vutlhari bya Xikwembu.</w:t>
      </w:r>
    </w:p>
    <w:p>
      <w:pPr>
        <w:pStyle w:val="ArticleScripture"/>
        <w:jc w:val="left"/>
      </w:pPr>
      <w:r>
        <w:rPr>
          <w:rFonts w:ascii="Times New Roman" w:hAnsi="Times New Roman" w:eastAsia="Times New Roman" w:cs="Times New Roman"/>
        </w:rPr>
        <w:t>“Deus akan membangkitkan umat-Nya; jika sarana-sarana lain gagal, bidat-bidat akan masuk di antara mereka, yang akan menampi mereka, memisahkan sekam daripada gandum. Tuhan berseru kepada semua yang percaya akan firman-Nya supaya bangun daripada tidur. Terang yang berharga telah datang, yang sesuai untuk masa ini. Itulah kebenaran Alkitab, yang menunjukkan bahaya-bahaya yang sudah tepat di hadapan kita. Terang ini seharusnya menuntun kita kepada penyelidikan Kitab Suci yang tekun dan pemeriksaan yang paling saksama terhadap pendirian-pendirian yang kita pegang. Allah menghendaki agar segala aspek dan pendirian kebenaran diselidiki dengan saksama dan tekun, dengan doa dan puasa. Orang-orang percaya tidak boleh berpuas diri dalam anggapan-anggapan dan gagasan-gagasan yang kabur tentang apa yang merupakan kebenaran. Iman mereka harus berlandaskan dengan teguh pada firman Allah, supaya apabila masa pencobaan tiba dan mereka dihadapkan kepada sidang-sidang untuk memberi jawab tentang iman mereka, mereka dapat memberikan alasan tentang pengharapan yang ada pada mereka, dengan lemah lembut dan takut.</w:t>
      </w:r>
    </w:p>
    <w:p>
      <w:pPr>
        <w:pStyle w:val="ArticleScripture"/>
        <w:jc w:val="left"/>
      </w:pPr>
      <w:r>
        <w:rPr>
          <w:rFonts w:ascii="Times New Roman" w:hAnsi="Times New Roman" w:eastAsia="Times New Roman" w:cs="Times New Roman"/>
        </w:rPr>
        <w:t>“</w:t>
      </w:r>
      <w:r>
        <w:rPr>
          <w:rFonts w:ascii="Nirmala UI" w:hAnsi="Nirmala UI" w:eastAsia="Nirmala UI" w:cs="Nirmala UI"/>
        </w:rPr>
        <w:t>ਖ਼ਲਬਲੀ</w:t>
      </w:r>
      <w:r>
        <w:rPr>
          <w:rFonts w:ascii="Times New Roman" w:hAnsi="Times New Roman" w:eastAsia="Times New Roman" w:cs="Times New Roman"/>
        </w:rPr>
        <w:t xml:space="preserve"> </w:t>
      </w:r>
      <w:r>
        <w:rPr>
          <w:rFonts w:ascii="Nirmala UI" w:hAnsi="Nirmala UI" w:eastAsia="Nirmala UI" w:cs="Nirmala UI"/>
        </w:rPr>
        <w:t>ਮਚਾਓ</w:t>
      </w:r>
      <w:r>
        <w:rPr>
          <w:rFonts w:ascii="Times New Roman" w:hAnsi="Times New Roman" w:eastAsia="Times New Roman" w:cs="Times New Roman"/>
        </w:rPr>
        <w:t xml:space="preserve">, </w:t>
      </w:r>
      <w:r>
        <w:rPr>
          <w:rFonts w:ascii="Nirmala UI" w:hAnsi="Nirmala UI" w:eastAsia="Nirmala UI" w:cs="Nirmala UI"/>
        </w:rPr>
        <w:t>ਖ਼ਲਬਲੀ</w:t>
      </w:r>
      <w:r>
        <w:rPr>
          <w:rFonts w:ascii="Times New Roman" w:hAnsi="Times New Roman" w:eastAsia="Times New Roman" w:cs="Times New Roman"/>
        </w:rPr>
        <w:t xml:space="preserve"> </w:t>
      </w:r>
      <w:r>
        <w:rPr>
          <w:rFonts w:ascii="Nirmala UI" w:hAnsi="Nirmala UI" w:eastAsia="Nirmala UI" w:cs="Nirmala UI"/>
        </w:rPr>
        <w:t>ਮਚਾਓ</w:t>
      </w:r>
      <w:r>
        <w:rPr>
          <w:rFonts w:ascii="Times New Roman" w:hAnsi="Times New Roman" w:eastAsia="Times New Roman" w:cs="Times New Roman"/>
        </w:rPr>
        <w:t xml:space="preserve">, </w:t>
      </w:r>
      <w:r>
        <w:rPr>
          <w:rFonts w:ascii="Nirmala UI" w:hAnsi="Nirmala UI" w:eastAsia="Nirmala UI" w:cs="Nirmala UI"/>
        </w:rPr>
        <w:t>ਖ਼ਲਬਲੀ</w:t>
      </w:r>
      <w:r>
        <w:rPr>
          <w:rFonts w:ascii="Times New Roman" w:hAnsi="Times New Roman" w:eastAsia="Times New Roman" w:cs="Times New Roman"/>
        </w:rPr>
        <w:t xml:space="preserve"> </w:t>
      </w:r>
      <w:r>
        <w:rPr>
          <w:rFonts w:ascii="Nirmala UI" w:hAnsi="Nirmala UI" w:eastAsia="Nirmala UI" w:cs="Nirmala UI"/>
        </w:rPr>
        <w:t>ਮਚਾਓ।</w:t>
      </w:r>
      <w:r>
        <w:rPr>
          <w:rFonts w:ascii="Times New Roman" w:hAnsi="Times New Roman" w:eastAsia="Times New Roman" w:cs="Times New Roman"/>
        </w:rPr>
        <w:t xml:space="preserve"> </w:t>
      </w: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ਜੀਵੰਤ</w:t>
      </w:r>
      <w:r>
        <w:rPr>
          <w:rFonts w:ascii="Times New Roman" w:hAnsi="Times New Roman" w:eastAsia="Times New Roman" w:cs="Times New Roman"/>
        </w:rPr>
        <w:t xml:space="preserve"> </w:t>
      </w:r>
      <w:r>
        <w:rPr>
          <w:rFonts w:ascii="Nirmala UI" w:hAnsi="Nirmala UI" w:eastAsia="Nirmala UI" w:cs="Nirmala UI"/>
        </w:rPr>
        <w:t>ਹਕੀਕਤ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ਮਹੱਤਵਪੂਰਨ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ਸਮਰਥਨ</w:t>
      </w:r>
      <w:r>
        <w:rPr>
          <w:rFonts w:ascii="Times New Roman" w:hAnsi="Times New Roman" w:eastAsia="Times New Roman" w:cs="Times New Roman"/>
        </w:rPr>
        <w:t xml:space="preserve"> </w:t>
      </w:r>
      <w:r>
        <w:rPr>
          <w:rFonts w:ascii="Nirmala UI" w:hAnsi="Nirmala UI" w:eastAsia="Nirmala UI" w:cs="Nirmala UI"/>
        </w:rPr>
        <w:t>ਕਰੀਏ</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ਅਜਿਹੀਆਂ</w:t>
      </w:r>
      <w:r>
        <w:rPr>
          <w:rFonts w:ascii="Times New Roman" w:hAnsi="Times New Roman" w:eastAsia="Times New Roman" w:cs="Times New Roman"/>
        </w:rPr>
        <w:t xml:space="preserve"> </w:t>
      </w:r>
      <w:r>
        <w:rPr>
          <w:rFonts w:ascii="Nirmala UI" w:hAnsi="Nirmala UI" w:eastAsia="Nirmala UI" w:cs="Nirmala UI"/>
        </w:rPr>
        <w:t>ਦਲੀਲਾਂ</w:t>
      </w:r>
      <w:r>
        <w:rPr>
          <w:rFonts w:ascii="Times New Roman" w:hAnsi="Times New Roman" w:eastAsia="Times New Roman" w:cs="Times New Roman"/>
        </w:rPr>
        <w:t xml:space="preserve"> </w:t>
      </w:r>
      <w:r>
        <w:rPr>
          <w:rFonts w:ascii="Nirmala UI" w:hAnsi="Nirmala UI" w:eastAsia="Nirmala UI" w:cs="Nirmala UI"/>
        </w:rPr>
        <w:t>ਵਰਤਣ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ਦੇਈਏ</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ਦਲੀਲਾਂ</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ਚੁੱਪ</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ਸਕਦੀਆਂ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ਆਦਰ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ਠੋਸ</w:t>
      </w:r>
      <w:r>
        <w:rPr>
          <w:rFonts w:ascii="Times New Roman" w:hAnsi="Times New Roman" w:eastAsia="Times New Roman" w:cs="Times New Roman"/>
        </w:rPr>
        <w:t xml:space="preserve"> </w:t>
      </w:r>
      <w:r>
        <w:rPr>
          <w:rFonts w:ascii="Nirmala UI" w:hAnsi="Nirmala UI" w:eastAsia="Nirmala UI" w:cs="Nirmala UI"/>
        </w:rPr>
        <w:t>ਦਲੀਲਾਂ</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ਕਰਣੀਆਂ</w:t>
      </w:r>
      <w:r>
        <w:rPr>
          <w:rFonts w:ascii="Times New Roman" w:hAnsi="Times New Roman" w:eastAsia="Times New Roman" w:cs="Times New Roman"/>
        </w:rPr>
        <w:t xml:space="preserve"> </w:t>
      </w:r>
      <w:r>
        <w:rPr>
          <w:rFonts w:ascii="Nirmala UI" w:hAnsi="Nirmala UI" w:eastAsia="Nirmala UI" w:cs="Nirmala UI"/>
        </w:rPr>
        <w:t>ਚਾਹੀਦੀਆਂ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ਜਿਹੜੀਆਂ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ਸਿਰਫ਼</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ਵਿਰੋਧੀਆਂ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ਚੁੱਪ</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ਨੇੜਲੀ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ਗਹਿਰੀ</w:t>
      </w:r>
      <w:r>
        <w:rPr>
          <w:rFonts w:ascii="Times New Roman" w:hAnsi="Times New Roman" w:eastAsia="Times New Roman" w:cs="Times New Roman"/>
        </w:rPr>
        <w:t xml:space="preserve"> </w:t>
      </w:r>
      <w:r>
        <w:rPr>
          <w:rFonts w:ascii="Nirmala UI" w:hAnsi="Nirmala UI" w:eastAsia="Nirmala UI" w:cs="Nirmala UI"/>
        </w:rPr>
        <w:t>ਜਾਂਚ</w:t>
      </w:r>
      <w:r>
        <w:rPr>
          <w:rFonts w:ascii="Times New Roman" w:hAnsi="Times New Roman" w:eastAsia="Times New Roman" w:cs="Times New Roman"/>
        </w:rPr>
        <w:t>-</w:t>
      </w:r>
      <w:r>
        <w:rPr>
          <w:rFonts w:ascii="Nirmala UI" w:hAnsi="Nirmala UI" w:eastAsia="Nirmala UI" w:cs="Nirmala UI"/>
        </w:rPr>
        <w:t>ਪੜਤਾਲ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ਸਕਣ।</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ਵਾਦ</w:t>
      </w:r>
      <w:r>
        <w:rPr>
          <w:rFonts w:ascii="Times New Roman" w:hAnsi="Times New Roman" w:eastAsia="Times New Roman" w:cs="Times New Roman"/>
        </w:rPr>
        <w:t>-</w:t>
      </w:r>
      <w:r>
        <w:rPr>
          <w:rFonts w:ascii="Nirmala UI" w:hAnsi="Nirmala UI" w:eastAsia="Nirmala UI" w:cs="Nirmala UI"/>
        </w:rPr>
        <w:t>ਵਿਵਾਦ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ਖ਼ਤਰਾ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ਨਿਰਪੱਖਤਾ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ਸੰਭਾਲਣਗੇ।</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ਗੰਭੀਰ</w:t>
      </w:r>
      <w:r>
        <w:rPr>
          <w:rFonts w:ascii="Times New Roman" w:hAnsi="Times New Roman" w:eastAsia="Times New Roman" w:cs="Times New Roman"/>
        </w:rPr>
        <w:t xml:space="preserve"> </w:t>
      </w:r>
      <w:r>
        <w:rPr>
          <w:rFonts w:ascii="Nirmala UI" w:hAnsi="Nirmala UI" w:eastAsia="Nirmala UI" w:cs="Nirmala UI"/>
        </w:rPr>
        <w:t>ਯਤਨ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ਕਰੀਏ</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ਦ੍ਰਿੜ਼</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ਹੌਸਲਾ</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ਕਰੀਏ।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“Walau setinggi mana pun kemajuan intelektual manusia, janganlah sekali-kali ia menyangka bahwa tidak ada lagi kebutuhan akan penyelidikan Kitab Suci yang saksama dan terus-menerus demi memperoleh terang yang lebih besar. Sebagai suatu umat, kita dipanggil, masing-masing secara pribadi, untuk menjadi pelajar nubuatan. Kita harus berjaga-jaga dengan kesungguhan, supaya kita dapat membedakan setiap sinar terang yang Allah nyatakan kepada kita. Kita harus menangkap kilasan-kilasan pertama kebenaran; dan melalui pembelajaran yang disertai doa, terang yang lebih jelas dapat diperoleh, yang kemudian dapat dikemukakan di hadapan orang lain.</w:t>
      </w:r>
    </w:p>
    <w:p>
      <w:pPr>
        <w:pStyle w:val="ArticleScripture"/>
        <w:jc w:val="left"/>
      </w:pPr>
      <w:r>
        <w:rPr>
          <w:rFonts w:ascii="Times New Roman" w:hAnsi="Times New Roman" w:eastAsia="Times New Roman" w:cs="Times New Roman"/>
        </w:rPr>
        <w:t>“Bila umat Allah berada dalam keadaan senang dan berpuas hati dengan pencerahan mereka yang ada sekarang, kita boleh yakin bahawa Dia tidak akan berkenan kepada mereka. Adalah kehendak-Nya supaya mereka sentiasa mara ke hadapan untuk menerima terang yang bertambah dan terus-menerus bertambah, yang sedang bersinar bagi mereka. Sikap gereja pada masa ini tidak menyenangkan Allah. Telah timbul keyakinan diri yang menyebabkan mereka merasa tidak perlu lagi akan lebih banyak kebenaran dan terang yang lebih besar. Kita sedang hidup pada suatu masa apabila Iblis sedang bekerja di sebelah kanan dan di sebelah kiri, di hadapan dan di belakang kita; namun sebagai suatu umat kita sedang tidur. Allah menghendaki agar suatu suara didengar untuk membangunkan umat-Nya kepada tindakan.” Testimonies, jilid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Enam Puluh Tiga</dc:title>
  <dc:subject>ᱫᱟᱱᱤᱭᱮᱞ ᱟᱜ ᱮᱞᱮᱵᱮᱱ ᱟᱫᱷᱭᱟᱭ ᱨᱮ ᱵᱷᱵᱤᱥᱥᱚᱛᱵᱟᱱᱤ ᱩᱫᱩᱜ: ᱟᱱᱩᱥᱱᱫᱷᱟᱱ</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