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Enam Puluh Lapan</w:t>
      </w:r>
    </w:p>
    <w:p>
      <w:pPr>
        <w:pStyle w:val="ArticleSubtitle"/>
        <w:jc w:val="left"/>
      </w:pPr>
      <w:r>
        <w:rPr>
          <w:rFonts w:ascii="Arial" w:hAnsi="Arial" w:eastAsia="Arial" w:cs="Arial"/>
        </w:rPr>
        <w:t>Membuka Kebenaran Nubuat: Pertempuran Kedua dalam Perang-perang Proksi dan Pemeteraian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Re bua bjale ka ntwa ya bobedi ya dintwa tša boemedi, bjalo ka ge e bontšhitšwe go Daniele kgaolo ya lesome le tee, ditemana tša lesome le tee le lesome le metšo e mebedi. Ntwa ya bobedi ditemaneng tšeo e laetša ntwa ya Ukraine, magareng ga maatla a go gana Modimo a Russia le setšhaba sa Ukraine. Ditemaneng tšeo, Putin o a fenya, bjalo ka ge Ptolemy IV a ile a fenya, eupša ka morago ga phenyo ya gagwe o tla iphagamišetša godimo pelong ya gagwe, gomme boikgodišo bja gagwe bja boinotšhi bja go iphagamiša bo tla fetoga mokgwa wa Waterloo ya gagwe. Seswantšho sa histori sa histori ye ya bjale se na le mohola feela go bao ba kwešišago seo histori ye ya bjale e se emelago moyeng.</w:t>
      </w:r>
    </w:p>
    <w:p>
      <w:pPr>
        <w:pStyle w:val="ArticleBody"/>
        <w:jc w:val="left"/>
      </w:pPr>
      <w:r>
        <w:rPr>
          <w:rFonts w:ascii="Times New Roman" w:hAnsi="Times New Roman" w:eastAsia="Times New Roman" w:cs="Times New Roman"/>
        </w:rPr>
        <w:t>Dalam ayat pertama, pasal sepuluh, Daniel, yang melambangkan umat Allah pada akhir zaman, dikenal pasti sebagai memahami baik “penglihatan” mahupun “perkara” itu. Penglihatan dan perkara itu berulang kali dinyatakan bersama-sama, namun berbeza antara satu dengan yang lain, sebagai satu garis kebenaran. Itulah Sungai Ulai dan Hiddekel. Itulah penglihatan “mareh” dan “chazon”. Itulah nubuat dua ribu lima ratus dua puluh tahun yang berkaitan dengan nubuat dua ribu tiga ratus tahun. Itulah kesaksian dalaman dan luaran umat Allah. Tuhan tidak mengulangi perkara-perkara yang tidak penting. Kaedah penyebutan pertama mengenal pasti bahawa, oleh sebab perkara pertama yang diberitahukan kepada kita tentang Daniel, dalam penglihatannya yang terakhir, ialah bahawa dia melambangkan umat Allah pada akhir zaman yang memahami kedua-dua “chazon” dan “mareh”. Oleh itu, penglihatan dan perkara itu sangat penting untuk dilihat, jika sejarah kenabian dalam ayat sebelas dan dua belas hendak difahami dengan benar.</w:t>
      </w:r>
    </w:p>
    <w:p>
      <w:pPr>
        <w:pStyle w:val="ArticleBody"/>
        <w:jc w:val="left"/>
      </w:pPr>
      <w:r>
        <w:rPr>
          <w:rFonts w:ascii="Times New Roman" w:hAnsi="Times New Roman" w:eastAsia="Times New Roman" w:cs="Times New Roman"/>
        </w:rPr>
        <w:t>Daniel a emela ba dikete di lekgolo le masome a mane le bone mo go Tshenolo kgaolo ya bolesome le bongwe, ba ba boeleditseng ka botlalo setshwantsho sa makgarebane a le lesome, se se neng sa diragadiwa mo hisitoring ya Bamilaraite. Bone, fela jaaka go ne go ntse ka Bamilaraite, ba ne ba boga kgobotlo ya ntlha, e mo go Tshenolo kgaolo ya bolesome le bongwe e emediwang jaaka go bolawa ke sebatana sa bo-‘woke’ se se sa dumeleng gore Baebele ke boammaaruri se se tswang mo moleteng o o se nang boteng, mme ba bo ba robala ba sule mo mmileng wa motse o mogolo wa Egepeto le Sodoma, kwa le Keresete a neng a bapolwa gone. Loso lwa bone lo ne lwa tsala “boitumelo” mo balateleng ba kgogela, mme lo ne lwa tsala khutsafalo mo go Daniele.</w:t>
      </w:r>
    </w:p>
    <w:p>
      <w:pPr>
        <w:pStyle w:val="ArticleBody"/>
        <w:jc w:val="left"/>
      </w:pPr>
      <w:r>
        <w:rPr>
          <w:rFonts w:ascii="Times New Roman" w:hAnsi="Times New Roman" w:eastAsia="Times New Roman" w:cs="Times New Roman"/>
        </w:rPr>
        <w:t>Histori ya kufungiwa muhuri kwa wale mia moja arobaini na nne elfu pia iliwakilishwa na ufufuo wa Lazaro, ambaye ufufuo wake ulitambulishwa kuwa tendo la kutiwa muhuri la kazi ya Kristo; naye, akiwa ishara ya wale ambao Kristo huwafungia muhuri, aliongoza kuingia kwa ushindi Yerusalemu, kulikowakilisha mwendo wa Kilio cha Usiku wa Manane katika historia ya Wamilleri, na pia katika historia ya wale mia moja arobaini na nne elfu. Ufufuo wa Lazaro ulitukia wakati dada zake, Maria na Martha, walipokuwa katika maombolezo, kama alivyokuwa Danieli katika zile siku ishirini na moja katika sura ya kumi. Katika sura ya kumi, maombolezo ya Danieli hukoma kwa kushuka kwa Mikaeli, yeye yule hasa ambaye “sauti” yake ilimrudisha Lazaro na Musa kwenye uzima. Ufufuo wa mashahidi wawili katika Ufunuo sura ya kumi na moja unawakilishwa na Danieli kubadilishwa kwa njozi isababishayo ya “marah.”</w:t>
      </w:r>
    </w:p>
    <w:p>
      <w:pPr>
        <w:pStyle w:val="ArticleBody"/>
        <w:jc w:val="left"/>
      </w:pPr>
      <w:r>
        <w:rPr>
          <w:rFonts w:ascii="Leelawadee UI" w:hAnsi="Leelawadee UI" w:eastAsia="Leelawadee UI" w:cs="Leelawadee UI"/>
        </w:rPr>
        <w:t>ក្នុងជំពូកទីដប់</w:t>
      </w:r>
      <w:r>
        <w:rPr>
          <w:rFonts w:ascii="Times New Roman" w:hAnsi="Times New Roman" w:eastAsia="Times New Roman" w:cs="Times New Roman"/>
        </w:rPr>
        <w:t xml:space="preserve"> </w:t>
      </w:r>
      <w:r>
        <w:rPr>
          <w:rFonts w:ascii="Leelawadee UI" w:hAnsi="Leelawadee UI" w:eastAsia="Leelawadee UI" w:cs="Leelawadee UI"/>
        </w:rPr>
        <w:t>ដានីយ៉ែលកំពុងតំណាងឲ្យការបោះត្រាលើមនុស្សមួយសែនបួនម៉ឺនបួនពាន់នាក់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ដែលត្រូវបានតំណាងផងដែរនៅក្នុងជំពូកទីដប់មួយ</w:t>
      </w:r>
      <w:r>
        <w:rPr>
          <w:rFonts w:ascii="Times New Roman" w:hAnsi="Times New Roman" w:eastAsia="Times New Roman" w:cs="Times New Roman"/>
        </w:rPr>
        <w:t xml:space="preserve"> </w:t>
      </w:r>
      <w:r>
        <w:rPr>
          <w:rFonts w:ascii="Leelawadee UI" w:hAnsi="Leelawadee UI" w:eastAsia="Leelawadee UI" w:cs="Leelawadee UI"/>
        </w:rPr>
        <w:t>នៃព្រះគម្ពីរវិវរណៈ។</w:t>
      </w:r>
      <w:r>
        <w:rPr>
          <w:rFonts w:ascii="Times New Roman" w:hAnsi="Times New Roman" w:eastAsia="Times New Roman" w:cs="Times New Roman"/>
        </w:rPr>
        <w:t xml:space="preserve"> </w:t>
      </w:r>
      <w:r>
        <w:rPr>
          <w:rFonts w:ascii="Leelawadee UI" w:hAnsi="Leelawadee UI" w:eastAsia="Leelawadee UI" w:cs="Leelawadee UI"/>
        </w:rPr>
        <w:t>នៅក្នុងជំពូកនោះ</w:t>
      </w:r>
      <w:r>
        <w:rPr>
          <w:rFonts w:ascii="Times New Roman" w:hAnsi="Times New Roman" w:eastAsia="Times New Roman" w:cs="Times New Roman"/>
        </w:rPr>
        <w:t xml:space="preserve"> </w:t>
      </w:r>
      <w:r>
        <w:rPr>
          <w:rFonts w:ascii="Leelawadee UI" w:hAnsi="Leelawadee UI" w:eastAsia="Leelawadee UI" w:cs="Leelawadee UI"/>
        </w:rPr>
        <w:t>កាព្រីយ៉ែលបានបញ្ជាក់យ៉ាងច្បាស់ថា</w:t>
      </w:r>
      <w:r>
        <w:rPr>
          <w:rFonts w:ascii="Times New Roman" w:hAnsi="Times New Roman" w:eastAsia="Times New Roman" w:cs="Times New Roman"/>
        </w:rPr>
        <w:t xml:space="preserve"> </w:t>
      </w:r>
      <w:r>
        <w:rPr>
          <w:rFonts w:ascii="Leelawadee UI" w:hAnsi="Leelawadee UI" w:eastAsia="Leelawadee UI" w:cs="Leelawadee UI"/>
        </w:rPr>
        <w:t>គាត់បានមកឯដានីយ៉ែល</w:t>
      </w:r>
      <w:r>
        <w:rPr>
          <w:rFonts w:ascii="Times New Roman" w:hAnsi="Times New Roman" w:eastAsia="Times New Roman" w:cs="Times New Roman"/>
        </w:rPr>
        <w:t xml:space="preserve"> </w:t>
      </w:r>
      <w:r>
        <w:rPr>
          <w:rFonts w:ascii="Leelawadee UI" w:hAnsi="Leelawadee UI" w:eastAsia="Leelawadee UI" w:cs="Leelawadee UI"/>
        </w:rPr>
        <w:t>ដើម្បីធ្វើឲ្យដានីយ៉ែលយល់អំពីអ្វីៗដែលនឹងកើតមានដល់រាស្ត្ររបស់ព្រះនៅថ្ងៃចុងក្រោយ។</w:t>
      </w:r>
      <w:r>
        <w:rPr>
          <w:rFonts w:ascii="Times New Roman" w:hAnsi="Times New Roman" w:eastAsia="Times New Roman" w:cs="Times New Roman"/>
        </w:rPr>
        <w:t xml:space="preserve"> </w:t>
      </w:r>
      <w:r>
        <w:rPr>
          <w:rFonts w:ascii="Leelawadee UI" w:hAnsi="Leelawadee UI" w:eastAsia="Leelawadee UI" w:cs="Leelawadee UI"/>
        </w:rPr>
        <w:t>សារអំពីអ្វីដែលនឹងកើតមានដល់រាស្ត្ររបស់ព្រះនៅថ្ងៃចុងក្រោយ</w:t>
      </w:r>
      <w:r>
        <w:rPr>
          <w:rFonts w:ascii="Times New Roman" w:hAnsi="Times New Roman" w:eastAsia="Times New Roman" w:cs="Times New Roman"/>
        </w:rPr>
        <w:t xml:space="preserve"> </w:t>
      </w:r>
      <w:r>
        <w:rPr>
          <w:rFonts w:ascii="Leelawadee UI" w:hAnsi="Leelawadee UI" w:eastAsia="Leelawadee UI" w:cs="Leelawadee UI"/>
        </w:rPr>
        <w:t>ត្រូវបានដាក់ក្នុងបរិបទព្យាករណ៍នៃសារមួយ</w:t>
      </w:r>
      <w:r>
        <w:rPr>
          <w:rFonts w:ascii="Times New Roman" w:hAnsi="Times New Roman" w:eastAsia="Times New Roman" w:cs="Times New Roman"/>
        </w:rPr>
        <w:t xml:space="preserve"> </w:t>
      </w:r>
      <w:r>
        <w:rPr>
          <w:rFonts w:ascii="Leelawadee UI" w:hAnsi="Leelawadee UI" w:eastAsia="Leelawadee UI" w:cs="Leelawadee UI"/>
        </w:rPr>
        <w:t>ដែលត្រូវបានបញ្ជាក់ដោយវិធីសាស្ត្រនៃការដាក់បន្ទាត់ព្យាករណ៍មួយលើបន្ទាត់ព្យាករណ៍មួយទៀត។</w:t>
      </w:r>
      <w:r>
        <w:rPr>
          <w:rFonts w:ascii="Times New Roman" w:hAnsi="Times New Roman" w:eastAsia="Times New Roman" w:cs="Times New Roman"/>
        </w:rPr>
        <w:t xml:space="preserve"> </w:t>
      </w:r>
      <w:r>
        <w:rPr>
          <w:rFonts w:ascii="Leelawadee UI" w:hAnsi="Leelawadee UI" w:eastAsia="Leelawadee UI" w:cs="Leelawadee UI"/>
        </w:rPr>
        <w:t>នៅក្នុងការអនុវត្តនោះ</w:t>
      </w:r>
      <w:r>
        <w:rPr>
          <w:rFonts w:ascii="Times New Roman" w:hAnsi="Times New Roman" w:eastAsia="Times New Roman" w:cs="Times New Roman"/>
        </w:rPr>
        <w:t xml:space="preserve"> </w:t>
      </w:r>
      <w:r>
        <w:rPr>
          <w:rFonts w:ascii="Leelawadee UI" w:hAnsi="Leelawadee UI" w:eastAsia="Leelawadee UI" w:cs="Leelawadee UI"/>
        </w:rPr>
        <w:t>ក្បួននៃការលើកឡើងជាលើកដំបូង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ការយល់ដ៏ត្រឹមត្រូវនឹងត្រូវបានឃើញតែដោយអ្នកដែលឃើញទាំងសេចក្ដីពិតខាងក្នុង</w:t>
      </w:r>
      <w:r>
        <w:rPr>
          <w:rFonts w:ascii="Times New Roman" w:hAnsi="Times New Roman" w:eastAsia="Times New Roman" w:cs="Times New Roman"/>
        </w:rPr>
        <w:t xml:space="preserve"> </w:t>
      </w:r>
      <w:r>
        <w:rPr>
          <w:rFonts w:ascii="Leelawadee UI" w:hAnsi="Leelawadee UI" w:eastAsia="Leelawadee UI" w:cs="Leelawadee UI"/>
        </w:rPr>
        <w:t>និងសេចក្ដីពិតខាងក្រៅ</w:t>
      </w:r>
      <w:r>
        <w:rPr>
          <w:rFonts w:ascii="Times New Roman" w:hAnsi="Times New Roman" w:eastAsia="Times New Roman" w:cs="Times New Roman"/>
        </w:rPr>
        <w:t xml:space="preserve"> </w:t>
      </w:r>
      <w:r>
        <w:rPr>
          <w:rFonts w:ascii="Leelawadee UI" w:hAnsi="Leelawadee UI" w:eastAsia="Leelawadee UI" w:cs="Leelawadee UI"/>
        </w:rPr>
        <w:t>នៅក្នុងបន្ទាត់ទាំងឡាយដែលត្រូវបាននាំមករួមគ្នា។</w:t>
      </w:r>
      <w:r>
        <w:rPr>
          <w:rFonts w:ascii="Times New Roman" w:hAnsi="Times New Roman" w:eastAsia="Times New Roman" w:cs="Times New Roman"/>
        </w:rPr>
        <w:t xml:space="preserve"> </w:t>
      </w:r>
      <w:r>
        <w:rPr>
          <w:rFonts w:ascii="Leelawadee UI" w:hAnsi="Leelawadee UI" w:eastAsia="Leelawadee UI" w:cs="Leelawadee UI"/>
        </w:rPr>
        <w:t>ពួកគេជាអ្នកដែលយល់អំពី</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រឿងនោះ</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Ba ba lekgolo le masome a mané le bané ba sekete ba tla tlhaloganya molaetsa wa porofeto, mme gape ba tla itemogela molaetsa oo, gonne molaetsa le maitemogelo ga di kake tsa kgaoganngwa. Ke molaetsa o o itshepisang, gonne molaetsa ke Lefoko la Modimo, mme Keresete ke Lefoko la Modimo, mme Lefoko la Modimo ke Boammaaruri. Molaetsa wa Gagwe o tlhomamisiwa e le Boammaaruri, ka gonne o emelwa ka melaometheo ya tiriso ya boporofeti e e seng sepe se sengwe fa e se fela melaometheo ya gore Ene ke mang le gore Ene ke eng. Ke Palmoni, Moadi yo o Gakgamatsang, Moadi wa Diphiri. Ke Setsebi sa Dipuo se se Gakgamatsang, tshimologo le bokhutlo, wa ntlha le wa bofelo, Alefa le Omega. Ke dikarolo tseno tsa se A leng sone tse di tlhalosang melao ya boporofeti e e tlhomamisang molaetsa wa porofeto, mme di hlahisa maitemogelo a porofeto.</w:t>
      </w:r>
    </w:p>
    <w:p>
      <w:pPr>
        <w:pStyle w:val="ArticleBody"/>
        <w:jc w:val="left"/>
      </w:pPr>
      <w:r>
        <w:rPr>
          <w:rFonts w:ascii="Times New Roman" w:hAnsi="Times New Roman" w:eastAsia="Times New Roman" w:cs="Times New Roman"/>
        </w:rPr>
        <w:t>Sebelum Ulai dan Hiddekel, dua sungai besar Shinar, mencapai Teluk Persia, keduanya membentuk suatu kawasan berpaya dekat pertemuan alirannya yang disebut Shatt al-Arab, namun keduanya tidak menyatu menjadi satu sungai. Shatt al-Arab adalah sebuah delta sungai yang terbentuk oleh pertemuan Sungai Efrat dan Tigris, serta beberapa sungai dan anak sungai yang lebih kecil. Akan tetapi, bahkan di dalam wilayah delta itu, Efrat dan Tigris tetap mempertahankan jati diri masing-masing dan mengalir ke Teluk Persia sebagai sungai-sungai yang berbeda. Pekabaran internal dan eksternal dari nubuatan mempertahankan hubungan khasnya masing-masing, tetapi ketika keduanya mencapai kesimpulannya (pada akhir zaman), keduanya menghasilkan suatu delta dengan beberapa sungai dan anak sungai yang turut menyumbang. Yesus menggambarkan yang rohani melalui yang alamiah, dan pada akhir zaman dampak dari setiap penglihatan membentuk suatu tanah banjir delta, meskipun kedua sungai besar itu tetap mempertahankan peran-perannya yang berbeda.</w:t>
      </w:r>
    </w:p>
    <w:p>
      <w:pPr>
        <w:pStyle w:val="ArticleBody"/>
        <w:jc w:val="left"/>
      </w:pPr>
      <w:r>
        <w:rPr>
          <w:rFonts w:ascii="Times New Roman" w:hAnsi="Times New Roman" w:eastAsia="Times New Roman" w:cs="Times New Roman"/>
        </w:rPr>
        <w:t>Nako ea matšatši a masomepedi-tee ya go lla e dumelelana le nako yeo dihlatse tše pedi di lego di hwile mo mokgotheng, gomme nako yeo e thoma ka manyami a pele le nako ya go diega. Nako yeo e direga ka gare ga nako ye kgolwane, moo go swaiwa ga ba dikete tše lekgolo le masomenne-nne go phethagatšwago. Go swaiwa ga se gwa thoma nakong ya bofelo ka 1989; go thomile ge Kriste, bjalo ka morongwa wa boraro, a theogile ka September 11, 2001. O tlišitše batho ba Gagwe ketelong ya bona ya bobedi kwa Kadeshe, gomme mo nakong ye, ba sego kae bao ba loketšego ba tla tsena nageng ya tshepišo. Maitemogelo a batho ba Modimo go tloga nakong ya bofelo ka 1989 go fihla ka September 11, 2001, ga se a ka a ba swaya. Go swaiwa go thomile ge Kriste a theoga gomme a lla noto ya pele ya phalafala ya bošupa ya madimabe a boraro.</w:t>
      </w:r>
    </w:p>
    <w:p>
      <w:pPr>
        <w:pStyle w:val="ArticleBody"/>
        <w:jc w:val="left"/>
      </w:pPr>
      <w:r>
        <w:rPr>
          <w:rFonts w:ascii="Times New Roman" w:hAnsi="Times New Roman" w:eastAsia="Times New Roman" w:cs="Times New Roman"/>
        </w:rPr>
        <w:t>Bunywe bwa trumpete ya sevhe nthanu ndi apo chinsinsi cha Mulungu chimalizidwa, ndipo chinsinsi chimenecho chikuyimira kusindikizidwa kwa zana limodzi ndi makumi anayi ndi zinayi sauzande, kumene kumachitika pa nthawi ya kulira kwa trumpete imeneyo. Trumpete imeneyo imayimba mawu atatu, pakuti ndiyo Choonadi. Mawu oyamba anali pa September 11, 2001, mawu achiwiri anali pa October 7, 2023, ndipo mawu achitatu mwa mawu atatuwo ali pa lamulo la Lamlungu limene likubwera posachedwa. Mawu atatu amenewo ndiwo masitepe atatu amene nthawi zonse amapezeka m’choonadi. Kukhudzidwa katatu kwa Danieli mu chaputala cha khumi kunalumikiza chochitika chake ndi nthawi ya mbiri yomwe ikuyimiridwa ndi mawu atatu a trumpete ya sevhe nthanu.</w:t>
      </w:r>
    </w:p>
    <w:p>
      <w:pPr>
        <w:pStyle w:val="ArticleBody"/>
        <w:jc w:val="left"/>
      </w:pPr>
      <w:r>
        <w:rPr>
          <w:rFonts w:ascii="Times New Roman" w:hAnsi="Times New Roman" w:eastAsia="Times New Roman" w:cs="Times New Roman"/>
        </w:rPr>
        <w:t>Molaetsa oa boporofeta o hlahisang phello ea ho fetoleloa setšoantšong sa Kreste, oo Daniele a o bontšang khaolong ea leshome, ke molaetsa oa se tla hlahela batho ba Molimo matsatsing a ho qetela, empa e seng matsatsi a ho qetela ka kakaretso. Ke molaetsa oo batho ba Molimo ba o utloisisang le ho o phela nakong ea ho tiisoa ha ba likete tse lekholo le mashome a mane a metso e mene.</w:t>
      </w:r>
    </w:p>
    <w:p>
      <w:pPr>
        <w:pStyle w:val="ArticleBody"/>
        <w:jc w:val="left"/>
      </w:pPr>
      <w:r>
        <w:rPr>
          <w:rFonts w:ascii="Times New Roman" w:hAnsi="Times New Roman" w:eastAsia="Times New Roman" w:cs="Times New Roman"/>
        </w:rPr>
        <w:t>Sebaik sahaja Gabriel mula membentangkan sejarah nubuat yang dilambangkan dalam pasal sebelas, dia mengemukakan garis-garis nubuat yang khusus. Dua ayat yang pertama bermula dengan Cyrus (sebagai Bush yang pertama), pada waktu kesudahan pada tahun 1989, lalu bergerak maju hingga kepada sejarah Donald Trump sebagai presiden yang keempat puluh lima (yang keenam), dan di situ sejarah nubuat itu terhenti, sehingga sejarah Pertubuhan Bangsa-Bangsa Bersatu (Alexander the Great), sebagai kerajaan yang ketujuh, dibicarakan dalam ayat tiga dan empat. Oleh itu, pekabaran tentang Donald Trump sebagai presiden keenam yang kaya, yang menggerakkan golongan globalis, adalah suatu kebenaran yang digenapi pada waktu pemeteraian seratus empat puluh empat ribu. Oleh itu, itulah kebenaran masa kini.</w:t>
      </w:r>
    </w:p>
    <w:p>
      <w:pPr>
        <w:pStyle w:val="ArticleBody"/>
        <w:jc w:val="left"/>
      </w:pPr>
      <w:r>
        <w:rPr>
          <w:rFonts w:ascii="Times New Roman" w:hAnsi="Times New Roman" w:eastAsia="Times New Roman" w:cs="Times New Roman"/>
        </w:rPr>
        <w:t>Dalam ayat lima hingga sembilan, sejarah kepausan yang ditegakkan di atas takhta, sejak tahun 538 hingga luka yang mematikan dan masa kesudahan pada tahun 1798, dikemukakan. Hal ini tentu merupakan kebenaran yang esensial dan penting, karena menopang dan meneguhkan ayat empat puluh, tetapi tidak memberikan narasi nubuatan yang spesifik yang terjadi dalam masa pemeteraian seratus empat puluh empat ribu. Ayat sepuluh, seperti ayat lima hingga sembilan, meneguhkan keabsahan ayat empat puluh, tetapi tidak membahas sejarah nubuatan yang digenapi selama masa pemeteraian. Namun demikian, ayat itu menandai tahun 1989, dan dengan demikian, melalui pengabaian, menetapkan suatu masa hening sejak tahun 1989 hingga kepada undang-undang hari Minggu dalam ayat empat puluh satu.</w:t>
      </w:r>
    </w:p>
    <w:p>
      <w:pPr>
        <w:pStyle w:val="ArticleBody"/>
        <w:jc w:val="left"/>
      </w:pPr>
      <w:r>
        <w:rPr>
          <w:rFonts w:ascii="Leelawadee UI" w:hAnsi="Leelawadee UI" w:eastAsia="Leelawadee UI" w:cs="Leelawadee UI"/>
        </w:rPr>
        <w:t>អត្ថបទខទីដប់មួយដល់ខទីដប់ប្រាំ</w:t>
      </w:r>
      <w:r>
        <w:rPr>
          <w:rFonts w:ascii="Times New Roman" w:hAnsi="Times New Roman" w:eastAsia="Times New Roman" w:cs="Times New Roman"/>
        </w:rPr>
        <w:t xml:space="preserve"> </w:t>
      </w:r>
      <w:r>
        <w:rPr>
          <w:rFonts w:ascii="Leelawadee UI" w:hAnsi="Leelawadee UI" w:eastAsia="Leelawadee UI" w:cs="Leelawadee UI"/>
        </w:rPr>
        <w:t>កំណត់អត្តសញ្ញាណប្រវត្តិសាស្ត្រដែលបានសម្រេចក្នុងអំឡុងពេលនៃការបោះត្រាលើ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ខទាំងនោះសមស្របនៅក្នុងប្រវត្តិសាស្ត្រលាក់កំបាំងរវាងខទីពីរ</w:t>
      </w:r>
      <w:r>
        <w:rPr>
          <w:rFonts w:ascii="Times New Roman" w:hAnsi="Times New Roman" w:eastAsia="Times New Roman" w:cs="Times New Roman"/>
        </w:rPr>
        <w:t xml:space="preserve"> </w:t>
      </w:r>
      <w:r>
        <w:rPr>
          <w:rFonts w:ascii="Leelawadee UI" w:hAnsi="Leelawadee UI" w:eastAsia="Leelawadee UI" w:cs="Leelawadee UI"/>
        </w:rPr>
        <w:t>និងខទីបី</w:t>
      </w:r>
      <w:r>
        <w:rPr>
          <w:rFonts w:ascii="Times New Roman" w:hAnsi="Times New Roman" w:eastAsia="Times New Roman" w:cs="Times New Roman"/>
        </w:rPr>
        <w:t xml:space="preserve"> </w:t>
      </w:r>
      <w:r>
        <w:rPr>
          <w:rFonts w:ascii="Leelawadee UI" w:hAnsi="Leelawadee UI" w:eastAsia="Leelawadee UI" w:cs="Leelawadee UI"/>
        </w:rPr>
        <w:t>ហើយរវាងឆ្នាំ</w:t>
      </w:r>
      <w:r>
        <w:rPr>
          <w:rFonts w:ascii="Times New Roman" w:hAnsi="Times New Roman" w:eastAsia="Times New Roman" w:cs="Times New Roman"/>
        </w:rPr>
        <w:t xml:space="preserve"> 1989 </w:t>
      </w:r>
      <w:r>
        <w:rPr>
          <w:rFonts w:ascii="Leelawadee UI" w:hAnsi="Leelawadee UI" w:eastAsia="Leelawadee UI" w:cs="Leelawadee UI"/>
        </w:rPr>
        <w:t>ក្នុងខទីសែសិប</w:t>
      </w:r>
      <w:r>
        <w:rPr>
          <w:rFonts w:ascii="Times New Roman" w:hAnsi="Times New Roman" w:eastAsia="Times New Roman" w:cs="Times New Roman"/>
        </w:rPr>
        <w:t xml:space="preserve"> </w:t>
      </w:r>
      <w:r>
        <w:rPr>
          <w:rFonts w:ascii="Leelawadee UI" w:hAnsi="Leelawadee UI" w:eastAsia="Leelawadee UI" w:cs="Leelawadee UI"/>
        </w:rPr>
        <w:t>ដល់ច្បាប់ថ្ងៃអាទិត្យក្នុងខទីសែសិបមួយ។</w:t>
      </w:r>
      <w:r>
        <w:rPr>
          <w:rFonts w:ascii="Times New Roman" w:hAnsi="Times New Roman" w:eastAsia="Times New Roman" w:cs="Times New Roman"/>
        </w:rPr>
        <w:t xml:space="preserve"> </w:t>
      </w:r>
      <w:r>
        <w:rPr>
          <w:rFonts w:ascii="Leelawadee UI" w:hAnsi="Leelawadee UI" w:eastAsia="Leelawadee UI" w:cs="Leelawadee UI"/>
        </w:rPr>
        <w:t>ខទាំងនោះជាសេចក្តីពិតបច្ចុប្បន្នយ៉ាងខ្លាំង</w:t>
      </w:r>
      <w:r>
        <w:rPr>
          <w:rFonts w:ascii="Times New Roman" w:hAnsi="Times New Roman" w:eastAsia="Times New Roman" w:cs="Times New Roman"/>
        </w:rPr>
        <w:t xml:space="preserve"> </w:t>
      </w:r>
      <w:r>
        <w:rPr>
          <w:rFonts w:ascii="Leelawadee UI" w:hAnsi="Leelawadee UI" w:eastAsia="Leelawadee UI" w:cs="Leelawadee UI"/>
        </w:rPr>
        <w:t>ហើយត្រូវតែត្រូវបានទទួលស្គាល់ដូច្នោះ</w:t>
      </w:r>
      <w:r>
        <w:rPr>
          <w:rFonts w:ascii="Times New Roman" w:hAnsi="Times New Roman" w:eastAsia="Times New Roman" w:cs="Times New Roman"/>
        </w:rPr>
        <w:t xml:space="preserve"> </w:t>
      </w:r>
      <w:r>
        <w:rPr>
          <w:rFonts w:ascii="Leelawadee UI" w:hAnsi="Leelawadee UI" w:eastAsia="Leelawadee UI" w:cs="Leelawadee UI"/>
        </w:rPr>
        <w:t>ប្រសិនបើយើងចង់ទទួលបានអត្ថប្រយោជន៍ដែលបានបំណងទុកពីការយល់ដឹងអំពីខទាំងនោះ។</w:t>
      </w:r>
    </w:p>
    <w:p>
      <w:pPr>
        <w:pStyle w:val="ArticleBody"/>
        <w:jc w:val="left"/>
      </w:pPr>
      <w:r>
        <w:rPr>
          <w:rFonts w:ascii="Times New Roman" w:hAnsi="Times New Roman" w:eastAsia="Times New Roman" w:cs="Times New Roman"/>
        </w:rPr>
        <w:t>Phinduziro dzinoyemurwa ndizo ziwiri, pakuti zvinomirira kunzwisisa kwenhoroondo yechiporofita inomirirwamo, uyezve chiitiko chinobudiswa nokunzwisisa kwezvokwadi zvomushoko iwoyo. Kunzwisisa kweshoko iri, ndiko kuwedzera kwokupedzisira kwezivo, kuri kuzadzikiswa munguva yokuiswa chisimbiso, ndiko kunoita vatsvene avo vanofanira kuva pakati pevane zana namakumi mana nezvina zvuru. Nokuda kwechikonzero ichi, zvinokosha kufunga nezvendima idzi tichidziona kubva pamaonero omukati neokunze.</w:t>
      </w:r>
    </w:p>
    <w:p>
      <w:pPr>
        <w:pStyle w:val="ArticleBody"/>
        <w:jc w:val="left"/>
      </w:pPr>
      <w:r>
        <w:rPr>
          <w:rFonts w:ascii="Times New Roman" w:hAnsi="Times New Roman" w:eastAsia="Times New Roman" w:cs="Times New Roman"/>
        </w:rPr>
        <w:t>“Tujuh kali” dalam Imamat dua puluh enam mutlak merupakan bagian dari masa pemeteraian seratus empat puluh empat ribu, sebab dua doa Daniel, yang digambarkan dalam pasal dua dan sembilan, melambangkan doa ganda untuk memahami sejarah nubuatan yang dilambangkan oleh patung binatang itu, dan juga untuk menerima pengalaman yang dihasilkan oleh mereka yang menggenapi doa Imamat dua puluh enam mengenai pengampunan dosa-dosa mereka dan dosa-dosa nenek moyang mereka. Doa yang lahiriah mengidentifikasi patung binatang itu, dan doa yang batiniah menghasilkan citra Kristus.</w:t>
      </w:r>
    </w:p>
    <w:p>
      <w:pPr>
        <w:pStyle w:val="ArticleBody"/>
        <w:jc w:val="left"/>
      </w:pPr>
      <w:r>
        <w:rPr>
          <w:rFonts w:ascii="Times New Roman" w:hAnsi="Times New Roman" w:eastAsia="Times New Roman" w:cs="Times New Roman"/>
        </w:rPr>
        <w:t>Kufahamu historia inayowakilishwa katika mafungu mbalimbali ya Danieli kumi na moja, ambayo hasa yanaelekeza kwenye historia inayotimizwa ndani ya wakati wa kutiwa muhuri, kunawakilishwa na ombi la Danieli katika sura ya pili. Yeye pamoja na wale watu watatu wenye ustahili walitafuta kuelewa ujumbe wa siri wa ndoto ya Nebukadreza kuhusu sanamu ya metali. Ufahamu sahihi wa historia ya unabii inayowakilishwa katika ndoto iliyofichwa ya Nebukadreza unapotambuliwa, ufahamu huo huwatambulisha wale wanaoelewa kwamba hawana tumaini, isipokuwa wao binafsi watimize uzoefu wa toba kamili unaowakilishwa na ombi la Danieli katika sura ya tisa.</w:t>
      </w:r>
    </w:p>
    <w:p>
      <w:pPr>
        <w:pStyle w:val="ArticleBody"/>
        <w:jc w:val="left"/>
      </w:pPr>
      <w:r>
        <w:rPr>
          <w:rFonts w:ascii="Times New Roman" w:hAnsi="Times New Roman" w:eastAsia="Times New Roman" w:cs="Times New Roman"/>
        </w:rPr>
        <w:t>Go kgaoganya maitemogelo a a emelwang ke Daniele mo kgaolong ya bolesome, le pego ya boporofeti ya ditiragalo tsa nako ya bokhutlo mo kgaolong ya bolesome le bongwe, ke go tlhaela jaaka moithuti wa boporofeti. Mo go Daniele kgaolo ya bolesome le bongwe, ditemana tsa bolesome le bongwe le bolesome le bobedi, ntwa ya molelwane, Ntwa ya Rafia le phenyo ya kgosi ya borwa, di emela ya bobedi mo dintweng tse tharo tsa baemedi tse di supilweng mo Lefokong la Modimo la boporofeti. Senotlelo se se tlisang tshenolo eno ya boammaaruri mo pontsheng ke tiriso ya Moitseanape yo Mogolo wa Dipuo ya gore kgosi ya bokone e elele e bo e fete, go ya fitlha kwa kagoletlong (molaleng), mo temaneng ya bolesome. O ne a tlamela ka ditemana tse dingwe tse pedi tse di buang ka go elela le go feta, mme ka go dira jalo O kopanya pego ya boporofeti ya ditiragalo le maitemogelo a go tlhaloganya ditiragalo tseo go tshwanetseng go a tsale.</w:t>
      </w:r>
    </w:p>
    <w:p>
      <w:pPr>
        <w:pStyle w:val="ArticleScripture"/>
        <w:jc w:val="left"/>
      </w:pPr>
      <w:r>
        <w:rPr>
          <w:rFonts w:ascii="Times New Roman" w:hAnsi="Times New Roman" w:eastAsia="Times New Roman" w:cs="Times New Roman"/>
        </w:rPr>
        <w:t>Tetapi anak-anaknya akan digerakkan, dan akan mengumpulkan suatu himpunan pasukan yang besar; dan seorang dari antara mereka pasti akan datang, melanda seperti air bah, dan terus melintas; kemudian ia akan kembali, dan digerakkan lagi, sampai kepada kubu pertahanannya. Dan raja negeri selatan akan dibangkitkan oleh amarah, lalu akan maju berperang melawannya, yakni melawan raja negeri utara; dan ia akan mengerahkan suatu himpunan yang besar; tetapi himpunan itu akan diserahkan ke dalam tangannya. Dan ketika ia telah melenyapkan himpunan itu, hatinya akan menjadi tinggi; dan ia akan merobohkan berlaksa-laksa orang: tetapi oleh hal itu ia tidak akan menjadi kuat. Daniel 11:10–12.</w:t>
      </w:r>
    </w:p>
    <w:p>
      <w:pPr>
        <w:pStyle w:val="ArticleBody"/>
        <w:jc w:val="left"/>
      </w:pPr>
      <w:r>
        <w:rPr>
          <w:rFonts w:ascii="Times New Roman" w:hAnsi="Times New Roman" w:eastAsia="Times New Roman" w:cs="Times New Roman"/>
        </w:rPr>
        <w:t>Pada tahun 2014, Putin memulai suatu perang di Ukraina, dan untuk mengenali kebenaran ini sebagaimana dilambangkan dalam ayat sebelas dari pasal sebelas, seorang pelajar nubuat pertama-tama harus dapat melihat bahwa ayat sepuluh menggambarkan suatu sejarah yang mengilustrasikan bagian kedua dari ayat empat puluh pasal sebelas kitab Daniel. Ketika ia mengenali hal itu, ia kemudian melihat bahwa apa yang ditambahkan ayat sepuluh kepada ayat empat puluh ialah bahwa ketika Uni Soviet disapu lenyap pada tahun 1989, raja utara hanya maju sampai ke kubunya (yakni “leher”). Tetapi seorang pelajar nubuat tidak akan mengetahui apa yang ditunjukkan oleh hal itu, sampai ia melihat Yesaya pasal delapan ayat delapan. Barulah ia memiliki otoritas kenabian untuk mengidentifikasi bahwa ketiga ayat itu terikat bersama oleh suatu ungkapan yang hanya digunakan tiga kali di dalam Alkitab.</w:t>
      </w:r>
    </w:p>
    <w:p>
      <w:pPr>
        <w:pStyle w:val="ArticleBody"/>
        <w:jc w:val="left"/>
      </w:pPr>
      <w:r>
        <w:rPr>
          <w:rFonts w:ascii="Times New Roman" w:hAnsi="Times New Roman" w:eastAsia="Times New Roman" w:cs="Times New Roman"/>
        </w:rPr>
        <w:t>Murid itu kemudian memerlukan saksi kedua bahwa tiga kali ungkapan “meluap dan menyeberang” muncul dalam Alkitab merupakan suatu pengulangan yang disengaja. Saksi kedua bagi fakta ini ditegakkan karena ketiga ayat (saksi) itu semuanya mengidentifikasi seorang raja utara yang menyerang seorang raja selatan. Bersama-sama, ketiga saksi itu, yang diteguhkan sebagai sejarah simbolis yang sama oleh dua jenis saksi internal, menuntun pelajar nubuatan untuk kemudian menempatkan ketiga ayat itu saling bertumpang tindih, dengan cara baris demi baris. Penerapan itu memperluas isi ayat-ayat tersebut, yang menggambarkan peperangan antara seorang raja utara dan raja selatan.</w:t>
      </w:r>
    </w:p>
    <w:p>
      <w:pPr>
        <w:pStyle w:val="ArticleBody"/>
        <w:jc w:val="left"/>
      </w:pPr>
      <w:r>
        <w:rPr>
          <w:rFonts w:ascii="Times New Roman" w:hAnsi="Times New Roman" w:eastAsia="Times New Roman" w:cs="Times New Roman"/>
        </w:rPr>
        <w:t>Yesaya bab tujuh, ayat lapan dan sembilan, memberikan kunci untuk menyelesaikan teka-teki tentang apa yang diwakili oleh “kota berkubu” dalam ayat sepuluh, kerana perkataan Ibrani bagi “kota berkubu” itu juga ialah “kota berkubu” yang dimasuki oleh raja dari selatan dalam ayat tujuh bab sebelas. “Kota berkubu” juga diterjemahkan sebagai “kekuatan” dalam ungkapan “tempat kudus kekuatan” dalam ayat tiga puluh satu Daniel sebelas. Oleh itu, kedua-dua ayat itu (tujuh dan tiga puluh satu) memberikan dua saksi bahawa “kota berkubu” itu ialah ibu kota suatu kerajaan atau seorang raja. Setelah fakta itu ditegakkan atas dua saksi (kedua-duanya dalam bab sebelas), maka apa yang dikenal pasti oleh Yesaya dalam petikan sulitnya dalam bab tujuh, ayat lapan dan sembilan, apabila dia menegakkan dengan dua saksi dalaman bahawa kota berkubu itu ialah ibu kota suatu kerajaan, atau raja bagi kerajaan itu, menetapkan bahawa sebelum tahun 1989, Kesatuan Soviet, yang ibu kotanya ialah Rusia, dengan bandar rayanya Moscow, mempunyai seorang pemimpin yang ialah Mikal Gorbachev. Bukanlah suatu kebetulan bahawa ciri yang tampak pada Gorbachev ialah dahinya.</w:t>
      </w:r>
    </w:p>
    <w:p>
      <w:pPr>
        <w:pStyle w:val="ArticleBody"/>
        <w:jc w:val="left"/>
      </w:pPr>
      <w:r>
        <w:rPr>
          <w:rFonts w:ascii="Times New Roman" w:hAnsi="Times New Roman" w:eastAsia="Times New Roman" w:cs="Times New Roman"/>
        </w:rPr>
        <w:t>Utsetela ka mela, mafelo a tiriso eno a gatelela botlhokwa jwa yone fa e re, “Fa lo sa dumele, ruri ga lo kitla lo tiisiwa.” Jesu o ne a re, “Ao, dieleele, le ba pelo e bonya go dumela tsotlhe tse baporofeti ba di buileng.” [Bona Luke 24:25] Esera o ne a kwala a re, “Mme ba tsoga phakela mo mosong, ba ya kwa sekakeng sa Tekoa; mme ya re ba ntse ba tsamaya, Jehoshafate a ema a re, Nkutlweng, lona Juda le lona banni ba Jerusalema; Dumelang mo go Morena Modimo wa lona, jalo lo tlaa tiisiwa; dumelang baporofeti ba gagwe, jalo lo tlaa atlega.” [Bona 2 Chronicles 20:20] Gararo le bobedi mo bukeng ya Tshenolo taelo e newa ya go utlwa. “Yo o nang le tsebe, a a utlwe se Mowa o se rayang dikereke.”</w:t>
      </w:r>
    </w:p>
    <w:p>
      <w:pPr>
        <w:pStyle w:val="ArticleBody"/>
        <w:jc w:val="left"/>
      </w:pPr>
      <w:r>
        <w:rPr>
          <w:rFonts w:ascii="Times New Roman" w:hAnsi="Times New Roman" w:eastAsia="Times New Roman" w:cs="Times New Roman"/>
        </w:rPr>
        <w:t>Kuteekebishwa ni kuwa miongoni mwa wanawali wenye hekima, kwa maana wapumbavu ni wazito wa moyo kuamini manabii. Wenye hekima huamini yale ambayo Mungu amenena kupitia kwa manabii Wake, nao huthibitika na kufanikiwa, kwa kuwa husikia yale ambayo Roho ayaambia makanisa. Kutambuliwa kwa Urusi, na vita ilivyoianzisha mwaka 2014 dhidi ya Ukraina, ndiko kunakowathibitisha wale walio wanafunzi wenye hekima wa unabii katika kipindi ambacho Kristo anafunua muhuri wa ukweli huo wenyewe.</w:t>
      </w:r>
    </w:p>
    <w:p>
      <w:pPr>
        <w:pStyle w:val="ArticleBody"/>
        <w:jc w:val="left"/>
      </w:pPr>
      <w:r>
        <w:rPr>
          <w:rFonts w:ascii="Times New Roman" w:hAnsi="Times New Roman" w:eastAsia="Times New Roman" w:cs="Times New Roman"/>
        </w:rPr>
        <w:t>Kebenaran itu tiba dalam sejarah pada tahun 2014, yaitu setelah 2001, dan oleh karena itu berada dalam masa pemeteraian seratus empat puluh empat ribu. Pada tahun berikutnya, 2015, presiden terkaya, yang merupakan presiden keenam sejak waktu kesudahan pada 1989, mulai menghasut para globalis. Ayat sepuluh mengenali sejarah 1989, tetapi juga menetapkan Rusia sebagai “benteng,” dan dalam dua ayat berikutnya, Rusia akan memulai pertempuran kedua dari perang-perang proksi, dan Putin akan memenangkan pertempuran itu. Kebenaran ayat-ayat itu tersingkap ketika sejarah yang diwakilinya digenapi.</w:t>
      </w:r>
    </w:p>
    <w:p>
      <w:pPr>
        <w:pStyle w:val="ArticleScripture"/>
        <w:jc w:val="left"/>
      </w:pPr>
      <w:r>
        <w:rPr>
          <w:rFonts w:ascii="Times New Roman" w:hAnsi="Times New Roman" w:eastAsia="Times New Roman" w:cs="Times New Roman"/>
        </w:rPr>
        <w:t>“Daniel agyina ne kyɛfa no mu na ɔwɔ ne beaeɛ pɔtee so. Ɛsɛ sɛ wɔte nkɔmhyɛ a ɛwɔ Daniel ne Yohane mu ase. Wɔkyerɛkyerɛ wɔn ho wɔn ho mu. Wɔde nokware a ɛsɛ sɛ obiara te ase ma wiase. Saa nkɔmhyɛ yi bɛyɛ adanseɛ wɔ wiase. Ɛnam ne mmamu so wɔ nna a edi akyiri yi mu no, wɔbɛkyerɛkyerɛ wɔn ho wɔn ho.” The Kress Collection, 105.</w:t>
      </w:r>
    </w:p>
    <w:p>
      <w:pPr>
        <w:pStyle w:val="ArticleBody"/>
        <w:jc w:val="left"/>
      </w:pPr>
      <w:r>
        <w:rPr>
          <w:rFonts w:ascii="Times New Roman" w:hAnsi="Times New Roman" w:eastAsia="Times New Roman" w:cs="Times New Roman"/>
        </w:rPr>
        <w:t>Dihunuk ba panagnaad dagiti bersikulo onse ken dose babaen ti naindaklan a pannakaitungpalna iti panawen ti pannakaiselyo dagiti sangagasut ket uppat a ribo ket uppat a gasut, ngem “linia iti linia,” adda pay sabali a napateg a kinapudno a naisilpo kadagitoy a bersikulo. Tapno maiyeg ti estudyante ti padto dagiti tallo a teksto maipapan iti “pannakaiwaras, ken pannakaikkat,” kas maysa, masapul met a maiyegna ti padto dagiti innem a pulo ket lima a tawen iti linia ti padto. Ti padto dagiti innem a pulo ket lima a tawen ti mangtuddo iti punganay dagiti dua a dua a ribo limagasut ket duapulo a padto a tawen, ken ipakitana a mangrugi ida nga agsina iti uppat a pulo ket innem a tawen manipud iti maysa ken maysa. Iti panangikeddeng iti innem a pulo ket lima a tawen iti punganay, ipakitana met a ti Alpha ken Omega ket agparnuay iti innem a pulo ket lima a tawen iti panagpatingga.</w:t>
      </w:r>
    </w:p>
    <w:p>
      <w:pPr>
        <w:pStyle w:val="ArticleBody"/>
        <w:jc w:val="left"/>
      </w:pPr>
      <w:r>
        <w:rPr>
          <w:rFonts w:ascii="Leelawadee UI" w:hAnsi="Leelawadee UI" w:eastAsia="Leelawadee UI" w:cs="Leelawadee UI"/>
        </w:rPr>
        <w:t>យៈពេលហុកសិបប្រាំឆ្នាំ</w:t>
      </w:r>
      <w:r>
        <w:rPr>
          <w:rFonts w:ascii="Times New Roman" w:hAnsi="Times New Roman" w:eastAsia="Times New Roman" w:cs="Times New Roman"/>
        </w:rPr>
        <w:t xml:space="preserve"> </w:t>
      </w:r>
      <w:r>
        <w:rPr>
          <w:rFonts w:ascii="Leelawadee UI" w:hAnsi="Leelawadee UI" w:eastAsia="Leelawadee UI" w:cs="Leelawadee UI"/>
        </w:rPr>
        <w:t>នៅទាំងការចាប់ផ្តើម</w:t>
      </w:r>
      <w:r>
        <w:rPr>
          <w:rFonts w:ascii="Times New Roman" w:hAnsi="Times New Roman" w:eastAsia="Times New Roman" w:cs="Times New Roman"/>
        </w:rPr>
        <w:t xml:space="preserve"> </w:t>
      </w:r>
      <w:r>
        <w:rPr>
          <w:rFonts w:ascii="Leelawadee UI" w:hAnsi="Leelawadee UI" w:eastAsia="Leelawadee UI" w:cs="Leelawadee UI"/>
        </w:rPr>
        <w:t>និងការបញ្ចប់</w:t>
      </w:r>
      <w:r>
        <w:rPr>
          <w:rFonts w:ascii="Times New Roman" w:hAnsi="Times New Roman" w:eastAsia="Times New Roman" w:cs="Times New Roman"/>
        </w:rPr>
        <w:t xml:space="preserve"> </w:t>
      </w:r>
      <w:r>
        <w:rPr>
          <w:rFonts w:ascii="Leelawadee UI" w:hAnsi="Leelawadee UI" w:eastAsia="Leelawadee UI" w:cs="Leelawadee UI"/>
        </w:rPr>
        <w:t>នីមួយៗសុទ្ធតែមានសញ្ញាសម្គាល់បី។</w:t>
      </w:r>
      <w:r>
        <w:rPr>
          <w:rFonts w:ascii="Times New Roman" w:hAnsi="Times New Roman" w:eastAsia="Times New Roman" w:cs="Times New Roman"/>
        </w:rPr>
        <w:t xml:space="preserve"> </w:t>
      </w:r>
      <w:r>
        <w:rPr>
          <w:rFonts w:ascii="Leelawadee UI" w:hAnsi="Leelawadee UI" w:eastAsia="Leelawadee UI" w:cs="Leelawadee UI"/>
        </w:rPr>
        <w:t>សញ្ញាសម្គាល់ទីមួយគឺ</w:t>
      </w:r>
      <w:r>
        <w:rPr>
          <w:rFonts w:ascii="Times New Roman" w:hAnsi="Times New Roman" w:eastAsia="Times New Roman" w:cs="Times New Roman"/>
        </w:rPr>
        <w:t xml:space="preserve"> 742 BC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ដប់ប្រាំបួនឆ្នាំក្រោយមក</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723 BC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សែសិបប្រាំមួយឆ្នាំក្រោយមក</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677 BC</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សញ្ញាសម្គាល់ទាំងបីនោះ</w:t>
      </w:r>
      <w:r>
        <w:rPr>
          <w:rFonts w:ascii="Times New Roman" w:hAnsi="Times New Roman" w:eastAsia="Times New Roman" w:cs="Times New Roman"/>
        </w:rPr>
        <w:t xml:space="preserve"> </w:t>
      </w:r>
      <w:r>
        <w:rPr>
          <w:rFonts w:ascii="Leelawadee UI" w:hAnsi="Leelawadee UI" w:eastAsia="Leelawadee UI" w:cs="Leelawadee UI"/>
        </w:rPr>
        <w:t>ត្រូវបានតំណាងនៅចុងបញ្ចប់ដោយ</w:t>
      </w:r>
      <w:r>
        <w:rPr>
          <w:rFonts w:ascii="Times New Roman" w:hAnsi="Times New Roman" w:eastAsia="Times New Roman" w:cs="Times New Roman"/>
        </w:rPr>
        <w:t xml:space="preserve"> 1798, 1844, </w:t>
      </w:r>
      <w:r>
        <w:rPr>
          <w:rFonts w:ascii="Leelawadee UI" w:hAnsi="Leelawadee UI" w:eastAsia="Leelawadee UI" w:cs="Leelawadee UI"/>
        </w:rPr>
        <w:t>និង</w:t>
      </w:r>
      <w:r>
        <w:rPr>
          <w:rFonts w:ascii="Times New Roman" w:hAnsi="Times New Roman" w:eastAsia="Times New Roman" w:cs="Times New Roman"/>
        </w:rPr>
        <w:t xml:space="preserve"> 1863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យៈពេលសែសិបប្រាំមួយឆ្នាំនៅដើម</w:t>
      </w:r>
      <w:r>
        <w:rPr>
          <w:rFonts w:ascii="Times New Roman" w:hAnsi="Times New Roman" w:eastAsia="Times New Roman" w:cs="Times New Roman"/>
        </w:rPr>
        <w:t xml:space="preserve"> (Alpha) </w:t>
      </w:r>
      <w:r>
        <w:rPr>
          <w:rFonts w:ascii="Leelawadee UI" w:hAnsi="Leelawadee UI" w:eastAsia="Leelawadee UI" w:cs="Leelawadee UI"/>
        </w:rPr>
        <w:t>តំណាងឲ្យការជាន់ឈ្លីព្រះវិហារ</w:t>
      </w:r>
      <w:r>
        <w:rPr>
          <w:rFonts w:ascii="Times New Roman" w:hAnsi="Times New Roman" w:eastAsia="Times New Roman" w:cs="Times New Roman"/>
        </w:rPr>
        <w:t xml:space="preserve"> </w:t>
      </w:r>
      <w:r>
        <w:rPr>
          <w:rFonts w:ascii="Leelawadee UI" w:hAnsi="Leelawadee UI" w:eastAsia="Leelawadee UI" w:cs="Leelawadee UI"/>
        </w:rPr>
        <w:t>និងពលបរិវារ</w:t>
      </w:r>
      <w:r>
        <w:rPr>
          <w:rFonts w:ascii="Times New Roman" w:hAnsi="Times New Roman" w:eastAsia="Times New Roman" w:cs="Times New Roman"/>
        </w:rPr>
        <w:t xml:space="preserve"> </w:t>
      </w:r>
      <w:r>
        <w:rPr>
          <w:rFonts w:ascii="Leelawadee UI" w:hAnsi="Leelawadee UI" w:eastAsia="Leelawadee UI" w:cs="Leelawadee UI"/>
        </w:rPr>
        <w:t>ហើយយៈពេលសែសិបប្រាំមួយឆ្នាំនៅចុងបញ្ចប់</w:t>
      </w:r>
      <w:r>
        <w:rPr>
          <w:rFonts w:ascii="Times New Roman" w:hAnsi="Times New Roman" w:eastAsia="Times New Roman" w:cs="Times New Roman"/>
        </w:rPr>
        <w:t xml:space="preserve"> (Omega) </w:t>
      </w:r>
      <w:r>
        <w:rPr>
          <w:rFonts w:ascii="Leelawadee UI" w:hAnsi="Leelawadee UI" w:eastAsia="Leelawadee UI" w:cs="Leelawadee UI"/>
        </w:rPr>
        <w:t>តំណាងឲ្យការស្តារឡើងវិញនៃទីបរិសុទ្ធ</w:t>
      </w:r>
      <w:r>
        <w:rPr>
          <w:rFonts w:ascii="Times New Roman" w:hAnsi="Times New Roman" w:eastAsia="Times New Roman" w:cs="Times New Roman"/>
        </w:rPr>
        <w:t xml:space="preserve"> </w:t>
      </w:r>
      <w:r>
        <w:rPr>
          <w:rFonts w:ascii="Leelawadee UI" w:hAnsi="Leelawadee UI" w:eastAsia="Leelawadee UI" w:cs="Leelawadee UI"/>
        </w:rPr>
        <w:t>និងពលបរិវារ</w:t>
      </w:r>
      <w:r>
        <w:rPr>
          <w:rFonts w:ascii="Times New Roman" w:hAnsi="Times New Roman" w:eastAsia="Times New Roman" w:cs="Times New Roman"/>
        </w:rPr>
        <w:t xml:space="preserve"> </w:t>
      </w:r>
      <w:r>
        <w:rPr>
          <w:rFonts w:ascii="Leelawadee UI" w:hAnsi="Leelawadee UI" w:eastAsia="Leelawadee UI" w:cs="Leelawadee UI"/>
        </w:rPr>
        <w:t>នៅពេលដែលអ្នកនាំសារនៃសេចក្តីសញ្ញា</w:t>
      </w:r>
      <w:r>
        <w:rPr>
          <w:rFonts w:ascii="Times New Roman" w:hAnsi="Times New Roman" w:eastAsia="Times New Roman" w:cs="Times New Roman"/>
        </w:rPr>
        <w:t xml:space="preserve"> (</w:t>
      </w:r>
      <w:r>
        <w:rPr>
          <w:rFonts w:ascii="Leelawadee UI" w:hAnsi="Leelawadee UI" w:eastAsia="Leelawadee UI" w:cs="Leelawadee UI"/>
        </w:rPr>
        <w:t>ដែលក៏ជា</w:t>
      </w:r>
      <w:r>
        <w:rPr>
          <w:rFonts w:ascii="Times New Roman" w:hAnsi="Times New Roman" w:eastAsia="Times New Roman" w:cs="Times New Roman"/>
        </w:rPr>
        <w:t xml:space="preserve"> Alpha </w:t>
      </w:r>
      <w:r>
        <w:rPr>
          <w:rFonts w:ascii="Leelawadee UI" w:hAnsi="Leelawadee UI" w:eastAsia="Leelawadee UI" w:cs="Leelawadee UI"/>
        </w:rPr>
        <w:t>និង</w:t>
      </w:r>
      <w:r>
        <w:rPr>
          <w:rFonts w:ascii="Times New Roman" w:hAnsi="Times New Roman" w:eastAsia="Times New Roman" w:cs="Times New Roman"/>
        </w:rPr>
        <w:t xml:space="preserve"> Omega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នឹងចូលមកក្នុងព្រះវិហារ</w:t>
      </w:r>
      <w:r>
        <w:rPr>
          <w:rFonts w:ascii="Times New Roman" w:hAnsi="Times New Roman" w:eastAsia="Times New Roman" w:cs="Times New Roman"/>
        </w:rPr>
        <w:t xml:space="preserve"> </w:t>
      </w:r>
      <w:r>
        <w:rPr>
          <w:rFonts w:ascii="Leelawadee UI" w:hAnsi="Leelawadee UI" w:eastAsia="Leelawadee UI" w:cs="Leelawadee UI"/>
        </w:rPr>
        <w:t>ដែលទ្រង់បានស្ថាបនាឡើងវិញក្នុងរយៈពេលសែសិបប្រាំមួយឆ្នាំ</w:t>
      </w:r>
      <w:r>
        <w:rPr>
          <w:rFonts w:ascii="Times New Roman" w:hAnsi="Times New Roman" w:eastAsia="Times New Roman" w:cs="Times New Roman"/>
        </w:rPr>
        <w:t xml:space="preserve"> </w:t>
      </w:r>
      <w:r>
        <w:rPr>
          <w:rFonts w:ascii="Leelawadee UI" w:hAnsi="Leelawadee UI" w:eastAsia="Leelawadee UI" w:cs="Leelawadee UI"/>
        </w:rPr>
        <w:t>ចាប់ពី</w:t>
      </w:r>
      <w:r>
        <w:rPr>
          <w:rFonts w:ascii="Times New Roman" w:hAnsi="Times New Roman" w:eastAsia="Times New Roman" w:cs="Times New Roman"/>
        </w:rPr>
        <w:t xml:space="preserve"> 1798 </w:t>
      </w:r>
      <w:r>
        <w:rPr>
          <w:rFonts w:ascii="Leelawadee UI" w:hAnsi="Leelawadee UI" w:eastAsia="Leelawadee UI" w:cs="Leelawadee UI"/>
        </w:rPr>
        <w:t>ដល់</w:t>
      </w:r>
      <w:r>
        <w:rPr>
          <w:rFonts w:ascii="Times New Roman" w:hAnsi="Times New Roman" w:eastAsia="Times New Roman" w:cs="Times New Roman"/>
        </w:rPr>
        <w:t xml:space="preserve"> 1844 </w:t>
      </w:r>
      <w:r>
        <w:rPr>
          <w:rFonts w:ascii="Leelawadee UI" w:hAnsi="Leelawadee UI" w:eastAsia="Leelawadee UI" w:cs="Leelawadee UI"/>
        </w:rPr>
        <w:t>យ៉ាងឆាប់រហ័ស។</w:t>
      </w:r>
    </w:p>
    <w:p>
      <w:pPr>
        <w:pStyle w:val="ArticleBody"/>
        <w:jc w:val="left"/>
      </w:pPr>
      <w:r>
        <w:rPr>
          <w:rFonts w:ascii="Leelawadee UI" w:hAnsi="Leelawadee UI" w:eastAsia="Leelawadee UI" w:cs="Leelawadee UI"/>
        </w:rPr>
        <w:t>ลำดับสี่สิบหกปีซึ่งมีสิบเก้าปีนำหน้าอยู่</w:t>
      </w:r>
      <w:r>
        <w:rPr>
          <w:rFonts w:ascii="Times New Roman" w:hAnsi="Times New Roman" w:eastAsia="Times New Roman" w:cs="Times New Roman"/>
        </w:rPr>
        <w:t xml:space="preserve"> </w:t>
      </w:r>
      <w:r>
        <w:rPr>
          <w:rFonts w:ascii="Leelawadee UI" w:hAnsi="Leelawadee UI" w:eastAsia="Leelawadee UI" w:cs="Leelawadee UI"/>
        </w:rPr>
        <w:t>ในช่วงเวลาที่อิสยาห์ได้ประกาศคำพยากรณ์นั้นในปี</w:t>
      </w:r>
      <w:r>
        <w:rPr>
          <w:rFonts w:ascii="Times New Roman" w:hAnsi="Times New Roman" w:eastAsia="Times New Roman" w:cs="Times New Roman"/>
        </w:rPr>
        <w:t xml:space="preserve"> 742 </w:t>
      </w:r>
      <w:r>
        <w:rPr>
          <w:rFonts w:ascii="Leelawadee UI" w:hAnsi="Leelawadee UI" w:eastAsia="Leelawadee UI" w:cs="Leelawadee UI"/>
        </w:rPr>
        <w:t>ก่อน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w:t>
      </w:r>
      <w:r>
        <w:rPr>
          <w:rFonts w:ascii="Leelawadee UI" w:hAnsi="Leelawadee UI" w:eastAsia="Leelawadee UI" w:cs="Leelawadee UI"/>
        </w:rPr>
        <w:t>เป็นตัวแทนของช่วงสี่สิบหกปี</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ตอนสิ้นสุดของมัน</w:t>
      </w:r>
      <w:r>
        <w:rPr>
          <w:rFonts w:ascii="Times New Roman" w:hAnsi="Times New Roman" w:eastAsia="Times New Roman" w:cs="Times New Roman"/>
        </w:rPr>
        <w:t xml:space="preserve"> </w:t>
      </w:r>
      <w:r>
        <w:rPr>
          <w:rFonts w:ascii="Leelawadee UI" w:hAnsi="Leelawadee UI" w:eastAsia="Leelawadee UI" w:cs="Leelawadee UI"/>
        </w:rPr>
        <w:t>ซึ่งต่อมามีสิบเก้าปีตามมาอีกครั้งหนึ่งตามแบบแผนไคแอสมิก</w:t>
      </w:r>
      <w:r>
        <w:rPr>
          <w:rFonts w:ascii="Times New Roman" w:hAnsi="Times New Roman" w:eastAsia="Times New Roman" w:cs="Times New Roman"/>
        </w:rPr>
        <w:t xml:space="preserve">. </w:t>
      </w:r>
      <w:r>
        <w:rPr>
          <w:rFonts w:ascii="Leelawadee UI" w:hAnsi="Leelawadee UI" w:eastAsia="Leelawadee UI" w:cs="Leelawadee UI"/>
        </w:rPr>
        <w:t>ช่วงสิบเก้าปีตั้งแต่</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ถึง</w:t>
      </w:r>
      <w:r>
        <w:rPr>
          <w:rFonts w:ascii="Times New Roman" w:hAnsi="Times New Roman" w:eastAsia="Times New Roman" w:cs="Times New Roman"/>
        </w:rPr>
        <w:t xml:space="preserve"> 1863 </w:t>
      </w:r>
      <w:r>
        <w:rPr>
          <w:rFonts w:ascii="Leelawadee UI" w:hAnsi="Leelawadee UI" w:eastAsia="Leelawadee UI" w:cs="Leelawadee UI"/>
        </w:rPr>
        <w:t>เป็นภาพประกอบถึงพระประสงค์ของพระคริสต์สำหรับชนหนึ่งแสนสี่หมื่นสี่พัน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ซึ่งมิได้บรรลุผลเนื่องจากการกบฏที่เกิดขึ้นในประวัติศาสตร์นั้น</w:t>
      </w:r>
      <w:r>
        <w:rPr>
          <w:rFonts w:ascii="Times New Roman" w:hAnsi="Times New Roman" w:eastAsia="Times New Roman" w:cs="Times New Roman"/>
        </w:rPr>
        <w:t xml:space="preserve">. </w:t>
      </w:r>
      <w:r>
        <w:rPr>
          <w:rFonts w:ascii="Leelawadee UI" w:hAnsi="Leelawadee UI" w:eastAsia="Leelawadee UI" w:cs="Leelawadee UI"/>
        </w:rPr>
        <w:t>งานซึ่งจำเป็นสำหรับผู้ศึกษาคำพยากรณ์ในการแยกแยะพระวจนะแห่งความจริงอย่างถูกต้องเกี่ยวกับข้อสิบถึงสิบสองแห่งดาเนียลบทที่สิบเอ็ดนั้น</w:t>
      </w:r>
      <w:r>
        <w:rPr>
          <w:rFonts w:ascii="Times New Roman" w:hAnsi="Times New Roman" w:eastAsia="Times New Roman" w:cs="Times New Roman"/>
        </w:rPr>
        <w:t xml:space="preserve"> </w:t>
      </w:r>
      <w:r>
        <w:rPr>
          <w:rFonts w:ascii="Leelawadee UI" w:hAnsi="Leelawadee UI" w:eastAsia="Leelawadee UI" w:cs="Leelawadee UI"/>
        </w:rPr>
        <w:t>ไม่เพียงแต่สถาปนาไว้</w:t>
      </w:r>
      <w:r>
        <w:rPr>
          <w:rFonts w:ascii="Times New Roman" w:hAnsi="Times New Roman" w:eastAsia="Times New Roman" w:cs="Times New Roman"/>
        </w:rPr>
        <w:t xml:space="preserve"> (</w:t>
      </w:r>
      <w:r>
        <w:rPr>
          <w:rFonts w:ascii="Leelawadee UI" w:hAnsi="Leelawadee UI" w:eastAsia="Leelawadee UI" w:cs="Leelawadee UI"/>
        </w:rPr>
        <w:t>หากท่านเชื่อ</w:t>
      </w:r>
      <w:r>
        <w:rPr>
          <w:rFonts w:ascii="Times New Roman" w:hAnsi="Times New Roman" w:eastAsia="Times New Roman" w:cs="Times New Roman"/>
        </w:rPr>
        <w:t xml:space="preserve">) </w:t>
      </w:r>
      <w:r>
        <w:rPr>
          <w:rFonts w:ascii="Leelawadee UI" w:hAnsi="Leelawadee UI" w:eastAsia="Leelawadee UI" w:cs="Leelawadee UI"/>
        </w:rPr>
        <w:t>ว่ารัสเซียจะเป็นฝ่ายเริ่มต้นสงครามในยูเครนในปี</w:t>
      </w:r>
      <w:r>
        <w:rPr>
          <w:rFonts w:ascii="Times New Roman" w:hAnsi="Times New Roman" w:eastAsia="Times New Roman" w:cs="Times New Roman"/>
        </w:rPr>
        <w:t xml:space="preserve"> 2014 </w:t>
      </w:r>
      <w:r>
        <w:rPr>
          <w:rFonts w:ascii="Leelawadee UI" w:hAnsi="Leelawadee UI" w:eastAsia="Leelawadee UI" w:cs="Leelawadee UI"/>
        </w:rPr>
        <w:t>เท่านั้น</w:t>
      </w:r>
      <w:r>
        <w:rPr>
          <w:rFonts w:ascii="Times New Roman" w:hAnsi="Times New Roman" w:eastAsia="Times New Roman" w:cs="Times New Roman"/>
        </w:rPr>
        <w:t xml:space="preserve"> </w:t>
      </w:r>
      <w:r>
        <w:rPr>
          <w:rFonts w:ascii="Leelawadee UI" w:hAnsi="Leelawadee UI" w:eastAsia="Leelawadee UI" w:cs="Leelawadee UI"/>
        </w:rPr>
        <w:t>แต่ยังสถาปนาด้วยว่าสงครามนั้นจะเริ่มขึ้นในเวลาแห่งการประทับตราของชนหนึ่งแสนสี่หมื่นสี่พัน</w:t>
      </w:r>
      <w:r>
        <w:rPr>
          <w:rFonts w:ascii="Times New Roman" w:hAnsi="Times New Roman" w:eastAsia="Times New Roman" w:cs="Times New Roman"/>
        </w:rPr>
        <w:t xml:space="preserve">. </w:t>
      </w:r>
      <w:r>
        <w:rPr>
          <w:rFonts w:ascii="Leelawadee UI" w:hAnsi="Leelawadee UI" w:eastAsia="Leelawadee UI" w:cs="Leelawadee UI"/>
        </w:rPr>
        <w:t>แม้ว่าประวัติศาสตร์เชิงพยากรณ์ซึ่งข้อพระคัมภีร์เหล่านั้นเป็นตัวแทนจะมีความสำคัญเพียงใดก็ตาม</w:t>
      </w:r>
      <w:r>
        <w:rPr>
          <w:rFonts w:ascii="Times New Roman" w:hAnsi="Times New Roman" w:eastAsia="Times New Roman" w:cs="Times New Roman"/>
        </w:rPr>
        <w:t xml:space="preserve"> </w:t>
      </w:r>
      <w:r>
        <w:rPr>
          <w:rFonts w:ascii="Leelawadee UI" w:hAnsi="Leelawadee UI" w:eastAsia="Leelawadee UI" w:cs="Leelawadee UI"/>
        </w:rPr>
        <w:t>ประวัติศาสตร์ที่ซึ่งความจริงของประวัติศาสตร์นั้นเองถูกเปิดผนึกออก</w:t>
      </w:r>
      <w:r>
        <w:rPr>
          <w:rFonts w:ascii="Times New Roman" w:hAnsi="Times New Roman" w:eastAsia="Times New Roman" w:cs="Times New Roman"/>
        </w:rPr>
        <w:t xml:space="preserve"> </w:t>
      </w:r>
      <w:r>
        <w:rPr>
          <w:rFonts w:ascii="Leelawadee UI" w:hAnsi="Leelawadee UI" w:eastAsia="Leelawadee UI" w:cs="Leelawadee UI"/>
        </w:rPr>
        <w:t>ก็ได้รับการเป็นตัวแทนเช่นกันโดยประวัติศาสตร์ของช่วงสิบเก้าปีตั้งแต่</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1844 </w:t>
      </w:r>
      <w:r>
        <w:rPr>
          <w:rFonts w:ascii="Leelawadee UI" w:hAnsi="Leelawadee UI" w:eastAsia="Leelawadee UI" w:cs="Leelawadee UI"/>
        </w:rPr>
        <w:t>ถึง</w:t>
      </w:r>
      <w:r>
        <w:rPr>
          <w:rFonts w:ascii="Times New Roman" w:hAnsi="Times New Roman" w:eastAsia="Times New Roman" w:cs="Times New Roman"/>
        </w:rPr>
        <w:t xml:space="preserve"> 1863.</w:t>
      </w:r>
    </w:p>
    <w:p>
      <w:pPr>
        <w:pStyle w:val="ArticleBody"/>
        <w:jc w:val="left"/>
      </w:pPr>
      <w:r>
        <w:rPr>
          <w:rFonts w:ascii="Times New Roman" w:hAnsi="Times New Roman" w:eastAsia="Times New Roman" w:cs="Times New Roman"/>
        </w:rPr>
        <w:t>1844 menandai kedatangan malaikat yang ketiga, dan itu melambangkan kedatangan malaikat yang ketiga pada 11 September 2001. 1863 melambangkan pemberontakan yang disimbolkan oleh pembangunan kembali Yerikho. Penanda jalan tahun 1863 juga melambangkan ketaatan seratus empat puluh empat ribu orang yang dipakai untuk “merobohkan tembok-tembok Yerikho”, pada undang-undang hari Minggu yang segera datang. Dalam ayat-ayat yang sedang kita pertimbangkan, ayat enam belas melambangkan undang-undang hari Minggu di Amerika Serikat. Ayat sebelas menandai rentang dari 2014 hingga kemenangan akhir Putin. Ayat-ayat itu menunjukkan permulaan perang proksi kedua yang diikuti oleh perang proksi ketiga, sebagaimana dilambangkan dalam ayat tiga belas sampai lima belas.</w:t>
      </w:r>
    </w:p>
    <w:p>
      <w:pPr>
        <w:pStyle w:val="ArticleBody"/>
        <w:jc w:val="left"/>
      </w:pPr>
      <w:r>
        <w:rPr>
          <w:rFonts w:ascii="Times New Roman" w:hAnsi="Times New Roman" w:eastAsia="Times New Roman" w:cs="Times New Roman"/>
        </w:rPr>
        <w:t>Dengan menggabungkan ayat dua dengan ayat sebelas dan dua belas, kita mengenal pasti perang Ukraine yang bermula pada tahun 2014, yang kemudiannya diikuti oleh kempen Presiden Amerika Syarikat pada tahun 2015, dan pemilihan presiden yang terkaya pada tahun 2016. Ayat dua belas diikuti oleh tindakan balas presiden terakhir sebelum undang-undang Ahad, dalam perang proksi yang ketiga. Perang proksi yang kedua, iaitu pertempuran di sempadan, bermula sejurus sebelum pemilihan presiden yang keenam dan yang terkaya.</w:t>
      </w:r>
    </w:p>
    <w:p>
      <w:pPr>
        <w:pStyle w:val="ArticleBody"/>
        <w:jc w:val="left"/>
      </w:pPr>
      <w:r>
        <w:rPr>
          <w:rFonts w:ascii="Times New Roman" w:hAnsi="Times New Roman" w:eastAsia="Times New Roman" w:cs="Times New Roman"/>
        </w:rPr>
        <w:t>Dalam sejarah 1844 hingga 1863, kedua tongkat Yehezkiel harus dipersatukan. Penyatuan keduanya melambangkan perpaduan keilahian dan kemanusiaan, yaitu pekerjaan pemeteraian atas seratus empat puluh empat ribu orang. Pada tahun 1844 malaikat ketiga datang dan membuka meterai terang yang berkaitan dengan bait suci surgawi, hukum Allah, hari Sabat, dan malaikat ketiga. Pada tahun 1849 Tuhan mengulurkan tangan-Nya untuk kedua kalinya guna mengumpulkan kawanan yang tercerai-berai, yang telah mengalami penyerakan pada kekecewaan besar itu. Pada tahun 1850 Ia menuntun umat-Nya untuk mempersiapkan bagan kedua Habakuk, guna menggambarkan secara visual berita yang harus diberitakan umat-Nya sementara Ia menuntun mereka untuk “meruntuhkan tembok-tembok Yerikho”. Bagan itu mencakup “tujuh masa”, sebagaimana juga “bagan lama” itu.</w:t>
      </w:r>
    </w:p>
    <w:p>
      <w:pPr>
        <w:pStyle w:val="ArticleBody"/>
        <w:jc w:val="left"/>
      </w:pPr>
      <w:r>
        <w:rPr>
          <w:rFonts w:ascii="Times New Roman" w:hAnsi="Times New Roman" w:eastAsia="Times New Roman" w:cs="Times New Roman"/>
        </w:rPr>
        <w:t>Taun 1856, Nia maungmasi ia ka jingshai kaba dei ban pyndait dak ïa ki briew jong U shuwa ka “Thma Jerikho.” Kata ka jingshai ka long ka jingïar janai jong ka jingshai banyngkong kaba Alpha bad Omega ki la pynpaw ha u William Miller. Ka la long ka jingshai jong ki “hynniew sien,” kumba la mih paw bun sien ha ka Thma Jerikho ba mynbarim. Kata ka jingshai kaba dei ban pyndait dak ïa ki briew jong U, ka la long ruh ka khubor Laodikia kaba dei ban pynkhih bynriew ïa ki, bad ban pynkynriah pat ïa ki sha ka jingïashem jong ka Philadelphia. Kata ka jingshai ba khatduh ka la long ka jingïar janai jong ka jingshai banyngkong, hynrei ki briew jong U ki la leh bym suid jingïarap ïa kata ka jingshai, bad da ka jingjied hi ki la jied ban ïaid paidbah ha ka ri khlaw jong ka Laodikia. 1844, 1849, 1850, 1856 bad 1863 ki mihkhmat ïa san tylli ki dak lynti kiba la mihkhmat ha ka histori jong ka 11 tarik u Nailur, 2001 haduh ka Sunday law kaba jan wan.</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Nhưng thành Giê-ri-cô đã bị đóng kín nghiêm ngặt vì cớ con cái Y-sơ-ra-ên; chẳng ai đi ra, và cũng chẳng ai đi vào. Đức Giê-hô-va phán cùng Giô-suê rằng: Hãy xem, Ta đã phó Giê-ri-cô, vua của nó, và những dũng sĩ can trường của nó vào tay ngươi. Các ngươi, hết thảy những người chiến binh, phải đi vòng quanh thành, đi giáp thành một lượt. Trong sáu ngày, ngươi phải làm như vậy. Bảy thầy tế lễ phải mang trước hòm bảy kèn làm bằng sừng chiên đực; đến ngày thứ bảy, các ngươi phải đi vòng quanh thành bảy lượt, và các thầy tế lễ sẽ thổi kèn. Xảy ra rằng, khi họ thổi một hồi dài bằng sừng chiên đực, và khi các ngươi nghe tiếng kèn, thì cả dân sự sẽ reo lớn bằng tiếng reo thật lớn; bấy giờ tường thành sẽ sụp xuống tại chỗ, và dân sự, ai nấy, sẽ đi thẳng lên phía trước mặt mình. Giô-suê, con trai Nun, bèn gọi các thầy tế lễ và nói với họ rằng: Hãy khiêng hòm giao ước, và hãy để bảy thầy tế lễ mang bảy kèn bằng sừng chiên đực đi trước hòm của Đức Giê-hô-va. Người cũng nói với dân sự rằng: Hãy đi tới, và đi vòng quanh thành; còn kẻ nào có mang binh khí thì hãy đi trước hòm của Đức Giê-hô-va. Xảy ra rằng, khi Giô-suê đã phán với dân sự xong, thì bảy thầy tế lễ mang bảy kèn bằng sừng chiên đực đi trước mặt Đức Giê-hô-va và thổi kèn; còn hòm giao ước của Đức Giê-hô-va thì theo sau họ. Những người có mang binh khí đi trước các thầy tế lễ là những người thổi kèn, còn đội hậu quân đi sau hòm; các thầy tế lễ cứ tiến đi và thổi kèn. Vả, Giô-suê đã truyền cho dân sự rằng: Các ngươi chớ reo hò, cũng đừng phát ra tiếng gì bởi tiếng nói mình, và chớ để một lời nào ra khỏi miệng các ngươi, cho đến ngày ta bảo các ngươi hãy reo; bấy giờ các ngươi sẽ reo lên.</w:t>
      </w:r>
    </w:p>
    <w:p>
      <w:pPr>
        <w:pStyle w:val="ArticleScripture"/>
        <w:jc w:val="left"/>
      </w:pPr>
      <w:r>
        <w:rPr>
          <w:rFonts w:ascii="Times New Roman" w:hAnsi="Times New Roman" w:eastAsia="Times New Roman" w:cs="Times New Roman"/>
        </w:rPr>
        <w:t>Maka tabut TUHAN mengelilingi kota itu, berarak mengitarinya sekali; lalu mereka masuk ke perkemahan dan bermalam di perkemahan itu. Yosua bangun pagi-pagi keesokan harinya, dan para imam mengangkat tabut TUHAN. Tujuh orang imam yang membawa tujuh sangkakala tanduk domba jantan di hadapan tabut TUHAN terus berjalan sambil meniup sangkakala; orang-orang bersenjata berjalan di depan mereka, sedangkan barisan belakang mengikuti di belakang tabut TUHAN, sementara para imam tetap berjalan sambil meniup sangkakala. Pada hari kedua mereka mengelilingi kota itu sekali, lalu kembali ke perkemahan; demikianlah mereka lakukan selama enam hari. Pada hari yang ketujuh mereka bangun pagi-pagi, kira-kira pada waktu fajar menyingsing, lalu mengelilingi kota itu dengan cara yang sama tujuh kali; hanya pada hari itulah mereka mengelilingi kota itu tujuh kali. Pada kali yang ketujuh, ketika para imam meniup sangkakala, berkatalah Yosua kepada bangsa itu, “Bersoraklah, sebab TUHAN telah menyerahkan kota ini kepadamu.”</w:t>
      </w:r>
    </w:p>
    <w:p>
      <w:pPr>
        <w:pStyle w:val="ArticleScripture"/>
        <w:jc w:val="left"/>
      </w:pPr>
      <w:r>
        <w:rPr>
          <w:rFonts w:ascii="Nirmala UI" w:hAnsi="Nirmala UI" w:eastAsia="Nirmala UI" w:cs="Nirmala UI"/>
        </w:rPr>
        <w:t>කොටින්ම</w:t>
      </w:r>
      <w:r>
        <w:rPr>
          <w:rFonts w:ascii="Times New Roman" w:hAnsi="Times New Roman" w:eastAsia="Times New Roman" w:cs="Times New Roman"/>
        </w:rPr>
        <w:t xml:space="preserve"> </w:t>
      </w:r>
      <w:r>
        <w:rPr>
          <w:rFonts w:ascii="Nirmala UI" w:hAnsi="Nirmala UI" w:eastAsia="Nirmala UI" w:cs="Nirmala UI"/>
        </w:rPr>
        <w:t>නගරයද</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සියල්ලද</w:t>
      </w:r>
      <w:r>
        <w:rPr>
          <w:rFonts w:ascii="Times New Roman" w:hAnsi="Times New Roman" w:eastAsia="Times New Roman" w:cs="Times New Roman"/>
        </w:rPr>
        <w:t xml:space="preserve">, </w:t>
      </w:r>
      <w:r>
        <w:rPr>
          <w:rFonts w:ascii="Nirmala UI" w:hAnsi="Nirmala UI" w:eastAsia="Nirmala UI" w:cs="Nirmala UI"/>
        </w:rPr>
        <w:t>යෙහෝවාට</w:t>
      </w:r>
      <w:r>
        <w:rPr>
          <w:rFonts w:ascii="Times New Roman" w:hAnsi="Times New Roman" w:eastAsia="Times New Roman" w:cs="Times New Roman"/>
        </w:rPr>
        <w:t xml:space="preserve"> </w:t>
      </w:r>
      <w:r>
        <w:rPr>
          <w:rFonts w:ascii="Nirmala UI" w:hAnsi="Nirmala UI" w:eastAsia="Nirmala UI" w:cs="Nirmala UI"/>
        </w:rPr>
        <w:t>ශාපිත</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අප</w:t>
      </w:r>
      <w:r>
        <w:rPr>
          <w:rFonts w:ascii="Times New Roman" w:hAnsi="Times New Roman" w:eastAsia="Times New Roman" w:cs="Times New Roman"/>
        </w:rPr>
        <w:t xml:space="preserve"> </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දූතයන්</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සඟවා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රාහාබ්</w:t>
      </w:r>
      <w:r>
        <w:rPr>
          <w:rFonts w:ascii="Times New Roman" w:hAnsi="Times New Roman" w:eastAsia="Times New Roman" w:cs="Times New Roman"/>
        </w:rPr>
        <w:t xml:space="preserve"> </w:t>
      </w:r>
      <w:r>
        <w:rPr>
          <w:rFonts w:ascii="Nirmala UI" w:hAnsi="Nirmala UI" w:eastAsia="Nirmala UI" w:cs="Nirmala UI"/>
        </w:rPr>
        <w:t>පමණක්</w:t>
      </w:r>
      <w:r>
        <w:rPr>
          <w:rFonts w:ascii="Times New Roman" w:hAnsi="Times New Roman" w:eastAsia="Times New Roman" w:cs="Times New Roman"/>
        </w:rPr>
        <w:t>—</w:t>
      </w:r>
      <w:r>
        <w:rPr>
          <w:rFonts w:ascii="Nirmala UI" w:hAnsi="Nirmala UI" w:eastAsia="Nirmala UI" w:cs="Nirmala UI"/>
        </w:rPr>
        <w:t>ඇයද</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ගෙදර</w:t>
      </w:r>
      <w:r>
        <w:rPr>
          <w:rFonts w:ascii="Times New Roman" w:hAnsi="Times New Roman" w:eastAsia="Times New Roman" w:cs="Times New Roman"/>
        </w:rPr>
        <w:t xml:space="preserve"> </w:t>
      </w:r>
      <w:r>
        <w:rPr>
          <w:rFonts w:ascii="Nirmala UI" w:hAnsi="Nirmala UI" w:eastAsia="Nirmala UI" w:cs="Nirmala UI"/>
        </w:rPr>
        <w:t>සිටින</w:t>
      </w:r>
      <w:r>
        <w:rPr>
          <w:rFonts w:ascii="Times New Roman" w:hAnsi="Times New Roman" w:eastAsia="Times New Roman" w:cs="Times New Roman"/>
        </w:rPr>
        <w:t xml:space="preserve"> </w:t>
      </w:r>
      <w:r>
        <w:rPr>
          <w:rFonts w:ascii="Nirmala UI" w:hAnsi="Nirmala UI" w:eastAsia="Nirmala UI" w:cs="Nirmala UI"/>
        </w:rPr>
        <w:t>සියල්ලෝද</w:t>
      </w:r>
      <w:r>
        <w:rPr>
          <w:rFonts w:ascii="Times New Roman" w:hAnsi="Times New Roman" w:eastAsia="Times New Roman" w:cs="Times New Roman"/>
        </w:rPr>
        <w:t>—</w:t>
      </w:r>
      <w:r>
        <w:rPr>
          <w:rFonts w:ascii="Nirmala UI" w:hAnsi="Nirmala UI" w:eastAsia="Nirmala UI" w:cs="Nirmala UI"/>
        </w:rPr>
        <w:t>ජීවත්ව</w:t>
      </w:r>
      <w:r>
        <w:rPr>
          <w:rFonts w:ascii="Times New Roman" w:hAnsi="Times New Roman" w:eastAsia="Times New Roman" w:cs="Times New Roman"/>
        </w:rPr>
        <w:t xml:space="preserve"> </w:t>
      </w:r>
      <w:r>
        <w:rPr>
          <w:rFonts w:ascii="Nirmala UI" w:hAnsi="Nirmala UI" w:eastAsia="Nirmala UI" w:cs="Nirmala UI"/>
        </w:rPr>
        <w:t>සිටින්නෝය</w:t>
      </w:r>
      <w:r>
        <w:rPr>
          <w:rFonts w:ascii="Times New Roman" w:hAnsi="Times New Roman" w:eastAsia="Times New Roman" w:cs="Times New Roman"/>
        </w:rPr>
        <w:t xml:space="preserve">. </w:t>
      </w:r>
      <w:r>
        <w:rPr>
          <w:rFonts w:ascii="Nirmala UI" w:hAnsi="Nirmala UI" w:eastAsia="Nirmala UI" w:cs="Nirmala UI"/>
        </w:rPr>
        <w:t>ඔබලා</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කිසිඳු</w:t>
      </w:r>
      <w:r>
        <w:rPr>
          <w:rFonts w:ascii="Times New Roman" w:hAnsi="Times New Roman" w:eastAsia="Times New Roman" w:cs="Times New Roman"/>
        </w:rPr>
        <w:t xml:space="preserve"> </w:t>
      </w:r>
      <w:r>
        <w:rPr>
          <w:rFonts w:ascii="Nirmala UI" w:hAnsi="Nirmala UI" w:eastAsia="Nirmala UI" w:cs="Nirmala UI"/>
        </w:rPr>
        <w:t>ආකාරයකින්</w:t>
      </w:r>
      <w:r>
        <w:rPr>
          <w:rFonts w:ascii="Times New Roman" w:hAnsi="Times New Roman" w:eastAsia="Times New Roman" w:cs="Times New Roman"/>
        </w:rPr>
        <w:t xml:space="preserve"> </w:t>
      </w:r>
      <w:r>
        <w:rPr>
          <w:rFonts w:ascii="Nirmala UI" w:hAnsi="Nirmala UI" w:eastAsia="Nirmala UI" w:cs="Nirmala UI"/>
        </w:rPr>
        <w:t>ශාපිත</w:t>
      </w:r>
      <w:r>
        <w:rPr>
          <w:rFonts w:ascii="Times New Roman" w:hAnsi="Times New Roman" w:eastAsia="Times New Roman" w:cs="Times New Roman"/>
        </w:rPr>
        <w:t xml:space="preserve"> </w:t>
      </w:r>
      <w:r>
        <w:rPr>
          <w:rFonts w:ascii="Nirmala UI" w:hAnsi="Nirmala UI" w:eastAsia="Nirmala UI" w:cs="Nirmala UI"/>
        </w:rPr>
        <w:t>දේවලින්</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yourselves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කරගන්න</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නොකළහොත්</w:t>
      </w:r>
      <w:r>
        <w:rPr>
          <w:rFonts w:ascii="Times New Roman" w:hAnsi="Times New Roman" w:eastAsia="Times New Roman" w:cs="Times New Roman"/>
        </w:rPr>
        <w:t xml:space="preserve">, </w:t>
      </w:r>
      <w:r>
        <w:rPr>
          <w:rFonts w:ascii="Nirmala UI" w:hAnsi="Nirmala UI" w:eastAsia="Nirmala UI" w:cs="Nirmala UI"/>
        </w:rPr>
        <w:t>ශාපිත</w:t>
      </w:r>
      <w:r>
        <w:rPr>
          <w:rFonts w:ascii="Times New Roman" w:hAnsi="Times New Roman" w:eastAsia="Times New Roman" w:cs="Times New Roman"/>
        </w:rPr>
        <w:t xml:space="preserve"> </w:t>
      </w:r>
      <w:r>
        <w:rPr>
          <w:rFonts w:ascii="Nirmala UI" w:hAnsi="Nirmala UI" w:eastAsia="Nirmala UI" w:cs="Nirmala UI"/>
        </w:rPr>
        <w:t>දේවලින්</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ඔබලාම</w:t>
      </w:r>
      <w:r>
        <w:rPr>
          <w:rFonts w:ascii="Times New Roman" w:hAnsi="Times New Roman" w:eastAsia="Times New Roman" w:cs="Times New Roman"/>
        </w:rPr>
        <w:t xml:space="preserve"> </w:t>
      </w:r>
      <w:r>
        <w:rPr>
          <w:rFonts w:ascii="Nirmala UI" w:hAnsi="Nirmala UI" w:eastAsia="Nirmala UI" w:cs="Nirmala UI"/>
        </w:rPr>
        <w:t>ශාපයට</w:t>
      </w:r>
      <w:r>
        <w:rPr>
          <w:rFonts w:ascii="Times New Roman" w:hAnsi="Times New Roman" w:eastAsia="Times New Roman" w:cs="Times New Roman"/>
        </w:rPr>
        <w:t xml:space="preserve"> </w:t>
      </w:r>
      <w:r>
        <w:rPr>
          <w:rFonts w:ascii="Nirmala UI" w:hAnsi="Nirmala UI" w:eastAsia="Nirmala UI" w:cs="Nirmala UI"/>
        </w:rPr>
        <w:t>ලක්ව</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කඳවුර</w:t>
      </w:r>
      <w:r>
        <w:rPr>
          <w:rFonts w:ascii="Times New Roman" w:hAnsi="Times New Roman" w:eastAsia="Times New Roman" w:cs="Times New Roman"/>
        </w:rPr>
        <w:t xml:space="preserve"> </w:t>
      </w:r>
      <w:r>
        <w:rPr>
          <w:rFonts w:ascii="Nirmala UI" w:hAnsi="Nirmala UI" w:eastAsia="Nirmala UI" w:cs="Nirmala UI"/>
        </w:rPr>
        <w:t>ශාපයක්</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විපතට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රිදී</w:t>
      </w:r>
      <w:r>
        <w:rPr>
          <w:rFonts w:ascii="Times New Roman" w:hAnsi="Times New Roman" w:eastAsia="Times New Roman" w:cs="Times New Roman"/>
        </w:rPr>
        <w:t xml:space="preserve"> </w:t>
      </w:r>
      <w:r>
        <w:rPr>
          <w:rFonts w:ascii="Nirmala UI" w:hAnsi="Nirmala UI" w:eastAsia="Nirmala UI" w:cs="Nirmala UI"/>
        </w:rPr>
        <w:t>සියල්ලද</w:t>
      </w:r>
      <w:r>
        <w:rPr>
          <w:rFonts w:ascii="Times New Roman" w:hAnsi="Times New Roman" w:eastAsia="Times New Roman" w:cs="Times New Roman"/>
        </w:rPr>
        <w:t xml:space="preserve">, </w:t>
      </w:r>
      <w:r>
        <w:rPr>
          <w:rFonts w:ascii="Nirmala UI" w:hAnsi="Nirmala UI" w:eastAsia="Nirmala UI" w:cs="Nirmala UI"/>
        </w:rPr>
        <w:t>රන්ද</w:t>
      </w:r>
      <w:r>
        <w:rPr>
          <w:rFonts w:ascii="Times New Roman" w:hAnsi="Times New Roman" w:eastAsia="Times New Roman" w:cs="Times New Roman"/>
        </w:rPr>
        <w:t xml:space="preserve">, </w:t>
      </w:r>
      <w:r>
        <w:rPr>
          <w:rFonts w:ascii="Nirmala UI" w:hAnsi="Nirmala UI" w:eastAsia="Nirmala UI" w:cs="Nirmala UI"/>
        </w:rPr>
        <w:t>පිත්තල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යකඩ</w:t>
      </w:r>
      <w:r>
        <w:rPr>
          <w:rFonts w:ascii="Times New Roman" w:hAnsi="Times New Roman" w:eastAsia="Times New Roman" w:cs="Times New Roman"/>
        </w:rPr>
        <w:t xml:space="preserve"> </w:t>
      </w:r>
      <w:r>
        <w:rPr>
          <w:rFonts w:ascii="Nirmala UI" w:hAnsi="Nirmala UI" w:eastAsia="Nirmala UI" w:cs="Nirmala UI"/>
        </w:rPr>
        <w:t>භාජනද</w:t>
      </w:r>
      <w:r>
        <w:rPr>
          <w:rFonts w:ascii="Times New Roman" w:hAnsi="Times New Roman" w:eastAsia="Times New Roman" w:cs="Times New Roman"/>
        </w:rPr>
        <w:t xml:space="preserve">, </w:t>
      </w:r>
      <w:r>
        <w:rPr>
          <w:rFonts w:ascii="Nirmala UI" w:hAnsi="Nirmala UI" w:eastAsia="Nirmala UI" w:cs="Nirmala UI"/>
        </w:rPr>
        <w:t>යෙහෝවාට</w:t>
      </w:r>
      <w:r>
        <w:rPr>
          <w:rFonts w:ascii="Times New Roman" w:hAnsi="Times New Roman" w:eastAsia="Times New Roman" w:cs="Times New Roman"/>
        </w:rPr>
        <w:t xml:space="preserve"> </w:t>
      </w:r>
      <w:r>
        <w:rPr>
          <w:rFonts w:ascii="Nirmala UI" w:hAnsi="Nirmala UI" w:eastAsia="Nirmala UI" w:cs="Nirmala UI"/>
        </w:rPr>
        <w:t>කැප</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දේවල්ය</w:t>
      </w:r>
      <w:r>
        <w:rPr>
          <w:rFonts w:ascii="Times New Roman" w:hAnsi="Times New Roman" w:eastAsia="Times New Roman" w:cs="Times New Roman"/>
        </w:rPr>
        <w:t xml:space="preserve">; </w:t>
      </w:r>
      <w:r>
        <w:rPr>
          <w:rFonts w:ascii="Nirmala UI" w:hAnsi="Nirmala UI" w:eastAsia="Nirmala UI" w:cs="Nirmala UI"/>
        </w:rPr>
        <w:t>ඒවා</w:t>
      </w:r>
      <w:r>
        <w:rPr>
          <w:rFonts w:ascii="Times New Roman" w:hAnsi="Times New Roman" w:eastAsia="Times New Roman" w:cs="Times New Roman"/>
        </w:rPr>
        <w:t xml:space="preserve"> </w:t>
      </w:r>
      <w:r>
        <w:rPr>
          <w:rFonts w:ascii="Nirmala UI" w:hAnsi="Nirmala UI" w:eastAsia="Nirmala UI" w:cs="Nirmala UI"/>
        </w:rPr>
        <w:t>යෙහෝවාගේ</w:t>
      </w:r>
      <w:r>
        <w:rPr>
          <w:rFonts w:ascii="Times New Roman" w:hAnsi="Times New Roman" w:eastAsia="Times New Roman" w:cs="Times New Roman"/>
        </w:rPr>
        <w:t xml:space="preserve"> </w:t>
      </w:r>
      <w:r>
        <w:rPr>
          <w:rFonts w:ascii="Nirmala UI" w:hAnsi="Nirmala UI" w:eastAsia="Nirmala UI" w:cs="Nirmala UI"/>
        </w:rPr>
        <w:t>භාණ්ඩාගාරයට</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පූජකයෝ</w:t>
      </w:r>
      <w:r>
        <w:rPr>
          <w:rFonts w:ascii="Times New Roman" w:hAnsi="Times New Roman" w:eastAsia="Times New Roman" w:cs="Times New Roman"/>
        </w:rPr>
        <w:t xml:space="preserve"> </w:t>
      </w:r>
      <w:r>
        <w:rPr>
          <w:rFonts w:ascii="Nirmala UI" w:hAnsi="Nirmala UI" w:eastAsia="Nirmala UI" w:cs="Nirmala UI"/>
        </w:rPr>
        <w:t>හොරණෑ</w:t>
      </w:r>
      <w:r>
        <w:rPr>
          <w:rFonts w:ascii="Times New Roman" w:hAnsi="Times New Roman" w:eastAsia="Times New Roman" w:cs="Times New Roman"/>
        </w:rPr>
        <w:t xml:space="preserve"> </w:t>
      </w:r>
      <w:r>
        <w:rPr>
          <w:rFonts w:ascii="Nirmala UI" w:hAnsi="Nirmala UI" w:eastAsia="Nirmala UI" w:cs="Nirmala UI"/>
        </w:rPr>
        <w:t>පිඹූ</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ඝෝෂා</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එසේය</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හොරණෑ</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අසා</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ඝෝෂාවකින්</w:t>
      </w:r>
      <w:r>
        <w:rPr>
          <w:rFonts w:ascii="Times New Roman" w:hAnsi="Times New Roman" w:eastAsia="Times New Roman" w:cs="Times New Roman"/>
        </w:rPr>
        <w:t xml:space="preserve"> </w:t>
      </w:r>
      <w:r>
        <w:rPr>
          <w:rFonts w:ascii="Nirmala UI" w:hAnsi="Nirmala UI" w:eastAsia="Nirmala UI" w:cs="Nirmala UI"/>
        </w:rPr>
        <w:t>ඝෝෂා</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කල්හි</w:t>
      </w:r>
      <w:r>
        <w:rPr>
          <w:rFonts w:ascii="Times New Roman" w:hAnsi="Times New Roman" w:eastAsia="Times New Roman" w:cs="Times New Roman"/>
        </w:rPr>
        <w:t xml:space="preserve">, </w:t>
      </w:r>
      <w:r>
        <w:rPr>
          <w:rFonts w:ascii="Nirmala UI" w:hAnsi="Nirmala UI" w:eastAsia="Nirmala UI" w:cs="Nirmala UI"/>
        </w:rPr>
        <w:t>පවුර</w:t>
      </w:r>
      <w:r>
        <w:rPr>
          <w:rFonts w:ascii="Times New Roman" w:hAnsi="Times New Roman" w:eastAsia="Times New Roman" w:cs="Times New Roman"/>
        </w:rPr>
        <w:t xml:space="preserve"> </w:t>
      </w:r>
      <w:r>
        <w:rPr>
          <w:rFonts w:ascii="Nirmala UI" w:hAnsi="Nirmala UI" w:eastAsia="Nirmala UI" w:cs="Nirmala UI"/>
        </w:rPr>
        <w:t>සමතලාව</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ජනතාව</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ඉදිරියෙන්</w:t>
      </w:r>
      <w:r>
        <w:rPr>
          <w:rFonts w:ascii="Times New Roman" w:hAnsi="Times New Roman" w:eastAsia="Times New Roman" w:cs="Times New Roman"/>
        </w:rPr>
        <w:t xml:space="preserve"> </w:t>
      </w:r>
      <w:r>
        <w:rPr>
          <w:rFonts w:ascii="Nirmala UI" w:hAnsi="Nirmala UI" w:eastAsia="Nirmala UI" w:cs="Nirmala UI"/>
        </w:rPr>
        <w:t>නගරයට</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අල්ලා</w:t>
      </w:r>
      <w:r>
        <w:rPr>
          <w:rFonts w:ascii="Times New Roman" w:hAnsi="Times New Roman" w:eastAsia="Times New Roman" w:cs="Times New Roman"/>
        </w:rPr>
        <w:t xml:space="preserve"> </w:t>
      </w:r>
      <w:r>
        <w:rPr>
          <w:rFonts w:ascii="Nirmala UI" w:hAnsi="Nirmala UI" w:eastAsia="Nirmala UI" w:cs="Nirmala UI"/>
        </w:rPr>
        <w:t>ගත්හ</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Lalu mereka menumpaskan sama sekali segala yang ada di dalam kota itu, baik laki-laki maupun perempuan, muda maupun tua, juga lembu, domba, dan keledai, dengan mata pedang. Tetapi Yosua telah berkata kepada kedua orang yang telah mengintai negeri itu: “Masuklah ke rumah perempuan sundal itu, dan bawalah keluar dari sana perempuan itu serta segala miliknya, seperti yang telah kamu sumpahkan kepadanya.” Maka masuklah orang-orang muda, yaitu para pengintai itu, lalu membawa keluar Rahab, ayahnya, ibunya, saudara-saudaranya, dan segala miliknya; mereka juga membawa keluar seluruh kaum keluarganya, lalu menempatkan mereka di luar perkemahan Israel. Kemudian mereka membakar kota itu dengan api, serta segala yang ada di dalamnya; hanya perak, emas, dan bejana-bejana tembaga dan besi mereka masukkan ke dalam perbendaharaan rumah Tuhan. Demikianlah Yosua membiarkan Rahab, perempuan sundal itu, tetap hidup, juga seisi rumah ayahnya dan segala miliknya; dan ia tinggal di tengah-tengah Israel sampai hari ini, karena ia telah menyembunyikan para utusan yang disuruh Yosua untuk mengintai Yerikho. Pada waktu itu Yosua mengikat mereka dengan sumpah, katanya: “Terkutuklah di hadapan Tuhan orang yang bangkit untuk membangun kembali kota Yerikho ini; dengan anak sulungnya ia akan meletakkan dasarnya, dan dengan anaknya yang bungsu ia akan memasang pintu-pintu gerbangnya.” Demikianlah Tuhan menyertai Yosua; maka termasyhurlah namanya di seluruh negeri. Yosua 6:1–27.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Enam Puluh Lapan</dc:title>
  <dc:subject>Membuka Kebenaran Nubuat: Pertempuran Kedua dalam Perang-perang Proksi dan Pemeteraian 144.000</dc:subject>
  <dc:creator>Jeff Pippenger</dc:creator>
  <cp:keywords/>
  <dc:description>Generated by ArticleDigger from daniel\168_daniel.json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