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Seratus Tujuh Puluh Tiga</w:t>
      </w:r>
    </w:p>
    <w:p>
      <w:pPr>
        <w:pStyle w:val="ArticleSubtitle"/>
        <w:jc w:val="left"/>
      </w:pPr>
      <w:r>
        <w:rPr>
          <w:rFonts w:ascii="Leelawadee UI" w:hAnsi="Leelawadee UI" w:eastAsia="Leelawadee UI" w:cs="Leelawadee UI"/>
        </w:rPr>
        <w:t>ស្រមោលនៃសម្តេចប៉ាប៖</w:t>
      </w:r>
      <w:r>
        <w:rPr>
          <w:rFonts w:ascii="Arial" w:hAnsi="Arial" w:eastAsia="Arial" w:cs="Arial"/>
        </w:rPr>
        <w:t xml:space="preserve"> </w:t>
      </w:r>
      <w:r>
        <w:rPr>
          <w:rFonts w:ascii="Leelawadee UI" w:hAnsi="Leelawadee UI" w:eastAsia="Leelawadee UI" w:cs="Leelawadee UI"/>
        </w:rPr>
        <w:t>ការបង្ហាញឥទ្ធិពល</w:t>
      </w:r>
      <w:r>
        <w:rPr>
          <w:rFonts w:ascii="Arial" w:hAnsi="Arial" w:eastAsia="Arial" w:cs="Arial"/>
        </w:rPr>
        <w:t xml:space="preserve"> </w:t>
      </w:r>
      <w:r>
        <w:rPr>
          <w:rFonts w:ascii="Leelawadee UI" w:hAnsi="Leelawadee UI" w:eastAsia="Leelawadee UI" w:cs="Leelawadee UI"/>
        </w:rPr>
        <w:t>និងចេតនានៅពីក្រោយ</w:t>
      </w:r>
      <w:r>
        <w:rPr>
          <w:rFonts w:ascii="Arial" w:hAnsi="Arial" w:eastAsia="Arial" w:cs="Arial"/>
        </w:rPr>
        <w:t xml:space="preserve"> «</w:t>
      </w:r>
      <w:r>
        <w:rPr>
          <w:rFonts w:ascii="Leelawadee UI" w:hAnsi="Leelawadee UI" w:eastAsia="Leelawadee UI" w:cs="Leelawadee UI"/>
        </w:rPr>
        <w:t>សម្តេចប៉ាបរបស់ហ៊ីត្លែរ</w:t>
      </w:r>
      <w:r>
        <w:rPr>
          <w:rFonts w:ascii="Arial" w:hAnsi="Arial" w:eastAsia="Arial" w:cs="Arial"/>
        </w:rPr>
        <w: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2024-04-03</w:t>
      </w:r>
    </w:p>
    <w:p>
      <w:pPr>
        <w:pStyle w:val="ArticleBody"/>
        <w:jc w:val="left"/>
      </w:pPr>
      <w:r>
        <w:rPr>
          <w:rFonts w:ascii="Times New Roman" w:hAnsi="Times New Roman" w:eastAsia="Times New Roman" w:cs="Times New Roman"/>
        </w:rPr>
        <w:t>Dalam buku berjudul *Hitler’s Pope*, penulis John Cornwell memulai kisah tentang paus masa depan yang memerintah ketika Hitler menguasai Jerman, dengan kakeknya dan Paus Pius IX, yang diusir dari Kota Roma. Ketika Pius IX melarikan diri dari kota Roma, dengan menyamar sebagai seorang biarawati, satu-satunya pria yang dibawanya bersamanya ialah kakek dari paus masa depan itu. Cornwell menyinggung hubungan yang erat antara kedua pria itu, dan selanjutnya menunjukkan bagaimana ayah paus masa depan itu juga terhubung dengan pusat kekuasaan Gereja Katolik. Dengan demikian ia menggambarkan lingkungan sosial, politik, dan keagamaan dari sejarah sejak masa Pius IX hingga Perang Dunia II. Ikhtisar sejarah itu sangatlah informatif.</w:t>
      </w:r>
    </w:p>
    <w:p>
      <w:pPr>
        <w:pStyle w:val="ArticleScripture"/>
        <w:jc w:val="left"/>
      </w:pPr>
      <w:r>
        <w:rPr>
          <w:rFonts w:ascii="Times New Roman" w:hAnsi="Times New Roman" w:eastAsia="Times New Roman" w:cs="Times New Roman"/>
        </w:rPr>
        <w:t xml:space="preserve">“Papal </w:t>
      </w:r>
      <w:r>
        <w:rPr>
          <w:rFonts w:ascii="Nirmala UI" w:hAnsi="Nirmala UI" w:eastAsia="Nirmala UI" w:cs="Nirmala UI"/>
        </w:rPr>
        <w:t>দাবির</w:t>
      </w:r>
      <w:r>
        <w:rPr>
          <w:rFonts w:ascii="Times New Roman" w:hAnsi="Times New Roman" w:eastAsia="Times New Roman" w:cs="Times New Roman"/>
        </w:rPr>
        <w:t xml:space="preserve"> </w:t>
      </w:r>
      <w:r>
        <w:rPr>
          <w:rFonts w:ascii="Nirmala UI" w:hAnsi="Nirmala UI" w:eastAsia="Nirmala UI" w:cs="Nirmala UI"/>
        </w:rPr>
        <w:t>পথে</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w:t>
      </w:r>
      <w:r>
        <w:rPr>
          <w:rFonts w:ascii="Nirmala UI" w:hAnsi="Nirmala UI" w:eastAsia="Nirmala UI" w:cs="Nirmala UI"/>
        </w:rPr>
        <w:t>একটি</w:t>
      </w:r>
      <w:r>
        <w:rPr>
          <w:rFonts w:ascii="Times New Roman" w:hAnsi="Times New Roman" w:eastAsia="Times New Roman" w:cs="Times New Roman"/>
        </w:rPr>
        <w:t xml:space="preserve"> </w:t>
      </w:r>
      <w:r>
        <w:rPr>
          <w:rFonts w:ascii="Nirmala UI" w:hAnsi="Nirmala UI" w:eastAsia="Nirmala UI" w:cs="Nirmala UI"/>
        </w:rPr>
        <w:t>পদক্ষেপ</w:t>
      </w:r>
      <w:r>
        <w:rPr>
          <w:rFonts w:ascii="Times New Roman" w:hAnsi="Times New Roman" w:eastAsia="Times New Roman" w:cs="Times New Roman"/>
        </w:rPr>
        <w:t xml:space="preserve"> </w:t>
      </w:r>
      <w:r>
        <w:rPr>
          <w:rFonts w:ascii="Nirmala UI" w:hAnsi="Nirmala UI" w:eastAsia="Nirmala UI" w:cs="Nirmala UI"/>
        </w:rPr>
        <w:t>গৃহীত</w:t>
      </w:r>
      <w:r>
        <w:rPr>
          <w:rFonts w:ascii="Times New Roman" w:hAnsi="Times New Roman" w:eastAsia="Times New Roman" w:cs="Times New Roman"/>
        </w:rPr>
        <w:t xml:space="preserve"> </w:t>
      </w:r>
      <w:r>
        <w:rPr>
          <w:rFonts w:ascii="Nirmala UI" w:hAnsi="Nirmala UI" w:eastAsia="Nirmala UI" w:cs="Nirmala UI"/>
        </w:rPr>
        <w:t>হয়</w:t>
      </w:r>
      <w:r>
        <w:rPr>
          <w:rFonts w:ascii="Times New Roman" w:hAnsi="Times New Roman" w:eastAsia="Times New Roman" w:cs="Times New Roman"/>
        </w:rPr>
        <w:t xml:space="preserve">, </w:t>
      </w:r>
      <w:r>
        <w:rPr>
          <w:rFonts w:ascii="Nirmala UI" w:hAnsi="Nirmala UI" w:eastAsia="Nirmala UI" w:cs="Nirmala UI"/>
        </w:rPr>
        <w:t>যখন</w:t>
      </w:r>
      <w:r>
        <w:rPr>
          <w:rFonts w:ascii="Times New Roman" w:hAnsi="Times New Roman" w:eastAsia="Times New Roman" w:cs="Times New Roman"/>
        </w:rPr>
        <w:t xml:space="preserve"> </w:t>
      </w:r>
      <w:r>
        <w:rPr>
          <w:rFonts w:ascii="Nirmala UI" w:hAnsi="Nirmala UI" w:eastAsia="Nirmala UI" w:cs="Nirmala UI"/>
        </w:rPr>
        <w:t>একাদশ</w:t>
      </w:r>
      <w:r>
        <w:rPr>
          <w:rFonts w:ascii="Times New Roman" w:hAnsi="Times New Roman" w:eastAsia="Times New Roman" w:cs="Times New Roman"/>
        </w:rPr>
        <w:t xml:space="preserve"> </w:t>
      </w:r>
      <w:r>
        <w:rPr>
          <w:rFonts w:ascii="Nirmala UI" w:hAnsi="Nirmala UI" w:eastAsia="Nirmala UI" w:cs="Nirmala UI"/>
        </w:rPr>
        <w:t>শতাব্দীতে</w:t>
      </w:r>
      <w:r>
        <w:rPr>
          <w:rFonts w:ascii="Times New Roman" w:hAnsi="Times New Roman" w:eastAsia="Times New Roman" w:cs="Times New Roman"/>
        </w:rPr>
        <w:t xml:space="preserve"> </w:t>
      </w:r>
      <w:r>
        <w:rPr>
          <w:rFonts w:ascii="Nirmala UI" w:hAnsi="Nirmala UI" w:eastAsia="Nirmala UI" w:cs="Nirmala UI"/>
        </w:rPr>
        <w:t>পোপ</w:t>
      </w:r>
      <w:r>
        <w:rPr>
          <w:rFonts w:ascii="Times New Roman" w:hAnsi="Times New Roman" w:eastAsia="Times New Roman" w:cs="Times New Roman"/>
        </w:rPr>
        <w:t xml:space="preserve"> </w:t>
      </w:r>
      <w:r>
        <w:rPr>
          <w:rFonts w:ascii="Nirmala UI" w:hAnsi="Nirmala UI" w:eastAsia="Nirmala UI" w:cs="Nirmala UI"/>
        </w:rPr>
        <w:t>গ্রেগরি</w:t>
      </w:r>
      <w:r>
        <w:rPr>
          <w:rFonts w:ascii="Times New Roman" w:hAnsi="Times New Roman" w:eastAsia="Times New Roman" w:cs="Times New Roman"/>
        </w:rPr>
        <w:t xml:space="preserve"> </w:t>
      </w:r>
      <w:r>
        <w:rPr>
          <w:rFonts w:ascii="Nirmala UI" w:hAnsi="Nirmala UI" w:eastAsia="Nirmala UI" w:cs="Nirmala UI"/>
        </w:rPr>
        <w:t>সপ্তম</w:t>
      </w:r>
      <w:r>
        <w:rPr>
          <w:rFonts w:ascii="Times New Roman" w:hAnsi="Times New Roman" w:eastAsia="Times New Roman" w:cs="Times New Roman"/>
        </w:rPr>
        <w:t xml:space="preserve"> </w:t>
      </w:r>
      <w:r>
        <w:rPr>
          <w:rFonts w:ascii="Nirmala UI" w:hAnsi="Nirmala UI" w:eastAsia="Nirmala UI" w:cs="Nirmala UI"/>
        </w:rPr>
        <w:t>রোমান</w:t>
      </w:r>
      <w:r>
        <w:rPr>
          <w:rFonts w:ascii="Times New Roman" w:hAnsi="Times New Roman" w:eastAsia="Times New Roman" w:cs="Times New Roman"/>
        </w:rPr>
        <w:t xml:space="preserve"> </w:t>
      </w:r>
      <w:r>
        <w:rPr>
          <w:rFonts w:ascii="Nirmala UI" w:hAnsi="Nirmala UI" w:eastAsia="Nirmala UI" w:cs="Nirmala UI"/>
        </w:rPr>
        <w:t>চার্চের</w:t>
      </w:r>
      <w:r>
        <w:rPr>
          <w:rFonts w:ascii="Times New Roman" w:hAnsi="Times New Roman" w:eastAsia="Times New Roman" w:cs="Times New Roman"/>
        </w:rPr>
        <w:t xml:space="preserve"> </w:t>
      </w:r>
      <w:r>
        <w:rPr>
          <w:rFonts w:ascii="Nirmala UI" w:hAnsi="Nirmala UI" w:eastAsia="Nirmala UI" w:cs="Nirmala UI"/>
        </w:rPr>
        <w:t>পরিপূর্ণতা</w:t>
      </w:r>
      <w:r>
        <w:rPr>
          <w:rFonts w:ascii="Times New Roman" w:hAnsi="Times New Roman" w:eastAsia="Times New Roman" w:cs="Times New Roman"/>
        </w:rPr>
        <w:t xml:space="preserve"> </w:t>
      </w:r>
      <w:r>
        <w:rPr>
          <w:rFonts w:ascii="Nirmala UI" w:hAnsi="Nirmala UI" w:eastAsia="Nirmala UI" w:cs="Nirmala UI"/>
        </w:rPr>
        <w:t>ঘোষণা</w:t>
      </w:r>
      <w:r>
        <w:rPr>
          <w:rFonts w:ascii="Times New Roman" w:hAnsi="Times New Roman" w:eastAsia="Times New Roman" w:cs="Times New Roman"/>
        </w:rPr>
        <w:t xml:space="preserve"> </w:t>
      </w:r>
      <w:r>
        <w:rPr>
          <w:rFonts w:ascii="Nirmala UI" w:hAnsi="Nirmala UI" w:eastAsia="Nirmala UI" w:cs="Nirmala UI"/>
        </w:rPr>
        <w:t>করেন।</w:t>
      </w:r>
      <w:r>
        <w:rPr>
          <w:rFonts w:ascii="Times New Roman" w:hAnsi="Times New Roman" w:eastAsia="Times New Roman" w:cs="Times New Roman"/>
        </w:rPr>
        <w:t xml:space="preserve"> </w:t>
      </w:r>
      <w:r>
        <w:rPr>
          <w:rFonts w:ascii="Nirmala UI" w:hAnsi="Nirmala UI" w:eastAsia="Nirmala UI" w:cs="Nirmala UI"/>
        </w:rPr>
        <w:t>তিনি</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প্রস্তাবসমূহ</w:t>
      </w:r>
      <w:r>
        <w:rPr>
          <w:rFonts w:ascii="Times New Roman" w:hAnsi="Times New Roman" w:eastAsia="Times New Roman" w:cs="Times New Roman"/>
        </w:rPr>
        <w:t xml:space="preserve"> </w:t>
      </w:r>
      <w:r>
        <w:rPr>
          <w:rFonts w:ascii="Nirmala UI" w:hAnsi="Nirmala UI" w:eastAsia="Nirmala UI" w:cs="Nirmala UI"/>
        </w:rPr>
        <w:t>উপস্থাপন</w:t>
      </w:r>
      <w:r>
        <w:rPr>
          <w:rFonts w:ascii="Times New Roman" w:hAnsi="Times New Roman" w:eastAsia="Times New Roman" w:cs="Times New Roman"/>
        </w:rPr>
        <w:t xml:space="preserve"> </w:t>
      </w:r>
      <w:r>
        <w:rPr>
          <w:rFonts w:ascii="Nirmala UI" w:hAnsi="Nirmala UI" w:eastAsia="Nirmala UI" w:cs="Nirmala UI"/>
        </w:rPr>
        <w:t>করেছিলেন</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মধ্যে</w:t>
      </w:r>
      <w:r>
        <w:rPr>
          <w:rFonts w:ascii="Times New Roman" w:hAnsi="Times New Roman" w:eastAsia="Times New Roman" w:cs="Times New Roman"/>
        </w:rPr>
        <w:t xml:space="preserve"> </w:t>
      </w:r>
      <w:r>
        <w:rPr>
          <w:rFonts w:ascii="Nirmala UI" w:hAnsi="Nirmala UI" w:eastAsia="Nirmala UI" w:cs="Nirmala UI"/>
        </w:rPr>
        <w:t>একটি</w:t>
      </w:r>
      <w:r>
        <w:rPr>
          <w:rFonts w:ascii="Times New Roman" w:hAnsi="Times New Roman" w:eastAsia="Times New Roman" w:cs="Times New Roman"/>
        </w:rPr>
        <w:t xml:space="preserve"> </w:t>
      </w:r>
      <w:r>
        <w:rPr>
          <w:rFonts w:ascii="Nirmala UI" w:hAnsi="Nirmala UI" w:eastAsia="Nirmala UI" w:cs="Nirmala UI"/>
        </w:rPr>
        <w:t>ছিল</w:t>
      </w:r>
      <w:r>
        <w:rPr>
          <w:rFonts w:ascii="Times New Roman" w:hAnsi="Times New Roman" w:eastAsia="Times New Roman" w:cs="Times New Roman"/>
        </w:rPr>
        <w:t xml:space="preserve"> </w:t>
      </w:r>
      <w:r>
        <w:rPr>
          <w:rFonts w:ascii="Nirmala UI" w:hAnsi="Nirmala UI" w:eastAsia="Nirmala UI" w:cs="Nirmala UI"/>
        </w:rPr>
        <w:t>এই</w:t>
      </w:r>
      <w:r>
        <w:rPr>
          <w:rFonts w:ascii="Times New Roman" w:hAnsi="Times New Roman" w:eastAsia="Times New Roman" w:cs="Times New Roman"/>
        </w:rPr>
        <w:t xml:space="preserve"> </w:t>
      </w:r>
      <w:r>
        <w:rPr>
          <w:rFonts w:ascii="Nirmala UI" w:hAnsi="Nirmala UI" w:eastAsia="Nirmala UI" w:cs="Nirmala UI"/>
        </w:rPr>
        <w:t>ঘোষণা</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শাস্ত্রমতে</w:t>
      </w:r>
      <w:r>
        <w:rPr>
          <w:rFonts w:ascii="Times New Roman" w:hAnsi="Times New Roman" w:eastAsia="Times New Roman" w:cs="Times New Roman"/>
        </w:rPr>
        <w:t xml:space="preserve"> </w:t>
      </w:r>
      <w:r>
        <w:rPr>
          <w:rFonts w:ascii="Nirmala UI" w:hAnsi="Nirmala UI" w:eastAsia="Nirmala UI" w:cs="Nirmala UI"/>
        </w:rPr>
        <w:t>চার্চ</w:t>
      </w:r>
      <w:r>
        <w:rPr>
          <w:rFonts w:ascii="Times New Roman" w:hAnsi="Times New Roman" w:eastAsia="Times New Roman" w:cs="Times New Roman"/>
        </w:rPr>
        <w:t xml:space="preserve"> </w:t>
      </w:r>
      <w:r>
        <w:rPr>
          <w:rFonts w:ascii="Nirmala UI" w:hAnsi="Nirmala UI" w:eastAsia="Nirmala UI" w:cs="Nirmala UI"/>
        </w:rPr>
        <w:t>কখনও</w:t>
      </w:r>
      <w:r>
        <w:rPr>
          <w:rFonts w:ascii="Times New Roman" w:hAnsi="Times New Roman" w:eastAsia="Times New Roman" w:cs="Times New Roman"/>
        </w:rPr>
        <w:t xml:space="preserve"> </w:t>
      </w:r>
      <w:r>
        <w:rPr>
          <w:rFonts w:ascii="Nirmala UI" w:hAnsi="Nirmala UI" w:eastAsia="Nirmala UI" w:cs="Nirmala UI"/>
        </w:rPr>
        <w:t>ভ্রান্ত</w:t>
      </w:r>
      <w:r>
        <w:rPr>
          <w:rFonts w:ascii="Times New Roman" w:hAnsi="Times New Roman" w:eastAsia="Times New Roman" w:cs="Times New Roman"/>
        </w:rPr>
        <w:t xml:space="preserve"> </w:t>
      </w:r>
      <w:r>
        <w:rPr>
          <w:rFonts w:ascii="Nirmala UI" w:hAnsi="Nirmala UI" w:eastAsia="Nirmala UI" w:cs="Nirmala UI"/>
        </w:rPr>
        <w:t>হয়নি</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কখনও</w:t>
      </w:r>
      <w:r>
        <w:rPr>
          <w:rFonts w:ascii="Times New Roman" w:hAnsi="Times New Roman" w:eastAsia="Times New Roman" w:cs="Times New Roman"/>
        </w:rPr>
        <w:t xml:space="preserve"> </w:t>
      </w:r>
      <w:r>
        <w:rPr>
          <w:rFonts w:ascii="Nirmala UI" w:hAnsi="Nirmala UI" w:eastAsia="Nirmala UI" w:cs="Nirmala UI"/>
        </w:rPr>
        <w:t>ভ্রান্তও</w:t>
      </w:r>
      <w:r>
        <w:rPr>
          <w:rFonts w:ascii="Times New Roman" w:hAnsi="Times New Roman" w:eastAsia="Times New Roman" w:cs="Times New Roman"/>
        </w:rPr>
        <w:t xml:space="preserve"> </w:t>
      </w:r>
      <w:r>
        <w:rPr>
          <w:rFonts w:ascii="Nirmala UI" w:hAnsi="Nirmala UI" w:eastAsia="Nirmala UI" w:cs="Nirmala UI"/>
        </w:rPr>
        <w:t>হবে</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কিন্তু</w:t>
      </w:r>
      <w:r>
        <w:rPr>
          <w:rFonts w:ascii="Times New Roman" w:hAnsi="Times New Roman" w:eastAsia="Times New Roman" w:cs="Times New Roman"/>
        </w:rPr>
        <w:t xml:space="preserve"> </w:t>
      </w:r>
      <w:r>
        <w:rPr>
          <w:rFonts w:ascii="Nirmala UI" w:hAnsi="Nirmala UI" w:eastAsia="Nirmala UI" w:cs="Nirmala UI"/>
        </w:rPr>
        <w:t>এই</w:t>
      </w:r>
      <w:r>
        <w:rPr>
          <w:rFonts w:ascii="Times New Roman" w:hAnsi="Times New Roman" w:eastAsia="Times New Roman" w:cs="Times New Roman"/>
        </w:rPr>
        <w:t xml:space="preserve"> </w:t>
      </w:r>
      <w:r>
        <w:rPr>
          <w:rFonts w:ascii="Nirmala UI" w:hAnsi="Nirmala UI" w:eastAsia="Nirmala UI" w:cs="Nirmala UI"/>
        </w:rPr>
        <w:t>দাবির</w:t>
      </w:r>
      <w:r>
        <w:rPr>
          <w:rFonts w:ascii="Times New Roman" w:hAnsi="Times New Roman" w:eastAsia="Times New Roman" w:cs="Times New Roman"/>
        </w:rPr>
        <w:t xml:space="preserve"> </w:t>
      </w:r>
      <w:r>
        <w:rPr>
          <w:rFonts w:ascii="Nirmala UI" w:hAnsi="Nirmala UI" w:eastAsia="Nirmala UI" w:cs="Nirmala UI"/>
        </w:rPr>
        <w:t>সঙ্গে</w:t>
      </w:r>
      <w:r>
        <w:rPr>
          <w:rFonts w:ascii="Times New Roman" w:hAnsi="Times New Roman" w:eastAsia="Times New Roman" w:cs="Times New Roman"/>
        </w:rPr>
        <w:t xml:space="preserve"> </w:t>
      </w:r>
      <w:r>
        <w:rPr>
          <w:rFonts w:ascii="Nirmala UI" w:hAnsi="Nirmala UI" w:eastAsia="Nirmala UI" w:cs="Nirmala UI"/>
        </w:rPr>
        <w:t>শাস্ত্রসম্মত</w:t>
      </w:r>
      <w:r>
        <w:rPr>
          <w:rFonts w:ascii="Times New Roman" w:hAnsi="Times New Roman" w:eastAsia="Times New Roman" w:cs="Times New Roman"/>
        </w:rPr>
        <w:t xml:space="preserve"> </w:t>
      </w:r>
      <w:r>
        <w:rPr>
          <w:rFonts w:ascii="Nirmala UI" w:hAnsi="Nirmala UI" w:eastAsia="Nirmala UI" w:cs="Nirmala UI"/>
        </w:rPr>
        <w:t>প্রমাণ</w:t>
      </w:r>
      <w:r>
        <w:rPr>
          <w:rFonts w:ascii="Times New Roman" w:hAnsi="Times New Roman" w:eastAsia="Times New Roman" w:cs="Times New Roman"/>
        </w:rPr>
        <w:t xml:space="preserve"> </w:t>
      </w:r>
      <w:r>
        <w:rPr>
          <w:rFonts w:ascii="Nirmala UI" w:hAnsi="Nirmala UI" w:eastAsia="Nirmala UI" w:cs="Nirmala UI"/>
        </w:rPr>
        <w:t>সংযুক্ত</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হয়নি।</w:t>
      </w:r>
      <w:r>
        <w:rPr>
          <w:rFonts w:ascii="Times New Roman" w:hAnsi="Times New Roman" w:eastAsia="Times New Roman" w:cs="Times New Roman"/>
        </w:rPr>
        <w:t xml:space="preserve"> </w:t>
      </w:r>
      <w:r>
        <w:rPr>
          <w:rFonts w:ascii="Nirmala UI" w:hAnsi="Nirmala UI" w:eastAsia="Nirmala UI" w:cs="Nirmala UI"/>
        </w:rPr>
        <w:t>সেই</w:t>
      </w:r>
      <w:r>
        <w:rPr>
          <w:rFonts w:ascii="Times New Roman" w:hAnsi="Times New Roman" w:eastAsia="Times New Roman" w:cs="Times New Roman"/>
        </w:rPr>
        <w:t xml:space="preserve"> </w:t>
      </w:r>
      <w:r>
        <w:rPr>
          <w:rFonts w:ascii="Nirmala UI" w:hAnsi="Nirmala UI" w:eastAsia="Nirmala UI" w:cs="Nirmala UI"/>
        </w:rPr>
        <w:t>অহংকারী</w:t>
      </w:r>
      <w:r>
        <w:rPr>
          <w:rFonts w:ascii="Times New Roman" w:hAnsi="Times New Roman" w:eastAsia="Times New Roman" w:cs="Times New Roman"/>
        </w:rPr>
        <w:t xml:space="preserve"> </w:t>
      </w:r>
      <w:r>
        <w:rPr>
          <w:rFonts w:ascii="Nirmala UI" w:hAnsi="Nirmala UI" w:eastAsia="Nirmala UI" w:cs="Nirmala UI"/>
        </w:rPr>
        <w:t>পন্টিফ</w:t>
      </w:r>
      <w:r>
        <w:rPr>
          <w:rFonts w:ascii="Times New Roman" w:hAnsi="Times New Roman" w:eastAsia="Times New Roman" w:cs="Times New Roman"/>
        </w:rPr>
        <w:t xml:space="preserve"> </w:t>
      </w:r>
      <w:r>
        <w:rPr>
          <w:rFonts w:ascii="Nirmala UI" w:hAnsi="Nirmala UI" w:eastAsia="Nirmala UI" w:cs="Nirmala UI"/>
        </w:rPr>
        <w:t>সম্রাটদের</w:t>
      </w:r>
      <w:r>
        <w:rPr>
          <w:rFonts w:ascii="Times New Roman" w:hAnsi="Times New Roman" w:eastAsia="Times New Roman" w:cs="Times New Roman"/>
        </w:rPr>
        <w:t xml:space="preserve"> </w:t>
      </w:r>
      <w:r>
        <w:rPr>
          <w:rFonts w:ascii="Nirmala UI" w:hAnsi="Nirmala UI" w:eastAsia="Nirmala UI" w:cs="Nirmala UI"/>
        </w:rPr>
        <w:t>অপসারণ</w:t>
      </w:r>
      <w:r>
        <w:rPr>
          <w:rFonts w:ascii="Times New Roman" w:hAnsi="Times New Roman" w:eastAsia="Times New Roman" w:cs="Times New Roman"/>
        </w:rPr>
        <w:t xml:space="preserve"> </w:t>
      </w:r>
      <w:r>
        <w:rPr>
          <w:rFonts w:ascii="Nirmala UI" w:hAnsi="Nirmala UI" w:eastAsia="Nirmala UI" w:cs="Nirmala UI"/>
        </w:rPr>
        <w:t>করার</w:t>
      </w:r>
      <w:r>
        <w:rPr>
          <w:rFonts w:ascii="Times New Roman" w:hAnsi="Times New Roman" w:eastAsia="Times New Roman" w:cs="Times New Roman"/>
        </w:rPr>
        <w:t xml:space="preserve"> </w:t>
      </w:r>
      <w:r>
        <w:rPr>
          <w:rFonts w:ascii="Nirmala UI" w:hAnsi="Nirmala UI" w:eastAsia="Nirmala UI" w:cs="Nirmala UI"/>
        </w:rPr>
        <w:t>ক্ষমতারও</w:t>
      </w:r>
      <w:r>
        <w:rPr>
          <w:rFonts w:ascii="Times New Roman" w:hAnsi="Times New Roman" w:eastAsia="Times New Roman" w:cs="Times New Roman"/>
        </w:rPr>
        <w:t xml:space="preserve"> </w:t>
      </w:r>
      <w:r>
        <w:rPr>
          <w:rFonts w:ascii="Nirmala UI" w:hAnsi="Nirmala UI" w:eastAsia="Nirmala UI" w:cs="Nirmala UI"/>
        </w:rPr>
        <w:t>দাবি</w:t>
      </w:r>
      <w:r>
        <w:rPr>
          <w:rFonts w:ascii="Times New Roman" w:hAnsi="Times New Roman" w:eastAsia="Times New Roman" w:cs="Times New Roman"/>
        </w:rPr>
        <w:t xml:space="preserve"> </w:t>
      </w:r>
      <w:r>
        <w:rPr>
          <w:rFonts w:ascii="Nirmala UI" w:hAnsi="Nirmala UI" w:eastAsia="Nirmala UI" w:cs="Nirmala UI"/>
        </w:rPr>
        <w:t>করেন</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ঘোষণা</w:t>
      </w:r>
      <w:r>
        <w:rPr>
          <w:rFonts w:ascii="Times New Roman" w:hAnsi="Times New Roman" w:eastAsia="Times New Roman" w:cs="Times New Roman"/>
        </w:rPr>
        <w:t xml:space="preserve"> </w:t>
      </w:r>
      <w:r>
        <w:rPr>
          <w:rFonts w:ascii="Nirmala UI" w:hAnsi="Nirmala UI" w:eastAsia="Nirmala UI" w:cs="Nirmala UI"/>
        </w:rPr>
        <w:t>করেন</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তিনি</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কোনো</w:t>
      </w:r>
      <w:r>
        <w:rPr>
          <w:rFonts w:ascii="Times New Roman" w:hAnsi="Times New Roman" w:eastAsia="Times New Roman" w:cs="Times New Roman"/>
        </w:rPr>
        <w:t xml:space="preserve"> </w:t>
      </w:r>
      <w:r>
        <w:rPr>
          <w:rFonts w:ascii="Nirmala UI" w:hAnsi="Nirmala UI" w:eastAsia="Nirmala UI" w:cs="Nirmala UI"/>
        </w:rPr>
        <w:t>রায়</w:t>
      </w:r>
      <w:r>
        <w:rPr>
          <w:rFonts w:ascii="Times New Roman" w:hAnsi="Times New Roman" w:eastAsia="Times New Roman" w:cs="Times New Roman"/>
        </w:rPr>
        <w:t xml:space="preserve"> </w:t>
      </w:r>
      <w:r>
        <w:rPr>
          <w:rFonts w:ascii="Nirmala UI" w:hAnsi="Nirmala UI" w:eastAsia="Nirmala UI" w:cs="Nirmala UI"/>
        </w:rPr>
        <w:t>উচ্চারণ</w:t>
      </w:r>
      <w:r>
        <w:rPr>
          <w:rFonts w:ascii="Times New Roman" w:hAnsi="Times New Roman" w:eastAsia="Times New Roman" w:cs="Times New Roman"/>
        </w:rPr>
        <w:t xml:space="preserve"> </w:t>
      </w:r>
      <w:r>
        <w:rPr>
          <w:rFonts w:ascii="Nirmala UI" w:hAnsi="Nirmala UI" w:eastAsia="Nirmala UI" w:cs="Nirmala UI"/>
        </w:rPr>
        <w:t>করলে</w:t>
      </w:r>
      <w:r>
        <w:rPr>
          <w:rFonts w:ascii="Times New Roman" w:hAnsi="Times New Roman" w:eastAsia="Times New Roman" w:cs="Times New Roman"/>
        </w:rPr>
        <w:t xml:space="preserve"> </w:t>
      </w:r>
      <w:r>
        <w:rPr>
          <w:rFonts w:ascii="Nirmala UI" w:hAnsi="Nirmala UI" w:eastAsia="Nirmala UI" w:cs="Nirmala UI"/>
        </w:rPr>
        <w:t>তা</w:t>
      </w:r>
      <w:r>
        <w:rPr>
          <w:rFonts w:ascii="Times New Roman" w:hAnsi="Times New Roman" w:eastAsia="Times New Roman" w:cs="Times New Roman"/>
        </w:rPr>
        <w:t xml:space="preserve"> </w:t>
      </w:r>
      <w:r>
        <w:rPr>
          <w:rFonts w:ascii="Nirmala UI" w:hAnsi="Nirmala UI" w:eastAsia="Nirmala UI" w:cs="Nirmala UI"/>
        </w:rPr>
        <w:t>কারও</w:t>
      </w:r>
      <w:r>
        <w:rPr>
          <w:rFonts w:ascii="Times New Roman" w:hAnsi="Times New Roman" w:eastAsia="Times New Roman" w:cs="Times New Roman"/>
        </w:rPr>
        <w:t xml:space="preserve"> </w:t>
      </w:r>
      <w:r>
        <w:rPr>
          <w:rFonts w:ascii="Nirmala UI" w:hAnsi="Nirmala UI" w:eastAsia="Nirmala UI" w:cs="Nirmala UI"/>
        </w:rPr>
        <w:t>দ্বারা</w:t>
      </w:r>
      <w:r>
        <w:rPr>
          <w:rFonts w:ascii="Times New Roman" w:hAnsi="Times New Roman" w:eastAsia="Times New Roman" w:cs="Times New Roman"/>
        </w:rPr>
        <w:t xml:space="preserve"> </w:t>
      </w:r>
      <w:r>
        <w:rPr>
          <w:rFonts w:ascii="Nirmala UI" w:hAnsi="Nirmala UI" w:eastAsia="Nirmala UI" w:cs="Nirmala UI"/>
        </w:rPr>
        <w:t>প্রত্যাহার</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যাবে</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বরং</w:t>
      </w:r>
      <w:r>
        <w:rPr>
          <w:rFonts w:ascii="Times New Roman" w:hAnsi="Times New Roman" w:eastAsia="Times New Roman" w:cs="Times New Roman"/>
        </w:rPr>
        <w:t xml:space="preserve"> </w:t>
      </w:r>
      <w:r>
        <w:rPr>
          <w:rFonts w:ascii="Nirmala UI" w:hAnsi="Nirmala UI" w:eastAsia="Nirmala UI" w:cs="Nirmala UI"/>
        </w:rPr>
        <w:t>অন্য</w:t>
      </w:r>
      <w:r>
        <w:rPr>
          <w:rFonts w:ascii="Times New Roman" w:hAnsi="Times New Roman" w:eastAsia="Times New Roman" w:cs="Times New Roman"/>
        </w:rPr>
        <w:t xml:space="preserve"> </w:t>
      </w:r>
      <w:r>
        <w:rPr>
          <w:rFonts w:ascii="Nirmala UI" w:hAnsi="Nirmala UI" w:eastAsia="Nirmala UI" w:cs="Nirmala UI"/>
        </w:rPr>
        <w:t>সকলের</w:t>
      </w:r>
      <w:r>
        <w:rPr>
          <w:rFonts w:ascii="Times New Roman" w:hAnsi="Times New Roman" w:eastAsia="Times New Roman" w:cs="Times New Roman"/>
        </w:rPr>
        <w:t xml:space="preserve"> </w:t>
      </w:r>
      <w:r>
        <w:rPr>
          <w:rFonts w:ascii="Nirmala UI" w:hAnsi="Nirmala UI" w:eastAsia="Nirmala UI" w:cs="Nirmala UI"/>
        </w:rPr>
        <w:t>সিদ্ধান্ত</w:t>
      </w:r>
      <w:r>
        <w:rPr>
          <w:rFonts w:ascii="Times New Roman" w:hAnsi="Times New Roman" w:eastAsia="Times New Roman" w:cs="Times New Roman"/>
        </w:rPr>
        <w:t xml:space="preserve"> </w:t>
      </w:r>
      <w:r>
        <w:rPr>
          <w:rFonts w:ascii="Nirmala UI" w:hAnsi="Nirmala UI" w:eastAsia="Nirmala UI" w:cs="Nirmala UI"/>
        </w:rPr>
        <w:t>প্রত্যাহার</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বিশেষ</w:t>
      </w:r>
      <w:r>
        <w:rPr>
          <w:rFonts w:ascii="Times New Roman" w:hAnsi="Times New Roman" w:eastAsia="Times New Roman" w:cs="Times New Roman"/>
        </w:rPr>
        <w:t xml:space="preserve"> </w:t>
      </w:r>
      <w:r>
        <w:rPr>
          <w:rFonts w:ascii="Nirmala UI" w:hAnsi="Nirmala UI" w:eastAsia="Nirmala UI" w:cs="Nirmala UI"/>
        </w:rPr>
        <w:t>অধিকার।</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“Contoh yang sangat mencolok tentang watak zalim pembela kemak­suman ini terlihat dalam perlakuannya terhadap maharaja Jerman, Henry IV. Karena berani mengabaikan kuasa paus, raja ini dinyatakan terkena ekskomunikasi dan diturunkan dari takhtanya. Dengan rasa gentar akibat ditinggalkan dan diancam oleh para pembesarnya sendiri, yang didorong untuk memberontak terhadapnya oleh mandat kepausan, Henry merasakan perlunya berdamai dengan Roma. Bersama isterinya dan seorang hamba yang setia, ia menyeberangi Alpen pada pertengahan musim dingin, supaya ia dapat merendahkan dirinya di hadapan paus. Setibanya di istana tempat Gregory mengundurkan diri, ia dibawa, tanpa para pengawalnya, ke pelataran luar, dan di sana, dalam dinginnya musim dingin yang keras, dengan kepala tidak bertudung dan kaki telanjang, serta berpakaian menyedihkan, ia menantikan izin paus untuk datang ke hadapannya. Tidak sampai ia berpuasa dan mengaku dosa selama tiga hari, barulah paus itu berkenan mengaruniakan pengampunan kepadanya. Bahkan pada waktu itu pun, hal itu hanya dengan syarat bahwa maharaja harus menantikan pengesahan paus sebelum kembali mengenakan lambang-lambang kerajaan atau menjalankan kuasa sebagai raja. Dan Gregory, yang bermegah dalam kemenangannya, membanggakan bahwa adalah kewajibannya untuk meruntuhkan kesombongan raja-raja.” The Great Controversy, 57.</w:t>
      </w:r>
    </w:p>
    <w:p>
      <w:pPr>
        <w:pStyle w:val="ArticleBody"/>
        <w:jc w:val="left"/>
      </w:pPr>
      <w:r>
        <w:rPr>
          <w:rFonts w:ascii="Times New Roman" w:hAnsi="Times New Roman" w:eastAsia="Times New Roman" w:cs="Times New Roman"/>
        </w:rPr>
        <w:t>Gregory VII ialah seorang “penyokong kemaksuman,” tetapi dakwaan yang menggelikan itu tidak dijadikan doktrin rasmi (dogma) sehingga zaman Pius IX, yang menjadikan dakwaan yang bodoh itu suatu doktrin yang ditetapkan pada Konsili Vatikan Pertama. Doktrin itu diluluskan pada 18 Julai 1870, tepat seratus lima puluh tahun sebelum kekecewaan pertama seratus empat puluh empat ribu.</w:t>
      </w:r>
    </w:p>
    <w:p>
      <w:pPr>
        <w:pStyle w:val="ArticleBody"/>
        <w:jc w:val="left"/>
      </w:pPr>
      <w:r>
        <w:rPr>
          <w:rFonts w:ascii="Times New Roman" w:hAnsi="Times New Roman" w:eastAsia="Times New Roman" w:cs="Times New Roman"/>
        </w:rPr>
        <w:t>Sa a ki enstriktif konsènan listwar la, se ke lè Pius IX te òganize premye Konsèy Vatikan an, epi li te mete an aplikasyon doktrin li sou enfayibilite a, motivasyon li te soti nan rayisman li te genyen pou sa yo te rele “modernis” la. Sa pa t chita sou lide ke yon pap pa t kapab fè okenn erè lè l ap defini doktrin biblik yo; se te yon defans opozisyon pap la kont enfliyans Revolisyon fransè a te pwodui a. Sa te dirije kont sa ki t ap finalman vin konnen kòm Kominis.</w:t>
      </w:r>
    </w:p>
    <w:p>
      <w:pPr>
        <w:pStyle w:val="ArticleBody"/>
        <w:jc w:val="left"/>
      </w:pPr>
      <w:r>
        <w:rPr>
          <w:rFonts w:ascii="Times New Roman" w:hAnsi="Times New Roman" w:eastAsia="Times New Roman" w:cs="Times New Roman"/>
        </w:rPr>
        <w:t>Tlalokgolo ya Fora e bakile phetogo e kgolo mo thulaganyong ya puso ya ditšhaba tsa Yuropa, ka letlhoo le le kgethegileng kgatlhanong le bogosi jo e leng bopapa. E ne e le borabele jwa Ma-Rephaboliki a Motaliana jo ka nakwana bo neng jwa leleka Pius IX le monna wa gagwe wa seatla sa moja mo Roma. “Modernism,” e e neng e emetswe ke difilosofi tse di farologaneng tse di neng tsa tlhagisiwa ke Tlalokgolo ya Fora, e ne e le mmaba yo mogolo wa ga Pius IX, mme thuto ya gagwe ya go se fose e ne e diretswe go tshegetsa tsotlhe tsotlhe tsotlhe tse mopapa a neng a di bolela kgatlhanong le dikakanyo tsa bjao tsa ba-Modernist tse di neng tsa tlhagisiwa ke Tlalokgolo ya Fora.</w:t>
      </w:r>
    </w:p>
    <w:p>
      <w:pPr>
        <w:pStyle w:val="ArticleBody"/>
        <w:jc w:val="left"/>
      </w:pPr>
      <w:r>
        <w:rPr>
          <w:rFonts w:ascii="Times New Roman" w:hAnsi="Times New Roman" w:eastAsia="Times New Roman" w:cs="Times New Roman"/>
        </w:rPr>
        <w:t>Daniele kgaolo ya lesome le lengwe, temana ya masome a mane, e supa gore ka ngwaga wa 1798, kgosi ya borwa (France e e sa dumeleng mo Modimong), e ne ya naya kgosi ya bokone (bopapa) ntho e e mo gobatsang ka go bolaya.</w:t>
      </w:r>
    </w:p>
    <w:p>
      <w:pPr>
        <w:pStyle w:val="ArticleBody"/>
        <w:jc w:val="left"/>
      </w:pPr>
      <w:r>
        <w:rPr>
          <w:rFonts w:ascii="Leelawadee UI" w:hAnsi="Leelawadee UI" w:eastAsia="Leelawadee UI" w:cs="Leelawadee UI"/>
        </w:rPr>
        <w:t>ថ្នាក់បរិសុទ្ធនៃភាពមិនអាចខុសបានរបស់</w:t>
      </w:r>
      <w:r>
        <w:rPr>
          <w:rFonts w:ascii="Times New Roman" w:hAnsi="Times New Roman" w:eastAsia="Times New Roman" w:cs="Times New Roman"/>
        </w:rPr>
        <w:t xml:space="preserve"> Pius IX </w:t>
      </w:r>
      <w:r>
        <w:rPr>
          <w:rFonts w:ascii="Leelawadee UI" w:hAnsi="Leelawadee UI" w:eastAsia="Leelawadee UI" w:cs="Leelawadee UI"/>
        </w:rPr>
        <w:t>មានទំនាក់ទំនងនឹងសង្គ្រាមដែលតំណាងដោយខទីសែសិបនៃដានីយ៉ែល</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w:t>
      </w:r>
      <w:r>
        <w:rPr>
          <w:rFonts w:ascii="Leelawadee UI" w:hAnsi="Leelawadee UI" w:eastAsia="Leelawadee UI" w:cs="Leelawadee UI"/>
        </w:rPr>
        <w:t>១១</w:t>
      </w:r>
      <w:r>
        <w:rPr>
          <w:rFonts w:ascii="Times New Roman" w:hAnsi="Times New Roman" w:eastAsia="Times New Roman" w:cs="Times New Roman"/>
        </w:rPr>
        <w:t xml:space="preserve"> </w:t>
      </w:r>
      <w:r>
        <w:rPr>
          <w:rFonts w:ascii="Leelawadee UI" w:hAnsi="Leelawadee UI" w:eastAsia="Leelawadee UI" w:cs="Leelawadee UI"/>
        </w:rPr>
        <w:t>ហើយចាប់ពីផ្នែកចុងក្រោយនៃឆ្នាំ</w:t>
      </w:r>
      <w:r>
        <w:rPr>
          <w:rFonts w:ascii="Times New Roman" w:hAnsi="Times New Roman" w:eastAsia="Times New Roman" w:cs="Times New Roman"/>
        </w:rPr>
        <w:t xml:space="preserve"> </w:t>
      </w:r>
      <w:r>
        <w:rPr>
          <w:rFonts w:ascii="Leelawadee UI" w:hAnsi="Leelawadee UI" w:eastAsia="Leelawadee UI" w:cs="Leelawadee UI"/>
        </w:rPr>
        <w:t>១៨៦៩</w:t>
      </w:r>
      <w:r>
        <w:rPr>
          <w:rFonts w:ascii="Times New Roman" w:hAnsi="Times New Roman" w:eastAsia="Times New Roman" w:cs="Times New Roman"/>
        </w:rPr>
        <w:t xml:space="preserve"> </w:t>
      </w:r>
      <w:r>
        <w:rPr>
          <w:rFonts w:ascii="Leelawadee UI" w:hAnsi="Leelawadee UI" w:eastAsia="Leelawadee UI" w:cs="Leelawadee UI"/>
        </w:rPr>
        <w:t>ដល់ឆ្នាំបន្ទាប់</w:t>
      </w:r>
      <w:r>
        <w:rPr>
          <w:rFonts w:ascii="Times New Roman" w:hAnsi="Times New Roman" w:eastAsia="Times New Roman" w:cs="Times New Roman"/>
        </w:rPr>
        <w:t xml:space="preserve"> Pius IX </w:t>
      </w:r>
      <w:r>
        <w:rPr>
          <w:rFonts w:ascii="Leelawadee UI" w:hAnsi="Leelawadee UI" w:eastAsia="Leelawadee UI" w:cs="Leelawadee UI"/>
        </w:rPr>
        <w:t>បានហៅប្រជុំក្រុមប្រឹក្សាវ៉ាទីកង់លើកទីមួយ</w:t>
      </w:r>
      <w:r>
        <w:rPr>
          <w:rFonts w:ascii="Times New Roman" w:hAnsi="Times New Roman" w:eastAsia="Times New Roman" w:cs="Times New Roman"/>
        </w:rPr>
        <w:t xml:space="preserve"> </w:t>
      </w:r>
      <w:r>
        <w:rPr>
          <w:rFonts w:ascii="Leelawadee UI" w:hAnsi="Leelawadee UI" w:eastAsia="Leelawadee UI" w:cs="Leelawadee UI"/>
        </w:rPr>
        <w:t>ដែលគេស្គាល់ថា</w:t>
      </w:r>
      <w:r>
        <w:rPr>
          <w:rFonts w:ascii="Times New Roman" w:hAnsi="Times New Roman" w:eastAsia="Times New Roman" w:cs="Times New Roman"/>
        </w:rPr>
        <w:t xml:space="preserve"> Vatican 1 </w:t>
      </w:r>
      <w:r>
        <w:rPr>
          <w:rFonts w:ascii="Leelawadee UI" w:hAnsi="Leelawadee UI" w:eastAsia="Leelawadee UI" w:cs="Leelawadee UI"/>
        </w:rPr>
        <w:t>ក្នុងគោលបំណងបញ្ជាក់ថា</w:t>
      </w:r>
      <w:r>
        <w:rPr>
          <w:rFonts w:ascii="Times New Roman" w:hAnsi="Times New Roman" w:eastAsia="Times New Roman" w:cs="Times New Roman"/>
        </w:rPr>
        <w:t xml:space="preserve"> </w:t>
      </w:r>
      <w:r>
        <w:rPr>
          <w:rFonts w:ascii="Leelawadee UI" w:hAnsi="Leelawadee UI" w:eastAsia="Leelawadee UI" w:cs="Leelawadee UI"/>
        </w:rPr>
        <w:t>សម្តេចប៉ាបគឺជាប្រមុខនៃសាសនាកាតូលិក</w:t>
      </w:r>
      <w:r>
        <w:rPr>
          <w:rFonts w:ascii="Times New Roman" w:hAnsi="Times New Roman" w:eastAsia="Times New Roman" w:cs="Times New Roman"/>
        </w:rPr>
        <w:t xml:space="preserve"> </w:t>
      </w:r>
      <w:r>
        <w:rPr>
          <w:rFonts w:ascii="Leelawadee UI" w:hAnsi="Leelawadee UI" w:eastAsia="Leelawadee UI" w:cs="Leelawadee UI"/>
        </w:rPr>
        <w:t>ហើយសាសនាកាតូលិកគឺជាប្រមុខនៃក្រុមជំនុំទាំងអស់</w:t>
      </w:r>
      <w:r>
        <w:rPr>
          <w:rFonts w:ascii="Times New Roman" w:hAnsi="Times New Roman" w:eastAsia="Times New Roman" w:cs="Times New Roman"/>
        </w:rPr>
        <w:t xml:space="preserve"> </w:t>
      </w:r>
      <w:r>
        <w:rPr>
          <w:rFonts w:ascii="Leelawadee UI" w:hAnsi="Leelawadee UI" w:eastAsia="Leelawadee UI" w:cs="Leelawadee UI"/>
        </w:rPr>
        <w:t>ដូចដែលបានប្រកាសដោយក្រឹត្យរបស់</w:t>
      </w:r>
      <w:r>
        <w:rPr>
          <w:rFonts w:ascii="Times New Roman" w:hAnsi="Times New Roman" w:eastAsia="Times New Roman" w:cs="Times New Roman"/>
        </w:rPr>
        <w:t xml:space="preserve"> Justinian </w:t>
      </w:r>
      <w:r>
        <w:rPr>
          <w:rFonts w:ascii="Leelawadee UI" w:hAnsi="Leelawadee UI" w:eastAsia="Leelawadee UI" w:cs="Leelawadee UI"/>
        </w:rPr>
        <w:t>ក្នុងឆ្នាំ</w:t>
      </w:r>
      <w:r>
        <w:rPr>
          <w:rFonts w:ascii="Times New Roman" w:hAnsi="Times New Roman" w:eastAsia="Times New Roman" w:cs="Times New Roman"/>
        </w:rPr>
        <w:t xml:space="preserve"> </w:t>
      </w:r>
      <w:r>
        <w:rPr>
          <w:rFonts w:ascii="Leelawadee UI" w:hAnsi="Leelawadee UI" w:eastAsia="Leelawadee UI" w:cs="Leelawadee UI"/>
        </w:rPr>
        <w:t>៥៣៣។</w:t>
      </w:r>
    </w:p>
    <w:p>
      <w:pPr>
        <w:pStyle w:val="ArticleBody"/>
        <w:jc w:val="left"/>
      </w:pPr>
      <w:r>
        <w:rPr>
          <w:rFonts w:ascii="Times New Roman" w:hAnsi="Times New Roman" w:eastAsia="Times New Roman" w:cs="Times New Roman"/>
        </w:rPr>
        <w:t>Konsili Vatikan Kedua, yang juga dikenal sebagai Vatican II, diadakan dari tahun 1962 hingga 1965. Konsili ini merupakan suatu peristiwa penting dalam sejarah Gereja Katolik, dan salah satu konsili ekumenis yang paling signifikan pada zaman modern. Konsili ini diselenggarakan di bawah kepemimpinan Paus Yohanes XXIII dan berlanjut selama masa kepausan Paus Paulus VI setelah wafatnya Yohanes XXIII pada tahun 1963. Penting untuk mengenali perbedaan yang jelas antara kedua konsili ini.</w:t>
      </w:r>
    </w:p>
    <w:p>
      <w:pPr>
        <w:pStyle w:val="ArticleBody"/>
        <w:jc w:val="left"/>
      </w:pPr>
      <w:r>
        <w:rPr>
          <w:rFonts w:ascii="Times New Roman" w:hAnsi="Times New Roman" w:eastAsia="Times New Roman" w:cs="Times New Roman"/>
        </w:rPr>
        <w:t>Konsílio ea ntlha e ne e tshwanetse go tlhoma se se bidiwang “bogolopele,” jwa mopapa, se se rayang gore mopapa ke mmusi yo mogolo, moruti le modisa wa Kereke, yo o ikarabelang go boloka le go ranola dithuto tsa tumelo. Bolaodi jwa gagwe bo ne bo akaretsa go tlhalosa dithuto tse di tlamang tsa tumelo, go ntsha ditaelo tsa thuto, le go dira dipolelo tse di nang le bolaodi mo dikgang tsa tumelo le boitsholo, tse di itsiweng e le go se ka ga mopapa a fosa. Gape bo akaretsa bolaodi jwa gagwe jwa puso mo Kerekeng ya lefatshe lotlhe, go akaretsa maatla a go tlhoma babishopo, go laola disakramente, le go busa tsamaiso ya Kereke.</w:t>
      </w:r>
    </w:p>
    <w:p>
      <w:pPr>
        <w:pStyle w:val="ArticleBody"/>
        <w:jc w:val="left"/>
      </w:pPr>
      <w:r>
        <w:rPr>
          <w:rFonts w:ascii="Times New Roman" w:hAnsi="Times New Roman" w:eastAsia="Times New Roman" w:cs="Times New Roman"/>
        </w:rPr>
        <w:t>Konsili ya pili ilikuwa na lengo la kulielekeza Kanisa kuwa taasisi ya kiekumeni. Mabaraza hayo yalikuwa mapendekezo yanayokinzana moja kwa moja. Baraza la kwanza la kihafidhina lilipingwa na baraza la pili la kiliberali. Makundi hayo mawili yalitofautiana kama usiku na mchana, na unabii unaohusishwa na siri tatu za Fatima unatambulisha vita vya ndani vinavyowakilishwa ipasavyo na mabaraza hayo mawili.</w:t>
      </w:r>
    </w:p>
    <w:p>
      <w:pPr>
        <w:pStyle w:val="ArticleBody"/>
        <w:jc w:val="left"/>
      </w:pPr>
      <w:r>
        <w:rPr>
          <w:rFonts w:ascii="Times New Roman" w:hAnsi="Times New Roman" w:eastAsia="Times New Roman" w:cs="Times New Roman"/>
        </w:rPr>
        <w:t>Ubunabii bukhomba iklasi yalabo labagcina ubukhosi obukhulu obumelwe nguPius IX njengobumelwa yilokho okubizwa ngokuthi “upapa omhlophe,” “upapa omuhle,” noma “umbhishobhi omuhle”; kuthi enye iklasi, ehlotshaniswa noVatican II, imelwe “upapa omnyama,” noma “upapa omubi,” noma “umbhishobhi omubi.” Impikiswano yale miqondo emibili yezepolitiki imelwe lapho uvakashela ithempeli lesimangaliso saseFatima, eFatima, ePortugal. Lapho ungena, indlela yokuhamba ibekwe phakathi kwesithombe sika upapa omnyama ngakolunye uhlangothi, no upapa omhlophe ngakolunye.</w:t>
      </w:r>
    </w:p>
    <w:p>
      <w:pPr>
        <w:pStyle w:val="ArticleBody"/>
        <w:jc w:val="left"/>
      </w:pPr>
      <w:r>
        <w:rPr>
          <w:rFonts w:ascii="Times New Roman" w:hAnsi="Times New Roman" w:eastAsia="Times New Roman" w:cs="Times New Roman"/>
        </w:rPr>
        <w:t>Oleh itu, hal ini menjadi sebahagian daripada warisan lelaki yang pada akhirnya akan menjadi apa yang dikenal pasti oleh buku itu sebagai paus Hitler, bahawa akar keturunannya terjalin dalam pergumulan antara modenisme (raja selatan) dan keutamaan kepausan (raja utara).</w:t>
      </w:r>
    </w:p>
    <w:p>
      <w:pPr>
        <w:pStyle w:val="ArticleBody"/>
        <w:jc w:val="left"/>
      </w:pPr>
      <w:r>
        <w:rPr>
          <w:rFonts w:ascii="Times New Roman" w:hAnsi="Times New Roman" w:eastAsia="Times New Roman" w:cs="Times New Roman"/>
        </w:rPr>
        <w:t>Go tshwanetse go tlhaloganngwa gore mokwadi wa buka e re e sekasekang e ne e le Mokatoliki yo o neng a eme sentle mo Kerekeng, mme maikaelelo a gagwe a a boletšwego a go kwala buka eo e ne e le go sedifatsa tatofatso ya gore mopapa yo o neng a busa mo nakong ya Ntwa ya Lefatshe ya Bobedi o ne a tshegetsa Hitler, Banasi, kgotsa a ne a na le molato mongwe mo polaong e kgolo ya Bajuta le ba bangwe. Fa Cornwell a bua ka rakgolo wa ga Pius XII, yo e neng e le seatla sa moja sa monna yo o neng a rulaganya Khansele ya Vatican I, histori ya ntwa magareng ga dikgosi tsa borwa le tsa bokone e bonala e diragadiwa mo histori eo ka boyona. Fa phetogo ya “Republicanism” e goroga kwa Italy, ka lobaka lwa ngwaga o ka nna mongwe, Maitaliane a ne a leleka Pius IX mo motseng wa Roma, mme go tloga foo, le morago ga gore a boe, tsotlhe tse bopapa bo kileng jwa nna le tsona e ne e le diheketara di le lekgolo le lesome, tse di itsegeng jaaka Vatican City.</w:t>
      </w:r>
    </w:p>
    <w:p>
      <w:pPr>
        <w:pStyle w:val="ArticleBody"/>
        <w:jc w:val="left"/>
      </w:pPr>
      <w:r>
        <w:rPr>
          <w:rFonts w:ascii="Times New Roman" w:hAnsi="Times New Roman" w:eastAsia="Times New Roman" w:cs="Times New Roman"/>
        </w:rPr>
        <w:t>Tsela e le nosi yeo ka yona a ilego a kgona le go boela Vatican ke ka thušo ya madira a Fora, le ka kadimo go tšwa go ba Rothschild, babanka ba Bajuda ba tummeng gampe. Gore go kwešišwe ka bohlale tirišano ya bopapa polaong ya batho ba bantši ya Holocaust nakong ya Ntwa ya II ya Lefase, go nyakega kwešišo ya motheo ya boemo bja Yuropa mabapi le Bajuda ga e sa le go tloga go kokotelweng ga Kriste. Puku e šišinya gore go lwantšha Bajuda le kgethollo ya merafe ke maitshwaro a mabedi a go fapana, e bolela gore lehloyo la Hitler go Bajuda e be e le la semorafe, gobane Hitler o be a lebelela Bajuda e le sehlopha sa fase sa batho, mola go lwantšha Bajuda e be e le go hloya Bajuda ka baka la gore ba bolaile Modimo. Ge e ba ke selo se tee le se tee, goba ge e le gore ka nnete go na le phapano magareng ga tše pedi, nnete ya tlaišego ya Bajuda e swanetše go kwešišwa.</w:t>
      </w:r>
    </w:p>
    <w:p>
      <w:pPr>
        <w:pStyle w:val="ArticleBody"/>
        <w:jc w:val="left"/>
      </w:pPr>
      <w:r>
        <w:rPr>
          <w:rFonts w:ascii="Times New Roman" w:hAnsi="Times New Roman" w:eastAsia="Times New Roman" w:cs="Times New Roman"/>
        </w:rPr>
        <w:t>Contohnya, di Amerika pada masa kini, jika istilah “ghetto” digunakan, kebanyakan orang menganggapnya sebagai sebutan bagi kawasan bandar yang miskin dan serba daif. Namun, istilah “ghetto” pada asalnya merujuk kepada suatu bahagian dalam sesebuah kota, khususnya di Venice, Itali, tempat orang Yahudi dipaksa tinggal pada Zaman Pertengahan. Ghetto yang pertama telah ditubuhkan di Venice pada tahun 1516, apabila Republik Venice mengurung orang Yahudi ke dalam suatu kawasan kota yang telah ditetapkan, yang dikenali sebagai “geto nuovo” (peleburan baharu), yang kemudiannya dikenali sebagai ghetto.</w:t>
      </w:r>
    </w:p>
    <w:p>
      <w:pPr>
        <w:pStyle w:val="ArticleBody"/>
        <w:jc w:val="left"/>
      </w:pPr>
      <w:r>
        <w:rPr>
          <w:rFonts w:ascii="Times New Roman" w:hAnsi="Times New Roman" w:eastAsia="Times New Roman" w:cs="Times New Roman"/>
        </w:rPr>
        <w:t>Төвд зууны турш Европт иудейчүүдийн хаана амьдарч болох, мөн ямар мэргэжил эрхэлж болох талаар хязгаарлалт тавигдаж байв. Эдгээр хязгаарлалт нь антисемитизмын хуучин тодорхойлолт дээр үндэслэж байсан бөгөөд энэ нь иудейчүүд Бурханыг алсан, мөн түүнээс хойших бүх зовлон бэрхшээлээ өөрсдийн үйлдлээр өөрсөддөө авчирсан гэсэн итгэл үнэмшлийг хэлдэг байв.</w:t>
      </w:r>
    </w:p>
    <w:p>
      <w:pPr>
        <w:pStyle w:val="ArticleBody"/>
        <w:jc w:val="left"/>
      </w:pPr>
      <w:r>
        <w:rPr>
          <w:rFonts w:ascii="Times New Roman" w:hAnsi="Times New Roman" w:eastAsia="Times New Roman" w:cs="Times New Roman"/>
        </w:rPr>
        <w:t>Pada Zaman Pertengahan, telah menjadi suatu tradisi yang mapan bahwa orang-orang Kristen tidak boleh meminjamkan uang atau menerima bunga atas suatu pinjaman. Orang-orang Yahudi dikecualikan daripada larangan itu, dan peminjaman wang menjadi salah satu pekerjaan yang dibenarkan untuk mereka jalankan. Para jurubank Yahudi, seperti keluarga Rothschild, menjadi penukar wang sebagai akibat sekatan undang-undang terhadap pekerjaan-pekerjaan yang dibenarkan untuk mereka lakukan. Ketika Pius IX memerlukan dana untuk kembali ke Vatican, kekecewaan kerana tidak lagi memerintah kota Rom diperbesar oleh keperluannya untuk meminta wang daripada orang-orang Yahudi.</w:t>
      </w:r>
    </w:p>
    <w:p>
      <w:pPr>
        <w:pStyle w:val="ArticleBody"/>
        <w:jc w:val="left"/>
      </w:pPr>
      <w:r>
        <w:rPr>
          <w:rFonts w:ascii="Times New Roman" w:hAnsi="Times New Roman" w:eastAsia="Times New Roman" w:cs="Times New Roman"/>
        </w:rPr>
        <w:t>Sebelum dia dihalau keluar dari Rom, Pius IX kelihatan berada dalam salah satu daripada dua golongan berkenaan dengan orang Yahudi dan hubungan gereja dengan orang Yahudi. Kedua-dua golongan itu terdiri daripada mereka yang percaya bahawa orang Yahudi, tidak kira apa pun yang menimpa mereka, semata-mata menerima apa yang layak bagi mereka, dan golongan yang satu lagi cenderung menunjukkan sedikit belas kasihan terhadap orang Yahudi. Apabila Pius IX kembali ke Vatican, setelah dihalau keluar, belas kasihan yang kadang-kadang telah ditunjukkannya sebelum pembuangannya tidak pernah lagi ditunjukkan. Sebelum pembuangannya dia telah menutup ghetto di kota Rom, dan setelah kepulangannya dia menubuhkan semula ghetto itu, lalu mula mengenakan cukai ke atas orang Yahudi untuk memulihkan kerugian kewangannya.</w:t>
      </w:r>
    </w:p>
    <w:p>
      <w:pPr>
        <w:pStyle w:val="ArticleBody"/>
        <w:jc w:val="left"/>
      </w:pPr>
      <w:r>
        <w:rPr>
          <w:rFonts w:ascii="Times New Roman" w:hAnsi="Times New Roman" w:eastAsia="Times New Roman" w:cs="Times New Roman"/>
        </w:rPr>
        <w:t>Tangan kanan Paus Pius IX ialah Marcantonio Pacelli, datuk kepada paus Hitler. Beliau ialah seorang peguam yang tergolong dalam golongan khas peguam yang menyokong kepausan. Anak lelakinya menjadi sebahagian daripada golongan peguam elit yang sama itu, demikian juga cucunya, yang akhirnya akan menjadi paus Hitler. Setelah buku itu menelusuri sejarah datuk Eugenio Pacelli, bapanya, serta masa muda dan pendidikannya, buku itu membicarakan kedudukan yang diambil Pacelli ketika dia mula bekerja bagi kepausan. Sebagai seorang peguam, yang berasal daripada keturunan peguam-peguam kepausan elit, dia dipilih untuk mengetuai sebuah jabatan yang mengkhusus dalam kontrak, yang disebut konkordat. Pada tahun 1901 Pacelli dibawa masuk ke pejabat Sekretariat Negara Kepausan.</w:t>
      </w:r>
    </w:p>
    <w:p>
      <w:pPr>
        <w:pStyle w:val="ArticleBody"/>
        <w:jc w:val="left"/>
      </w:pPr>
      <w:r>
        <w:rPr>
          <w:rFonts w:ascii="Times New Roman" w:hAnsi="Times New Roman" w:eastAsia="Times New Roman" w:cs="Times New Roman"/>
        </w:rPr>
        <w:t>Pacelli telah menjadi utusan kepada bangsa-bangsa. Secara nubuatan, Pacelli telah menjadi titik hubungan hukum yang menyempurnakan percabulan raja-raja di bumi dengan kepausan. Pada tahun 1903, Pius X dimahkotai sebagai paus. Segera ia mulai menyerang “racun intelektual” yang menghasilkan “relativisme dan skeptisisme.” Orang yang memimpin upaya Pius X untuk memberantas “modernisme” adalah Umberto Benigni, yang bekerja di kantor yang sama dengan Pacelli. Benigni pernah menyatakan tentang sekelompok sejarawan kelas dunia, bahwa mereka adalah orang-orang yang baginya, “sejarah tidak lain hanyalah suatu usaha putus asa yang terus-menerus untuk memuntahkan. Bagi jenis manusia seperti ini hanya ada satu obat: inkuisisi!” Bagi Benigni, seorang sejarawan yang menyatakan simpati apa pun terhadap gagasan-gagasan yang berasal dari Revolusi Prancis harus dihukum mati.</w:t>
      </w:r>
    </w:p>
    <w:p>
      <w:pPr>
        <w:pStyle w:val="ArticleBody"/>
        <w:jc w:val="left"/>
      </w:pPr>
      <w:r>
        <w:rPr>
          <w:rFonts w:ascii="Times New Roman" w:hAnsi="Times New Roman" w:eastAsia="Times New Roman" w:cs="Times New Roman"/>
        </w:rPr>
        <w:t>Secara rasmi, Benigni mengetuai kementerian propaganda bagi kepausan, tetapi secara tidak rasmi dia juga mengendalikan suatu rangkaian pengintipan sulit, yang dirancang untuk mengenal pasti mana-mana orang Katolik yang mempunyai sebarang simpati terhadap “modernisme,” yang berasal daripada raja selatan. Akhirnya pada tahun 1910, usahanya menghasilkan suatu arahan yang mewajibkan para pekerja kepausan bersumpah suatu sumpah, yang disebut Sumpah Anti-Modernis. Sumpah itu masih berkuat kuasa. Untuk diambil bekerja oleh Vatican, anda mesti bersumpah untuk membenci idea-idea modernis, yang pada hari ini kita sebut sebagai idea-idea komunis.</w:t>
      </w:r>
    </w:p>
    <w:p>
      <w:pPr>
        <w:pStyle w:val="ArticleBody"/>
        <w:jc w:val="left"/>
      </w:pPr>
      <w:r>
        <w:rPr>
          <w:rFonts w:ascii="Times New Roman" w:hAnsi="Times New Roman" w:eastAsia="Times New Roman" w:cs="Times New Roman"/>
        </w:rPr>
        <w:t>Di dalam ringkasan buku Cronwell, pada helaian pendahuluan dinyatakan, “Dalam dekad pertama abad ini, sebagai seorang peguam muda Vatican yang cemerlang, Pacelli telah membantu membentuk suatu ideologi kuasa kepausan yang belum pernah terjadi sebelumnya; sepanjang tahun 1920-an dia menggunakan kelicikan dan ugutan untuk memaksakan kuasa di Jerman. Pada tahun 1933, Hitler menjadi rakan perundingannya yang paling sempurna dan suatu konkordat telah diwujudkan yang memberikan kelebihan agama dan pendidikan kepada Gereja Katolik sebagai pertukaran bagi pengunduran penganut Katolik daripada tindakan sosial dan politik. Penolakan ‘sukarela’ terhadap Katolikisme politik yang dipaksakan dari Rom ini telah memudahkan kebangkitan Nazisme.</w:t>
      </w:r>
    </w:p>
    <w:p>
      <w:pPr>
        <w:pStyle w:val="ArticleBody"/>
        <w:jc w:val="left"/>
      </w:pPr>
      <w:r>
        <w:rPr>
          <w:rFonts w:ascii="Times New Roman" w:hAnsi="Times New Roman" w:eastAsia="Times New Roman" w:cs="Times New Roman"/>
        </w:rPr>
        <w:t>Pada suatu mesyuarat kabinet pada 14 Julai 1933, Adolph Hitler menyatakan pendapatnya bahawa pada bulan itu juga, konkordat yang diusahakan oleh Pacelli dengan pihak Nazi telah mewujudkan bagi Jerman “suatu ruang kepercayaan … dalam perjuangan yang sedang berkembang menentang Yahudi antarabangsa.”</w:t>
      </w:r>
    </w:p>
    <w:p>
      <w:pPr>
        <w:pStyle w:val="ArticleBody"/>
        <w:jc w:val="left"/>
      </w:pPr>
      <w:r>
        <w:rPr>
          <w:rFonts w:ascii="Times New Roman" w:hAnsi="Times New Roman" w:eastAsia="Times New Roman" w:cs="Times New Roman"/>
        </w:rPr>
        <w:t>Buku Cornwell itu tidak diterima dengan baik oleh umat Katolik yang menolak menerima bukti bahawa Pacelli ialah sebab utama Hitler dapat bangkit berkuasa, kerana Jerman merupakan negara majoriti Katolik. Pacelli telah membuat suatu perjanjian yang menghalang rumah penerbitan Katolik, agensi berita Katolik, dan sekolah Katolik daripada mengatakan apa-apa tentang haluan Hitler mulai tahun 1933 dan seterusnya. Buku itu menelusuri kecenderungan anti-Semitik Pacelli yang nyata, yang kemudian menjadi paus semasa Perang Dunia II. Sekurang-kurangnya tiga perkara dapat dipastikan berdasarkan sumber-sumber sejarah yang sangat dapat dipercayai daripada buku itu.</w:t>
      </w:r>
    </w:p>
    <w:p>
      <w:pPr>
        <w:pStyle w:val="ArticleBody"/>
        <w:jc w:val="left"/>
      </w:pPr>
      <w:r>
        <w:rPr>
          <w:rFonts w:ascii="Times New Roman" w:hAnsi="Times New Roman" w:eastAsia="Times New Roman" w:cs="Times New Roman"/>
        </w:rPr>
        <w:t>Ya mbala ya liboso ezali etumba ya mokonzi ya nordi mpe mokonzi ya sudi, ndenge emonisami na Danyele mokapo ya zomi na moko. Na etumba yango, banguna bazali Katolisime kotelemela ateisme, papa kotelemela Kominisime. Likambo mosusu ezali ete papa asalelaki Nazisme lokola mampinga na ye ya komonani te mpo na kobundisa ateisme na boumeli ya Etumba ya Mibale ya Mokili mobimba, kaka ndenge papa asalelaki Protestantisime oyo ebebisamaki na 1989 lokola mampinga na yango ya komonani te mpo na kobundisa ateisme ya URSS. Buku yango mpe emonisi ebongiseli ya esakweli ya kati mpe ya libándá oyo emonisami na bansango ya satana oyo ebimaki na likamwisi ya Fatima.</w:t>
      </w:r>
    </w:p>
    <w:p>
      <w:pPr>
        <w:pStyle w:val="ArticleBody"/>
        <w:jc w:val="left"/>
      </w:pPr>
      <w:r>
        <w:rPr>
          <w:rFonts w:ascii="Times New Roman" w:hAnsi="Times New Roman" w:eastAsia="Times New Roman" w:cs="Times New Roman"/>
        </w:rPr>
        <w:t>Peperangan sempadan di Raphia, yang dilambangkan dalam ayat sebelas dan dua belas Daniel sebelas, melambangkan peperangan sempadan yang kini sedang berlangsung di Ukraine. Peperangan purba itu ialah peperangan panas; yang kedua ialah perang proksi yang kedua, dengan angkatan-angkatan proksi yang terlibat dalam pertembungan maut. Raphia mengenal pasti peperangan sempadan itu sebagai peperangan antara raja utara dan raja selatan, namun nubuat mengajarkan bahawa sehingga undang-undang Hari Ahad yang akan segera datang, perempuan sundal Tirus dilupakan, Izebel berada di Samaria, dan Herodias tidak menghadiri pesta hari jadi Herodes. Ketiga-tiga saksi tentang peranan raja utara dalam sejarah semasa ini ialah bahawa dia berada di belakang tabir menggerakkan segala tali. Peperangan-peperangan panas, perang-perang proksi, dan perang-perang dingin yang berlaku semasa dia dilupakan dilaksanakan oleh angkatan-angkatan proksinya.</w:t>
      </w:r>
    </w:p>
    <w:p>
      <w:pPr>
        <w:pStyle w:val="ArticleBody"/>
        <w:jc w:val="left"/>
      </w:pPr>
      <w:r>
        <w:rPr>
          <w:rFonts w:ascii="Times New Roman" w:hAnsi="Times New Roman" w:eastAsia="Times New Roman" w:cs="Times New Roman"/>
        </w:rPr>
        <w:t>Russia li khosi ya boroa, ’me jwale e kenelletse ntweng ya moeding e tsheheditsweng ka ditjhelete ke ba-globalist ba lefatshe la Bophirimela, haholoholo ba-Democrat ba progressive le ba-Republican ba RINO (Republican In Name Only) United States. Ha United States e emelwa jwaloka lebotho la boemedi la khosi ya leboya temaneng ya mashome a mane ya Daniele 11, ditshobotsi tsa yona tse pedi tsa boprofeta ke matla a sesole le matla a ditjhelete. United States e phetha mosebetsi o tshwanang Ukraine oo e ileng ya o etsa ka 1989, e thusa Mopapa kgahlanong le Russia, mme lebotho la boemedi le leng lefatsheng, le sireletsang Ukraine, le tletse batšehetsi ba Bonazi hoo esita le mecha ya ditaba e tlwaelehileng e ke keng ya e hana. Roma jwale e sebedisa mabotho a tshwanang a boemedi ao e ileng ya a sebedisa ntweng e tjhesang e neng e le Ntoa ya II ya Lefatshe, le ka 1989, ho lwantsha Russia. Bala buka: Hitler’s Pope, the Secret History of Pius XII.</w:t>
      </w:r>
    </w:p>
    <w:p>
      <w:pPr>
        <w:pStyle w:val="ArticleBody"/>
        <w:jc w:val="left"/>
      </w:pPr>
      <w:r>
        <w:rPr>
          <w:rFonts w:ascii="Nirmala UI" w:hAnsi="Nirmala UI" w:eastAsia="Nirmala UI" w:cs="Nirmala UI"/>
        </w:rPr>
        <w:t>மறுநாள்</w:t>
      </w:r>
      <w:r>
        <w:rPr>
          <w:rFonts w:ascii="Times New Roman" w:hAnsi="Times New Roman" w:eastAsia="Times New Roman" w:cs="Times New Roman"/>
        </w:rPr>
        <w:t xml:space="preserve"> </w:t>
      </w:r>
      <w:r>
        <w:rPr>
          <w:rFonts w:ascii="Nirmala UI" w:hAnsi="Nirmala UI" w:eastAsia="Nirmala UI" w:cs="Nirmala UI"/>
        </w:rPr>
        <w:t>கட்டுரையில்</w:t>
      </w:r>
      <w:r>
        <w:rPr>
          <w:rFonts w:ascii="Times New Roman" w:hAnsi="Times New Roman" w:eastAsia="Times New Roman" w:cs="Times New Roman"/>
        </w:rPr>
        <w:t xml:space="preserve"> </w:t>
      </w:r>
      <w:r>
        <w:rPr>
          <w:rFonts w:ascii="Nirmala UI" w:hAnsi="Nirmala UI" w:eastAsia="Nirmala UI" w:cs="Nirmala UI"/>
        </w:rPr>
        <w:t>இந்த</w:t>
      </w:r>
      <w:r>
        <w:rPr>
          <w:rFonts w:ascii="Times New Roman" w:hAnsi="Times New Roman" w:eastAsia="Times New Roman" w:cs="Times New Roman"/>
        </w:rPr>
        <w:t xml:space="preserve"> </w:t>
      </w:r>
      <w:r>
        <w:rPr>
          <w:rFonts w:ascii="Nirmala UI" w:hAnsi="Nirmala UI" w:eastAsia="Nirmala UI" w:cs="Nirmala UI"/>
        </w:rPr>
        <w:t>ஆய்வை</w:t>
      </w:r>
      <w:r>
        <w:rPr>
          <w:rFonts w:ascii="Times New Roman" w:hAnsi="Times New Roman" w:eastAsia="Times New Roman" w:cs="Times New Roman"/>
        </w:rPr>
        <w:t xml:space="preserve"> </w:t>
      </w:r>
      <w:r>
        <w:rPr>
          <w:rFonts w:ascii="Nirmala UI" w:hAnsi="Nirmala UI" w:eastAsia="Nirmala UI" w:cs="Nirmala UI"/>
        </w:rPr>
        <w:t>நாம்</w:t>
      </w:r>
      <w:r>
        <w:rPr>
          <w:rFonts w:ascii="Times New Roman" w:hAnsi="Times New Roman" w:eastAsia="Times New Roman" w:cs="Times New Roman"/>
        </w:rPr>
        <w:t xml:space="preserve"> </w:t>
      </w:r>
      <w:r>
        <w:rPr>
          <w:rFonts w:ascii="Nirmala UI" w:hAnsi="Nirmala UI" w:eastAsia="Nirmala UI" w:cs="Nirmala UI"/>
        </w:rPr>
        <w:t>தொடர்வோம்</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“Dengan cara yang sama, ketika Allah hendak menyingkapkan kepada Yohanes yang dikasihi sejarah gereja untuk zaman-zaman yang akan datang, Ia memberinya jaminan tentang perhatian dan pemeliharaan Juruselamat atas umat-Nya dengan menyatakan kepadanya ‘Seorang yang serupa dengan Anak Manusia,’ yang berjalan di antara kaki-kaki dian, yang melambangkan ketujuh jemaat. Sementara kepada Yohanes diperlihatkan pergumulan-pergumulan besar terakhir gereja melawan kuasa-kuasa duniawi, ia juga diizinkan untuk memandang kemenangan dan kelepasan terakhir orang-orang setia. Ia melihat gereja dibawa ke dalam pertentangan yang mematikan dengan binatang itu dan patungnya, dan penyembahan kepada binatang itu dipaksakan dengan ancaman hukuman mati. Tetapi ketika memandang melampaui asap dan hiruk-pikuk pertempuran itu, ia melihat suatu kumpulan di atas Gunung Sion bersama Anak Domba, yang sebagai ganti tanda binatang itu, memiliki ‘nama Bapa-Nya tertulis pada dahi mereka.’ Dan lagi ia melihat ‘mereka yang telah memperoleh kemenangan atas binatang itu, dan atas patungnya, dan atas tandanya, dan atas bilangan namanya, berdiri di tepi lautan kaca, sambil memegang kecapi Allah’ dan menyanyikan nyanyian Musa dan Anak Domba.”</w:t>
      </w:r>
    </w:p>
    <w:p>
      <w:pPr>
        <w:pStyle w:val="ArticleScripture"/>
        <w:jc w:val="left"/>
      </w:pPr>
      <w:r>
        <w:rPr>
          <w:rFonts w:ascii="Times New Roman" w:hAnsi="Times New Roman" w:eastAsia="Times New Roman" w:cs="Times New Roman"/>
        </w:rPr>
        <w:t>“Pelajaran-pelajaran ini adalah demi manfaat kita. Kita perlu meneguhkan iman kita kepada Allah, karena tepat di hadapan kita ada suatu masa yang akan menguji jiwa manusia. Kristus, di atas Bukit Zaitun, mengulangi penghakiman-penghakiman yang dahsyat yang akan mendahului kedatangan-Nya yang kedua: ‘Kamu akan mendengar deru perang atau kabar-kabar tentang perang.’ ‘Bangsa akan bangkit melawan bangsa, dan kerajaan melawan kerajaan: dan akan ada kelaparan, penyakit sampar, dan gempa bumi di berbagai tempat. Semua itu adalah permulaan penderitaan menjelang zaman baru.’ Meskipun nubuatan-nubuatan ini menerima suatu penggenapan sebagian pada waktu kebinasaan Yerusalem, nubuatan-nubuatan itu mempunyai penerapan yang lebih langsung kepada hari-hari terakhir.”</w:t>
      </w:r>
    </w:p>
    <w:p>
      <w:pPr>
        <w:pStyle w:val="ArticleScripture"/>
        <w:jc w:val="left"/>
      </w:pPr>
      <w:r>
        <w:rPr>
          <w:rFonts w:ascii="Times New Roman" w:hAnsi="Times New Roman" w:eastAsia="Times New Roman" w:cs="Times New Roman"/>
        </w:rPr>
        <w:t>“Yumi stanap long arere bilong ol bikpela na man i mas tingim gut tru ol samting i laik kamap. Profesi i wok long kamap kwiktaim. Bikpela i stap klostu long dua. Klostu nau wanpela taim bilong bikpela intres, we bai pulapim tingting bilong olgeta manmeri i stap laip, bai op i stap long ai bilong yumi. Ol tok pait bilong bipo bai kirap gen; na ol nupela tok pait bai kamap. Ol samting bai kamap long graun bilong yumi yet, i no gat man i bin driman long ol. Satan i wok long mekim wok bilong em long rot bilong ol manmeri. Ol lain i traim long senisim Konstitusen na kisim wanpela lo bilong strongim pasin bilong holim Sande, ol i no save gut long wanem kaikai bai kamap long dispela. Wanpela hevi taim i stap klostu stret long yumi.</w:t>
      </w:r>
    </w:p>
    <w:p>
      <w:pPr>
        <w:pStyle w:val="ArticleScripture"/>
        <w:jc w:val="left"/>
      </w:pPr>
      <w:r>
        <w:rPr>
          <w:rFonts w:ascii="Times New Roman" w:hAnsi="Times New Roman" w:eastAsia="Times New Roman" w:cs="Times New Roman"/>
        </w:rPr>
        <w:t>“Namun hamba-hamba Allah tidak boleh bersandar kepada diri mereka sendiri dalam keadaan darurat yang besar ini. Dalam penglihatan-penglihatan yang diberikan kepada Yesaya, kepada Yehezkiel, dan kepada Yohanes, kita melihat betapa eratnya surga berhubungan dengan peristiwa-peristiwa yang terjadi di bumi dan betapa besarnya pemeliharaan Allah bagi mereka yang setia kepada-Nya. Dunia ini bukannya tanpa seorang Penguasa. Rangkaian peristiwa yang akan datang berada di dalam tangan Tuhan. Keagungan surga memegang takdir bangsa-bangsa, demikian pula perkara-perkara gereja-Nya, di bawah pengawasan-Nya sendiri.” Testimonies, jilid 5, 752, 753.</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Seratus Tujuh Puluh Tiga</dc:title>
  <dc:subject>ស្រមោលនៃសម្តេចប៉ាប៖ ការបង្ហាញឥទ្ធិពល និងចេតនានៅពីក្រោយ «សម្តេចប៉ាបរបស់ហ៊ីត្លែរ»</dc:subject>
  <dc:creator>Jeff Pippenger</dc:creator>
  <cp:keywords/>
  <dc:description>Generated by ArticleDigger from daniel\173_daniel.json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