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Dua Puluh</w:t>
      </w:r>
    </w:p>
    <w:p>
      <w:pPr>
        <w:pStyle w:val="ArticleSubtitle"/>
        <w:jc w:val="left"/>
      </w:pPr>
      <w:r>
        <w:rPr>
          <w:rFonts w:ascii="Arial" w:hAnsi="Arial" w:eastAsia="Arial" w:cs="Arial"/>
        </w:rPr>
        <w:t>Daniel dan Wahyu: Menyingkap Permadani Nubuat tentang Bangkit dan Runtuhnya Kerajaan-Kerajaan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Kgaitsadi White gantsi ganshi gore dithuto tsa boporofeti tse di tlhokegang gore di tlhaloganngwe di bontshiwa ka go tlhatloga le go wa ga magosi.</w:t>
      </w:r>
    </w:p>
    <w:p>
      <w:pPr>
        <w:pStyle w:val="ArticleScripture"/>
        <w:jc w:val="left"/>
      </w:pPr>
      <w:r>
        <w:rPr>
          <w:rFonts w:ascii="Times New Roman" w:hAnsi="Times New Roman" w:eastAsia="Times New Roman" w:cs="Times New Roman"/>
        </w:rPr>
        <w:t>“Go tšwa go tsogeng le go wa ga ditšhaba bjalo ka ge go beilwe pepeneneng ka dipukung tša Daniele le Kutollo, re swanetše go ithuta kamoo letago la ka ntle le la lefase feela le se nago mohola ka gona. Babilona, ka maatla a yona ka moka le bokgabo bja yona, tšeo lefase la rena le sego la hlwa le di bona go tloga mohlang woo,—maatla le bokgabo tšeo go batho ba mehleng yeo di bego di bonagala di tiile gakaakaa e bile di tla tšwela pele ka mehla,—e fetile ruri bjang! Bjalo ka ‘letšoba la bjang,’ e senyegile. Jakobo 1:10. Ka mokgwa woo go senyegile mmušo wa Bameda le Baperesia, le mebušo ya Gerika le Roma. Gomme ka mokgwa woo go senyega tšohle tše di se nago Modimo e le motheo wa tšona. Ke fela seo se tlemagantšwego le morero wa Gagwe, e bile se bonagatšago semelo sa Gagwe, se ka kgotlelelago. Melao ya Gagwe ya motheo ke tšona fela dilo tše di sa šišinyegego tše lefase la rena le di tsebago.” Prophets and Kings, 548.</w:t>
      </w:r>
    </w:p>
    <w:p>
      <w:pPr>
        <w:pStyle w:val="ArticleBody"/>
        <w:jc w:val="left"/>
      </w:pPr>
      <w:r>
        <w:rPr>
          <w:rFonts w:ascii="Times New Roman" w:hAnsi="Times New Roman" w:eastAsia="Times New Roman" w:cs="Times New Roman"/>
        </w:rPr>
        <w:t>“</w:t>
      </w:r>
      <w:r>
        <w:rPr>
          <w:rFonts w:ascii="Nirmala UI" w:hAnsi="Nirmala UI" w:eastAsia="Nirmala UI" w:cs="Nirmala UI"/>
        </w:rPr>
        <w:t>ꯑꯦꯁꯦꯟ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ꯔꯦꯕꯦꯂꯦꯁꯟꯗ</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ꯂꯩꯉꯥꯛꯁꯤꯡꯒꯤ</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ꯊꯥꯗꯣꯛꯄꯥꯁꯤ</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ꯇꯝꯃꯤꯟꯅꯕꯥ</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ꯆꯨꯝꯕ</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ꯂꯨꯝꯄꯨꯛ</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ꯕꯦꯕꯤꯂꯣꯟꯒꯤ</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ꯊꯥꯗꯣꯛꯄꯥꯁꯤ</w:t>
      </w:r>
      <w:r>
        <w:rPr>
          <w:rFonts w:ascii="Times New Roman" w:hAnsi="Times New Roman" w:eastAsia="Times New Roman" w:cs="Times New Roman"/>
        </w:rPr>
        <w:t xml:space="preserve">, </w:t>
      </w:r>
      <w:r>
        <w:rPr>
          <w:rFonts w:ascii="Nirmala UI" w:hAnsi="Nirmala UI" w:eastAsia="Nirmala UI" w:cs="Nirmala UI"/>
        </w:rPr>
        <w:t>ꯖꯦꯅꯦꯁꯤꯁ</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11-</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ꯅꯤꯝꯔꯣꯗꯀꯤ</w:t>
      </w:r>
      <w:r>
        <w:rPr>
          <w:rFonts w:ascii="Times New Roman" w:hAnsi="Times New Roman" w:eastAsia="Times New Roman" w:cs="Times New Roman"/>
        </w:rPr>
        <w:t xml:space="preserve"> </w:t>
      </w:r>
      <w:r>
        <w:rPr>
          <w:rFonts w:ascii="Nirmala UI" w:hAnsi="Nirmala UI" w:eastAsia="Nirmala UI" w:cs="Nirmala UI"/>
        </w:rPr>
        <w:t>ꯕꯦꯕꯦꯜꯒꯤ</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ꯊꯥꯗꯣꯛꯄꯥꯗꯥ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5-</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ꯕꯦꯕꯤꯂꯣꯟ</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ꯊꯥꯗꯣꯛꯂꯤ।</w:t>
      </w:r>
      <w:r>
        <w:rPr>
          <w:rFonts w:ascii="Times New Roman" w:hAnsi="Times New Roman" w:eastAsia="Times New Roman" w:cs="Times New Roman"/>
        </w:rPr>
        <w:t xml:space="preserve"> </w:t>
      </w:r>
      <w:r>
        <w:rPr>
          <w:rFonts w:ascii="Nirmala UI" w:hAnsi="Nirmala UI" w:eastAsia="Nirmala UI" w:cs="Nirmala UI"/>
        </w:rPr>
        <w:t>ꯄꯦꯄꯁꯤꯒꯤ</w:t>
      </w:r>
      <w:r>
        <w:rPr>
          <w:rFonts w:ascii="Times New Roman" w:hAnsi="Times New Roman" w:eastAsia="Times New Roman" w:cs="Times New Roman"/>
        </w:rPr>
        <w:t xml:space="preserve"> 538 </w:t>
      </w:r>
      <w:r>
        <w:rPr>
          <w:rFonts w:ascii="Nirmala UI" w:hAnsi="Nirmala UI" w:eastAsia="Nirmala UI" w:cs="Nirmala UI"/>
        </w:rPr>
        <w:t>ꯆꯍꯤꯗ</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ꯀꯥꯛꯊꯣꯛꯄꯥ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1798-</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ꯊꯥꯗꯣꯛꯄꯥꯒꯤ</w:t>
      </w:r>
      <w:r>
        <w:rPr>
          <w:rFonts w:ascii="Times New Roman" w:hAnsi="Times New Roman" w:eastAsia="Times New Roman" w:cs="Times New Roman"/>
        </w:rPr>
        <w:t xml:space="preserve"> </w:t>
      </w:r>
      <w:r>
        <w:rPr>
          <w:rFonts w:ascii="Nirmala UI" w:hAnsi="Nirmala UI" w:eastAsia="Nirmala UI" w:cs="Nirmala UI"/>
        </w:rPr>
        <w:t>ꯄꯨꯋꯥꯔꯤꯁꯨ</w:t>
      </w:r>
      <w:r>
        <w:rPr>
          <w:rFonts w:ascii="Times New Roman" w:hAnsi="Times New Roman" w:eastAsia="Times New Roman" w:cs="Times New Roman"/>
        </w:rPr>
        <w:t xml:space="preserve">, </w:t>
      </w:r>
      <w:r>
        <w:rPr>
          <w:rFonts w:ascii="Nirmala UI" w:hAnsi="Nirmala UI" w:eastAsia="Nirmala UI" w:cs="Nirmala UI"/>
        </w:rPr>
        <w:t>ꯕꯦꯕꯤꯂꯣꯟꯒꯤ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ꯊꯥꯗꯣꯛꯄꯥꯗꯥ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ꯄꯥꯋꯔꯁꯤ</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ꯁ꯭ꯄꯤꯔꯤꯆꯨꯌꯦꯜ</w:t>
      </w:r>
      <w:r>
        <w:rPr>
          <w:rFonts w:ascii="Times New Roman" w:hAnsi="Times New Roman" w:eastAsia="Times New Roman" w:cs="Times New Roman"/>
        </w:rPr>
        <w:t xml:space="preserve"> </w:t>
      </w:r>
      <w:r>
        <w:rPr>
          <w:rFonts w:ascii="Nirmala UI" w:hAnsi="Nirmala UI" w:eastAsia="Nirmala UI" w:cs="Nirmala UI"/>
        </w:rPr>
        <w:t>ꯕꯦꯕꯤꯂꯣꯟ</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ꯄꯦꯄꯁꯤ</w:t>
      </w:r>
      <w:r>
        <w:rPr>
          <w:rFonts w:ascii="Times New Roman" w:hAnsi="Times New Roman" w:eastAsia="Times New Roman" w:cs="Times New Roman"/>
        </w:rPr>
        <w:t xml:space="preserve"> 1798-</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ꯊꯥꯗꯣꯛꯂꯤ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ꯔꯦꯕꯦꯂꯦꯁꯟ</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18-</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ꯊꯤꯂꯤ।</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11,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45-</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ꯄꯦꯄꯁꯤ</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ꯅꯣꯔꯊꯀꯤ</w:t>
      </w:r>
      <w:r>
        <w:rPr>
          <w:rFonts w:ascii="Times New Roman" w:hAnsi="Times New Roman" w:eastAsia="Times New Roman" w:cs="Times New Roman"/>
        </w:rPr>
        <w:t xml:space="preserve"> </w:t>
      </w:r>
      <w:r>
        <w:rPr>
          <w:rFonts w:ascii="Nirmala UI" w:hAnsi="Nirmala UI" w:eastAsia="Nirmala UI" w:cs="Nirmala UI"/>
        </w:rPr>
        <w:t>ꯅꯤꯡꯊꯧꯒꯥ</w:t>
      </w:r>
      <w:r>
        <w:rPr>
          <w:rFonts w:ascii="Times New Roman" w:hAnsi="Times New Roman" w:eastAsia="Times New Roman" w:cs="Times New Roman"/>
        </w:rPr>
        <w:t xml:space="preserve"> </w:t>
      </w:r>
      <w:r>
        <w:rPr>
          <w:rFonts w:ascii="Nirmala UI" w:hAnsi="Nirmala UI" w:eastAsia="Nirmala UI" w:cs="Nirmala UI"/>
        </w:rPr>
        <w:t>ꯃꯤꯟꯅꯔꯤꯕ</w:t>
      </w:r>
      <w:r>
        <w:rPr>
          <w:rFonts w:ascii="Times New Roman" w:hAnsi="Times New Roman" w:eastAsia="Times New Roman" w:cs="Times New Roman"/>
        </w:rPr>
        <w:t xml:space="preserve"> </w:t>
      </w:r>
      <w:r>
        <w:rPr>
          <w:rFonts w:ascii="Nirmala UI" w:hAnsi="Nirmala UI" w:eastAsia="Nirmala UI" w:cs="Nirmala UI"/>
        </w:rPr>
        <w:t>ꯃꯍꯥꯛꯁꯤ</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ꯄꯨꯡꯐꯝꯗ</w:t>
      </w:r>
      <w:r>
        <w:rPr>
          <w:rFonts w:ascii="Times New Roman" w:hAnsi="Times New Roman" w:eastAsia="Times New Roman" w:cs="Times New Roman"/>
        </w:rPr>
        <w:t xml:space="preserve"> </w:t>
      </w:r>
      <w:r>
        <w:rPr>
          <w:rFonts w:ascii="Nirmala UI" w:hAnsi="Nirmala UI" w:eastAsia="Nirmala UI" w:cs="Nirmala UI"/>
        </w:rPr>
        <w:t>ꯌꯧꯔꯛꯏ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ꯍꯦꯜꯄ</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ꯀꯅꯥꯁꯨ</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ꯑꯣꯏꯕꯁꯤ</w:t>
      </w:r>
      <w:r>
        <w:rPr>
          <w:rFonts w:ascii="Times New Roman" w:hAnsi="Times New Roman" w:eastAsia="Times New Roman" w:cs="Times New Roman"/>
        </w:rPr>
        <w:t xml:space="preserve"> probation </w:t>
      </w:r>
      <w:r>
        <w:rPr>
          <w:rFonts w:ascii="Nirmala UI" w:hAnsi="Nirmala UI" w:eastAsia="Nirmala UI" w:cs="Nirmala UI"/>
        </w:rPr>
        <w:t>ꯂꯣꯁ</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11-</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45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12-</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1-</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ꯑꯣꯏꯔꯤ।</w:t>
      </w:r>
    </w:p>
    <w:p>
      <w:pPr>
        <w:pStyle w:val="ArticleScripture"/>
        <w:jc w:val="left"/>
      </w:pPr>
      <w:r>
        <w:rPr>
          <w:rFonts w:ascii="Times New Roman" w:hAnsi="Times New Roman" w:eastAsia="Times New Roman" w:cs="Times New Roman"/>
        </w:rPr>
        <w:t>Na yena u ta emisa matente ya ntlo ya gagwe ya bogosi magareng ga mawatle mo thabeng e e boitshepo e e galalelang; le fa go ntse jalo, o tla fitlha kwa bokhutlong jwa gagwe, mme ga go kitla go nna le ope yo o tla mo thusang. Mme ka nako eo Mikaele o tla ema, kgosana e kgolo e e emelang bana ba batho ba gago; mme go tla nna le nako ya matshwenyego, e e sa bolang go nna gone fa e sa le go na le setšhaba go fitlha ka nako eo: mme ka nako eo batho ba gago ba tla gololwa, mongwe le mongwe yo o tla fitlhelwang a kwadilwe mo bukeng. Daniele 11:45, 12:1.</w:t>
      </w:r>
    </w:p>
    <w:p>
      <w:pPr>
        <w:pStyle w:val="ArticleBody"/>
        <w:jc w:val="left"/>
      </w:pPr>
      <w:r>
        <w:rPr>
          <w:rFonts w:ascii="Times New Roman" w:hAnsi="Times New Roman" w:eastAsia="Times New Roman" w:cs="Times New Roman"/>
        </w:rPr>
        <w:t>Molaetsa oa lengeloi la bobeli o thehiloe holim’a ’nete ea hore Babilona e oele habeli. Babilona ea sebele, e emeloang ke Nimrode le Belshatsare, e ile ea oa habeli; ’me Babilona ea moea e ile ea oa ka 1798, ’me e oa hape ha nako ea teko ea batho e fela.</w:t>
      </w:r>
    </w:p>
    <w:p>
      <w:pPr>
        <w:pStyle w:val="ArticleScripture"/>
        <w:jc w:val="left"/>
      </w:pPr>
      <w:r>
        <w:rPr>
          <w:rFonts w:ascii="Times New Roman" w:hAnsi="Times New Roman" w:eastAsia="Times New Roman" w:cs="Times New Roman"/>
        </w:rPr>
        <w:t>Kemudian menyusul seorang malaikat lain, katanya: Babel sudah rubuh, sudah rubuh, kota besar itu, sebab ia telah membuat segala bangsa minum dari anggur murka percabulannya. Wahyu 14:8.</w:t>
      </w:r>
    </w:p>
    <w:p>
      <w:pPr>
        <w:pStyle w:val="ArticleBody"/>
        <w:jc w:val="left"/>
      </w:pPr>
      <w:r>
        <w:rPr>
          <w:rFonts w:ascii="Ebrima" w:hAnsi="Ebrima" w:eastAsia="Ebrima" w:cs="Ebrima"/>
        </w:rPr>
        <w:t>ⵜⵓⵙⴷⵉⴷⵜ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ⵓⵖⵍⵍⵓⵢ</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ⴱⴰⴱⵉⵍⵓⵏ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ⵓⵎⴰⵍⴰⵢ</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ⵜⴰⴽⴽⴰ</w:t>
      </w:r>
      <w:r>
        <w:rPr>
          <w:rFonts w:ascii="Times New Roman" w:hAnsi="Times New Roman" w:eastAsia="Times New Roman" w:cs="Times New Roman"/>
        </w:rPr>
        <w:t xml:space="preserve"> </w:t>
      </w:r>
      <w:r>
        <w:rPr>
          <w:rFonts w:ascii="Ebrima" w:hAnsi="Ebrima" w:eastAsia="Ebrima" w:cs="Ebrima"/>
        </w:rPr>
        <w:t>ⴰⵙⵏⵜⴰⵢ</w:t>
      </w:r>
      <w:r>
        <w:rPr>
          <w:rFonts w:ascii="Times New Roman" w:hAnsi="Times New Roman" w:eastAsia="Times New Roman" w:cs="Times New Roman"/>
        </w:rPr>
        <w:t xml:space="preserve"> </w:t>
      </w:r>
      <w:r>
        <w:rPr>
          <w:rFonts w:ascii="Ebrima" w:hAnsi="Ebrima" w:eastAsia="Ebrima" w:cs="Ebrima"/>
        </w:rPr>
        <w:t>ⴰⵏⴱⵉⵢⴰⵡⵉ</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ⵓⵙⵎⴰⵜⴰ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ⵓⵙⵉⵙⵏ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ⵓⵙⵏⵓⴱⴳ</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ⵉⵡⴰⵍⵏ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ⵜⵉⵏⴼⵉⵍⵉⵏ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ⵉⴷⵍⵉⵙⵏ</w:t>
      </w:r>
      <w:r>
        <w:rPr>
          <w:rFonts w:ascii="Times New Roman" w:hAnsi="Times New Roman" w:eastAsia="Times New Roman" w:cs="Times New Roman"/>
        </w:rPr>
        <w:t xml:space="preserve"> </w:t>
      </w:r>
      <w:r>
        <w:rPr>
          <w:rFonts w:ascii="Ebrima" w:hAnsi="Ebrima" w:eastAsia="Ebrima" w:cs="Ebrima"/>
        </w:rPr>
        <w:t>ⵉⵎⵇⵇⵓⵔⴰ</w:t>
      </w:r>
      <w:r>
        <w:rPr>
          <w:rFonts w:ascii="Times New Roman" w:hAnsi="Times New Roman" w:eastAsia="Times New Roman" w:cs="Times New Roman"/>
        </w:rPr>
        <w:t xml:space="preserve"> </w:t>
      </w:r>
      <w:r>
        <w:rPr>
          <w:rFonts w:ascii="Ebrima" w:hAnsi="Ebrima" w:eastAsia="Ebrima" w:cs="Ebrima"/>
        </w:rPr>
        <w:t>ⴰⵎ</w:t>
      </w:r>
      <w:r>
        <w:rPr>
          <w:rFonts w:ascii="Times New Roman" w:hAnsi="Times New Roman" w:eastAsia="Times New Roman" w:cs="Times New Roman"/>
        </w:rPr>
        <w:t xml:space="preserve"> </w:t>
      </w:r>
      <w:r>
        <w:rPr>
          <w:rFonts w:ascii="Ebrima" w:hAnsi="Ebrima" w:eastAsia="Ebrima" w:cs="Ebrima"/>
        </w:rPr>
        <w:t>ⵓⵣⵎⵣ</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ⵢⵉⵣⵏ</w:t>
      </w:r>
      <w:r>
        <w:rPr>
          <w:rFonts w:ascii="Times New Roman" w:hAnsi="Times New Roman" w:eastAsia="Times New Roman" w:cs="Times New Roman"/>
        </w:rPr>
        <w:t xml:space="preserve"> </w:t>
      </w:r>
      <w:r>
        <w:rPr>
          <w:rFonts w:ascii="Ebrima" w:hAnsi="Ebrima" w:eastAsia="Ebrima" w:cs="Ebrima"/>
        </w:rPr>
        <w:t>ⵉⵎⵍⴰⵍⵏ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ⵓⵎⴰⵍⴰⵢ</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ⵓⵖⴰⵔⴰⵙ</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ⵜⴰⴷⴳⴳⵯⴰⵜ</w:t>
      </w:r>
      <w:r>
        <w:rPr>
          <w:rFonts w:ascii="Times New Roman" w:hAnsi="Times New Roman" w:eastAsia="Times New Roman" w:cs="Times New Roman"/>
        </w:rPr>
        <w:t xml:space="preserve">. </w:t>
      </w:r>
      <w:r>
        <w:rPr>
          <w:rFonts w:ascii="Ebrima" w:hAnsi="Ebrima" w:eastAsia="Ebrima" w:cs="Ebrima"/>
        </w:rPr>
        <w:t>ⵜⵙⵏⵓⴱⴳ</w:t>
      </w:r>
      <w:r>
        <w:rPr>
          <w:rFonts w:ascii="Times New Roman" w:hAnsi="Times New Roman" w:eastAsia="Times New Roman" w:cs="Times New Roman"/>
        </w:rPr>
        <w:t xml:space="preserve"> </w:t>
      </w:r>
      <w:r>
        <w:rPr>
          <w:rFonts w:ascii="Ebrima" w:hAnsi="Ebrima" w:eastAsia="Ebrima" w:cs="Ebrima"/>
        </w:rPr>
        <w:t>ⴷⴰⵖ</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ⵓⵏⵙⴰⵡ</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ⵜⵙⵙⵎⴰⵜⴰ</w:t>
      </w:r>
      <w:r>
        <w:rPr>
          <w:rFonts w:ascii="Times New Roman" w:hAnsi="Times New Roman" w:eastAsia="Times New Roman" w:cs="Times New Roman"/>
        </w:rPr>
        <w:t xml:space="preserve"> </w:t>
      </w:r>
      <w:r>
        <w:rPr>
          <w:rFonts w:ascii="Ebrima" w:hAnsi="Ebrima" w:eastAsia="Ebrima" w:cs="Ebrima"/>
        </w:rPr>
        <w:t>ⵙⵉⵙⵜⵔ</w:t>
      </w:r>
      <w:r>
        <w:rPr>
          <w:rFonts w:ascii="Times New Roman" w:hAnsi="Times New Roman" w:eastAsia="Times New Roman" w:cs="Times New Roman"/>
        </w:rPr>
        <w:t xml:space="preserve"> </w:t>
      </w:r>
      <w:r>
        <w:rPr>
          <w:rFonts w:ascii="Ebrima" w:hAnsi="Ebrima" w:eastAsia="Ebrima" w:cs="Ebrima"/>
        </w:rPr>
        <w:t>ⵡⴰⵢⵜ</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ⴰⵙⵍⵎⴷ</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ⵜⵏⴱⵉⵜ</w:t>
      </w:r>
      <w:r>
        <w:rPr>
          <w:rFonts w:ascii="Times New Roman" w:hAnsi="Times New Roman" w:eastAsia="Times New Roman" w:cs="Times New Roman"/>
        </w:rPr>
        <w:t xml:space="preserve"> </w:t>
      </w:r>
      <w:r>
        <w:rPr>
          <w:rFonts w:ascii="Ebrima" w:hAnsi="Ebrima" w:eastAsia="Ebrima" w:cs="Ebrima"/>
        </w:rPr>
        <w:t>ⵉⵇⵇⵏ</w:t>
      </w:r>
      <w:r>
        <w:rPr>
          <w:rFonts w:ascii="Times New Roman" w:hAnsi="Times New Roman" w:eastAsia="Times New Roman" w:cs="Times New Roman"/>
        </w:rPr>
        <w:t xml:space="preserve"> </w:t>
      </w:r>
      <w:r>
        <w:rPr>
          <w:rFonts w:ascii="Ebrima" w:hAnsi="Ebrima" w:eastAsia="Ebrima" w:cs="Ebrima"/>
        </w:rPr>
        <w:t>ⴰⴼ</w:t>
      </w:r>
      <w:r>
        <w:rPr>
          <w:rFonts w:ascii="Times New Roman" w:hAnsi="Times New Roman" w:eastAsia="Times New Roman" w:cs="Times New Roman"/>
        </w:rPr>
        <w:t xml:space="preserve"> </w:t>
      </w:r>
      <w:r>
        <w:rPr>
          <w:rFonts w:ascii="Ebrima" w:hAnsi="Ebrima" w:eastAsia="Ebrima" w:cs="Ebrima"/>
        </w:rPr>
        <w:t>ⵜⵓⵍⵉ</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ⵓⵖⵍⵍⵓⵢ</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ⵜⵉⴳⵍⴷⵉⵡⵉⵏ</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ⵉⵜⵜⵡⴰⵙⵎⵓⵏⵏ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ⵉⴷⵍⵉⵙⵏ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ⴷⴰⵏⵉⵢⵉⵍ</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ⵍⵔⵓⵢⴰ</w:t>
      </w:r>
      <w:r>
        <w:rPr>
          <w:rFonts w:ascii="Times New Roman" w:hAnsi="Times New Roman" w:eastAsia="Times New Roman" w:cs="Times New Roman"/>
        </w:rPr>
        <w:t xml:space="preserve">. </w:t>
      </w:r>
      <w:r>
        <w:rPr>
          <w:rFonts w:ascii="Ebrima" w:hAnsi="Ebrima" w:eastAsia="Ebrima" w:cs="Ebrima"/>
        </w:rPr>
        <w:t>ⵜⵙⴱⴰⵢⵢⴰⵏ</w:t>
      </w:r>
      <w:r>
        <w:rPr>
          <w:rFonts w:ascii="Times New Roman" w:hAnsi="Times New Roman" w:eastAsia="Times New Roman" w:cs="Times New Roman"/>
        </w:rPr>
        <w:t xml:space="preserve"> </w:t>
      </w:r>
      <w:r>
        <w:rPr>
          <w:rFonts w:ascii="Ebrima" w:hAnsi="Ebrima" w:eastAsia="Ebrima" w:cs="Ebrima"/>
        </w:rPr>
        <w:t>ⵜⴰⴽⴰⵢⵜ</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ⴰⴼⴰⴷ</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ⵉⴳⵣ</w:t>
      </w:r>
      <w:r>
        <w:rPr>
          <w:rFonts w:ascii="Times New Roman" w:hAnsi="Times New Roman" w:eastAsia="Times New Roman" w:cs="Times New Roman"/>
        </w:rPr>
        <w:t xml:space="preserve"> </w:t>
      </w:r>
      <w:r>
        <w:rPr>
          <w:rFonts w:ascii="Ebrima" w:hAnsi="Ebrima" w:eastAsia="Ebrima" w:cs="Ebrima"/>
        </w:rPr>
        <w:t>ⵓⵏⵍⵎⴰⴷ</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ⵜⵏⴱⵉⵜ</w:t>
      </w:r>
      <w:r>
        <w:rPr>
          <w:rFonts w:ascii="Times New Roman" w:hAnsi="Times New Roman" w:eastAsia="Times New Roman" w:cs="Times New Roman"/>
        </w:rPr>
        <w:t xml:space="preserve"> </w:t>
      </w:r>
      <w:r>
        <w:rPr>
          <w:rFonts w:ascii="Ebrima" w:hAnsi="Ebrima" w:eastAsia="Ebrima" w:cs="Ebrima"/>
        </w:rPr>
        <w:t>ⵓⵖⵍⵍⵓⵢ</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ⴱⴰⴱⵉⵍⵓⵏ</w:t>
      </w:r>
      <w:r>
        <w:rPr>
          <w:rFonts w:ascii="Times New Roman" w:hAnsi="Times New Roman" w:eastAsia="Times New Roman" w:cs="Times New Roman"/>
        </w:rPr>
        <w:t xml:space="preserve">, </w:t>
      </w:r>
      <w:r>
        <w:rPr>
          <w:rFonts w:ascii="Ebrima" w:hAnsi="Ebrima" w:eastAsia="Ebrima" w:cs="Ebrima"/>
        </w:rPr>
        <w:t>ⵉⵍⵍⴰ</w:t>
      </w:r>
      <w:r>
        <w:rPr>
          <w:rFonts w:ascii="Times New Roman" w:hAnsi="Times New Roman" w:eastAsia="Times New Roman" w:cs="Times New Roman"/>
        </w:rPr>
        <w:t xml:space="preserve"> </w:t>
      </w:r>
      <w:r>
        <w:rPr>
          <w:rFonts w:ascii="Ebrima" w:hAnsi="Ebrima" w:eastAsia="Ebrima" w:cs="Ebrima"/>
        </w:rPr>
        <w:t>ⴼⵍⴰⵙ</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ⵉⵙⵎⵓⵏ</w:t>
      </w:r>
      <w:r>
        <w:rPr>
          <w:rFonts w:ascii="Times New Roman" w:hAnsi="Times New Roman" w:eastAsia="Times New Roman" w:cs="Times New Roman"/>
        </w:rPr>
        <w:t xml:space="preserve"> </w:t>
      </w:r>
      <w:r>
        <w:rPr>
          <w:rFonts w:ascii="Ebrima" w:hAnsi="Ebrima" w:eastAsia="Ebrima" w:cs="Ebrima"/>
        </w:rPr>
        <w:t>ⴰⴽⴽⵯ</w:t>
      </w:r>
      <w:r>
        <w:rPr>
          <w:rFonts w:ascii="Times New Roman" w:hAnsi="Times New Roman" w:eastAsia="Times New Roman" w:cs="Times New Roman"/>
        </w:rPr>
        <w:t xml:space="preserve"> </w:t>
      </w:r>
      <w:r>
        <w:rPr>
          <w:rFonts w:ascii="Ebrima" w:hAnsi="Ebrima" w:eastAsia="Ebrima" w:cs="Ebrima"/>
        </w:rPr>
        <w:t>ⵉⵖⵍⵍⵓⵢⵏ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ⴱⴰⴱⵉⵍⵓⵏ</w:t>
      </w:r>
      <w:r>
        <w:rPr>
          <w:rFonts w:ascii="Times New Roman" w:hAnsi="Times New Roman" w:eastAsia="Times New Roman" w:cs="Times New Roman"/>
        </w:rPr>
        <w:t>, “</w:t>
      </w:r>
      <w:r>
        <w:rPr>
          <w:rFonts w:ascii="Ebrima" w:hAnsi="Ebrima" w:eastAsia="Ebrima" w:cs="Ebrima"/>
        </w:rPr>
        <w:t>ⵉⵣⵔⵉ</w:t>
      </w:r>
      <w:r>
        <w:rPr>
          <w:rFonts w:ascii="Times New Roman" w:hAnsi="Times New Roman" w:eastAsia="Times New Roman" w:cs="Times New Roman"/>
        </w:rPr>
        <w:t xml:space="preserve"> </w:t>
      </w:r>
      <w:r>
        <w:rPr>
          <w:rFonts w:ascii="Ebrima" w:hAnsi="Ebrima" w:eastAsia="Ebrima" w:cs="Ebrima"/>
        </w:rPr>
        <w:t>ⴼ</w:t>
      </w:r>
      <w:r>
        <w:rPr>
          <w:rFonts w:ascii="Times New Roman" w:hAnsi="Times New Roman" w:eastAsia="Times New Roman" w:cs="Times New Roman"/>
        </w:rPr>
        <w:t xml:space="preserve"> </w:t>
      </w:r>
      <w:r>
        <w:rPr>
          <w:rFonts w:ascii="Ebrima" w:hAnsi="Ebrima" w:eastAsia="Ebrima" w:cs="Ebrima"/>
        </w:rPr>
        <w:t>ⵉⵣⵔⵉ</w:t>
      </w:r>
      <w:r>
        <w:rPr>
          <w:rFonts w:ascii="Times New Roman" w:hAnsi="Times New Roman" w:eastAsia="Times New Roman" w:cs="Times New Roman"/>
        </w:rPr>
        <w:t xml:space="preserve">,” </w:t>
      </w:r>
      <w:r>
        <w:rPr>
          <w:rFonts w:ascii="Ebrima" w:hAnsi="Ebrima" w:eastAsia="Ebrima" w:cs="Ebrima"/>
        </w:rPr>
        <w:t>ⴰⴼⴰⴷ</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ⵉⵙⴱⴷⴷ</w:t>
      </w:r>
      <w:r>
        <w:rPr>
          <w:rFonts w:ascii="Times New Roman" w:hAnsi="Times New Roman" w:eastAsia="Times New Roman" w:cs="Times New Roman"/>
        </w:rPr>
        <w:t xml:space="preserve"> </w:t>
      </w:r>
      <w:r>
        <w:rPr>
          <w:rFonts w:ascii="Ebrima" w:hAnsi="Ebrima" w:eastAsia="Ebrima" w:cs="Ebrima"/>
        </w:rPr>
        <w:t>ⵉⵣⵏ</w:t>
      </w:r>
      <w:r>
        <w:rPr>
          <w:rFonts w:ascii="Times New Roman" w:hAnsi="Times New Roman" w:eastAsia="Times New Roman" w:cs="Times New Roman"/>
        </w:rPr>
        <w:t xml:space="preserve"> </w:t>
      </w:r>
      <w:r>
        <w:rPr>
          <w:rFonts w:ascii="Ebrima" w:hAnsi="Ebrima" w:eastAsia="Ebrima" w:cs="Ebrima"/>
        </w:rPr>
        <w:t>ⴰⵏⴱⵉⵢⴰⵡⵉ</w:t>
      </w:r>
      <w:r>
        <w:rPr>
          <w:rFonts w:ascii="Times New Roman" w:hAnsi="Times New Roman" w:eastAsia="Times New Roman" w:cs="Times New Roman"/>
        </w:rPr>
        <w:t xml:space="preserve"> </w:t>
      </w:r>
      <w:r>
        <w:rPr>
          <w:rFonts w:ascii="Ebrima" w:hAnsi="Ebrima" w:eastAsia="Ebrima" w:cs="Ebrima"/>
        </w:rPr>
        <w:t>ⵓⵙⵔⵉⴷ</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ⵓⵖⵍⵍⵓⵢ</w:t>
      </w:r>
      <w:r>
        <w:rPr>
          <w:rFonts w:ascii="Times New Roman" w:hAnsi="Times New Roman" w:eastAsia="Times New Roman" w:cs="Times New Roman"/>
        </w:rPr>
        <w:t xml:space="preserve"> </w:t>
      </w:r>
      <w:r>
        <w:rPr>
          <w:rFonts w:ascii="Ebrima" w:hAnsi="Ebrima" w:eastAsia="Ebrima" w:cs="Ebrima"/>
        </w:rPr>
        <w:t>ⴰⵏⴳⴳⴰⵔⵓ</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ⴱⴰⴱⵉⵍⵓⵏ</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Babylon yang tumbang dua kali dalam pekabaran malaikat kedua didasarkan pada kaidah kenabian yang menetapkan bahwa kebenaran diteguhkan atas kesaksian dua orang saksi. Penggandaan kejatuhan Babel di dalam pekabaran itu melambangkan metodologi kenabian yang dalam Alkitab dikenali sebagai hujan akhir. Metodologi yang kudus itu, yaitu hujan akhir, adalah penerapan menghimpunkan berbagai garis nubuatan bersama-sama “baris demi baris.” Apabila digunakan oleh pelajar nubuatan, metodologi itu menegakkan “pekabaran” hujan akhir. Pekabaran hujan akhir yang ditegakkan melalui penerapan metodologi yang kudus itu, selanjutnya diproklamasikan dalam sejarah-histori kenabian gabungan malaikat kedua dan Seruan Tengah Malam. Demikianlah halnya dalam sejarah pergerakan malaikat pertama, dan demikian pula benarnya pada masa kini, dalam sejarah pergerakan malaikat ketiga.</w:t>
      </w:r>
    </w:p>
    <w:p>
      <w:pPr>
        <w:pStyle w:val="ArticleBody"/>
        <w:jc w:val="left"/>
      </w:pPr>
      <w:r>
        <w:rPr>
          <w:rFonts w:ascii="Times New Roman" w:hAnsi="Times New Roman" w:eastAsia="Times New Roman" w:cs="Times New Roman"/>
        </w:rPr>
        <w:t>Babylon ki phapta bu li, Daniel bung changnga nih, Nebuchadnezzar in bungli pali chungah a langmi bangin Babylon a kaihthawknak le a hramthawknak cu a zohter; cun bungli panga chungah Belshazzar in a aiawhmi bangin Babylon tluksiatnak le a donghnak cu a zohter. An pahnih in an kom tikah profet lam pakhat an tuah. Cu bungli pahnih nih an tuahmi profet lam cu, latter rain thucah a dinhter khawhnak dingah, Daniel bungli pakhat in bungli pathum tiang cungah chungkhat in a chungah chiah awk a si.</w:t>
      </w:r>
    </w:p>
    <w:p>
      <w:pPr>
        <w:pStyle w:val="ArticleBody"/>
        <w:jc w:val="left"/>
      </w:pPr>
      <w:r>
        <w:rPr>
          <w:rFonts w:ascii="Times New Roman" w:hAnsi="Times New Roman" w:eastAsia="Times New Roman" w:cs="Times New Roman"/>
        </w:rPr>
        <w:t>Dua pasal itu menampilkan kejatuhan dan kebangkitan kembali Nebukadnezar serta kejatuhan dan kebinasaan Belsyazar, dan karena itu menampilkan kejatuhan Babel pada permulaan dan pada akhir garis itu. Garis nubuatan yang dibentuk oleh kedua pasal itu disusun atas dasar Babel yang jatuh, bangkit, lalu jatuh kembali. Fakta itu saja sudah menunjukkan bahwa kedua pasal itu melambangkan pekabaran malaikat kedua. Kedua pasal itu melambangkan sejarah binatang bumi dalam Wahyu tiga belas, dan dalam sejarah itu pekabaran malaikat kedua dan Seruan Tengah Malam diproklamasikan dua kali.</w:t>
      </w:r>
    </w:p>
    <w:p>
      <w:pPr>
        <w:pStyle w:val="ArticleBody"/>
        <w:jc w:val="left"/>
      </w:pPr>
      <w:r>
        <w:rPr>
          <w:rFonts w:ascii="Times New Roman" w:hAnsi="Times New Roman" w:eastAsia="Times New Roman" w:cs="Times New Roman"/>
        </w:rPr>
        <w:t>Oleh itu, sebelum kita memulakan pertimbangan kita terhadap Daniel fasal empat dan lima, kita akan mengenal pasti metodologi suci yang merupakan hujan akhir, dan kemudian dengan menggunakan metodologi itu kita akan mengenal pasti pekabaran hujan akhir.</w:t>
      </w:r>
    </w:p>
    <w:p>
      <w:pPr>
        <w:pStyle w:val="ArticleBody"/>
        <w:jc w:val="left"/>
      </w:pPr>
      <w:r>
        <w:rPr>
          <w:rFonts w:ascii="Times New Roman" w:hAnsi="Times New Roman" w:eastAsia="Times New Roman" w:cs="Times New Roman"/>
        </w:rPr>
        <w:t>Pokšhakyata taꞌa ni kpaꞌa nuxi ñaá kaꞌnu ña historia yáa ángel xíni ka’an ió angel uu, kúu metodología ni kachi Williams Miller kaꞌan regla sagrada interpretación profética. Regla kúu ni jiniñuꞌu ñáa yivi koto vaꞌa mensaje yáa Midnight Cry, te mensaje yáa kúu mensaje yivi lluvia tardía ña historia yáa. Pokšhakyata taꞌa ni kpaꞌa nuxi ñaá kaꞌnu ña historia yáa ángel uni kúu metodología ni ndasaꞌa “Prophetic Keys”. Regla yáa káni jiniñuꞌu iin-ka ndéé regla Williams Miller, táa koto vaꞌa mensaje yáa Midnight Cry ña historia yoó kuáꞌa viko, te mensaje yáa kúu saꞌa ka’an ndee vitin jaꞌa regla yáa, kúu mensaje lluvia tardía ña últimos días. Regla Miller kúu lluvia temprana ña historia profética yuku bestia ñuꞌu, te regla yáa ndaꞌa iin-ka ndéé “Prophetic Keys” kúu lluvia tardía ña historia profética bestia ñuꞌu.</w:t>
      </w:r>
    </w:p>
    <w:p>
      <w:pPr>
        <w:pStyle w:val="ArticleBody"/>
        <w:jc w:val="left"/>
      </w:pPr>
      <w:r>
        <w:rPr>
          <w:rFonts w:ascii="Times New Roman" w:hAnsi="Times New Roman" w:eastAsia="Times New Roman" w:cs="Times New Roman"/>
        </w:rPr>
        <w:t>Mvua ya mwisho ni mbinu inayotumika kuizalisha ujumbe. Wapo wale wanaodanganyika kwa sababu wanatafuta uzoefu wa mvua ya mwisho, bila kwanza kuutafuta ujumbe unaozalisha uzoefu huo. Makanisa ya Kipentekoste ya Ukristo ni mfano wa wazi wa udanganyifu huo. Aina iyo hiyo ya mwelekeo usiofaa inapatikana pia kwa wale wanaoutafuta ujumbe wa mvua ya mwisho, lakini wanakataa kuitafuta mbinu inayoitambulisha na kuuthibitisha ujumbe wa mvua ya mwisho. Bila mbinu sahihi, ujumbe sahihi hauwezi kutambuliwa. Bila ujumbe sahihi, uzoefu sahihi hauwezekani kabisa.</w:t>
      </w:r>
    </w:p>
    <w:p>
      <w:pPr>
        <w:pStyle w:val="ArticleBody"/>
        <w:jc w:val="left"/>
      </w:pPr>
      <w:r>
        <w:rPr>
          <w:rFonts w:ascii="Times New Roman" w:hAnsi="Times New Roman" w:eastAsia="Times New Roman" w:cs="Times New Roman"/>
        </w:rPr>
        <w:t>Bohlokwa bja therešo ye ya Beibele ga bo lemogwe ke ba bantši, gobane ga se ba ka ba naganišiša ka kgonego ya gore go na le tsela e tee ye e nepagetšego ya go ithuta Beibele, le gore go na le ditsela tše dintši tše di fošagetšego tša go ithuta Beibele. Tsela e fošagetšego ya go ithuta Beibele, yeo e kgethwago gantši kudu go feta tšohle, ke go bota dikgopolo tša banna ba bangwe mabapi le seo Beibele e se rutago. Taba ye ke ye e tlwaelegilego kudu go batho, moo kereke e nngwe le e nngwe e hlomago tshepedišo ya go rarolla tlhoko ye yeo e lemogwago ka phošo ke mehlape ya yona. Tlhoko yeo ya maaka e tšweletša modiro wa maaka wa go hloma tshepedišo ya baetapele bao ba hlaolwago e le ditsebi tša moya tša kwešišo ya Beibele, gore ba laole ka mo go nepagetšego kwešišo ya mohlape wo o sa rutwago. Beibele e bolela ka tshepedišo ye e rulagantšwego gabotse ya sebopego sa kereke, yeo e akaretšago bagolo, baporofeta le barutiši, eupša Beibele ga e ke e dumelela tshenyo ya thulaganyo ya kereke yeo e tšweletšago tshepedišo ya baetapele bao ba hlomilwego semmušo gore ba hlaole seo e lego therešo goba seo e sego therešo, gomme ka morago ga moo, ba laole gore ke mang yo e lego mokgelogi le gore ke mang yo e sego mokgelogi.</w:t>
      </w:r>
    </w:p>
    <w:p>
      <w:pPr>
        <w:pStyle w:val="ArticleScripture"/>
        <w:jc w:val="left"/>
      </w:pPr>
      <w:r>
        <w:rPr>
          <w:rFonts w:ascii="Times New Roman" w:hAnsi="Times New Roman" w:eastAsia="Times New Roman" w:cs="Times New Roman"/>
        </w:rPr>
        <w:t>Boitekanele go itshupa o amogelesega mo Modimong, o le modiri yo o sa tlhokeng go tlhabiwa ke ditlhong, o kgaoganya lefoko la boammaaruri sentle. 2 Timotheo 2:15.</w:t>
      </w:r>
    </w:p>
    <w:p>
      <w:pPr>
        <w:pStyle w:val="ArticleBody"/>
        <w:jc w:val="left"/>
      </w:pPr>
      <w:r>
        <w:rPr>
          <w:rFonts w:ascii="Times New Roman" w:hAnsi="Times New Roman" w:eastAsia="Times New Roman" w:cs="Times New Roman"/>
        </w:rPr>
        <w:t>Moeta-pele wa kereke o tshwanetse go kgothatsa, go kgalemela, go ruta le go disa kgatlhanong le dithuto tsa maaka le bao ba tsweletsang dithuto tseo tsa maaka, mme mongwe le mongwe wa rona o tshwanetse go “ithuta gore” a “itlhagise a amogelesega mo go Modimo,” ka go “aroganya lefoko la boammaaruri sentle.” Fa re dira jalo, re tshwanetse go itse mokgwa o Baebele e o supang e le tsela e e siameng ya go aroganya lefoko la boammaaruri sentle. Buka ya Isaia e tlhagisa dintlha tseno mo tikologong ya pula ya bofelo, jalo he ke gone kwa re tla simololang teng.</w:t>
      </w:r>
    </w:p>
    <w:p>
      <w:pPr>
        <w:pStyle w:val="ArticleScripture"/>
        <w:jc w:val="left"/>
      </w:pPr>
      <w:r>
        <w:rPr>
          <w:rFonts w:ascii="Times New Roman" w:hAnsi="Times New Roman" w:eastAsia="Times New Roman" w:cs="Times New Roman"/>
        </w:rPr>
        <w:t>Na tsatsi la Yehovha u ta xupula leviyathani hi banga rakwe ro vava ni lerikulu ni ra matimba, ku nga leviyathani, nyoka leyi tsutsumaka; hambi ku ri leviyathani, nyoka leyi govekeke; kutani u ta dlaya dragona leyi nga elwandle. Hi siku rero yimbelelelani hi yena, mi ku: Nsimu ya vhinyo byo tshwuka. Mina Yehovha ndzi yi hlayisa; ndzi ta yi cheleta nkarhi hinkwawo; leswaku ku nga vi na loyi a yi vavisaka, ndzi ta yi rindza vusiku ni nhlikanhi. Vukarhi a byi kona eka mina; i mani la nga ta ndzi lwisa hi mitwa ni swigatlu enyimpini? A ndzi ta hundza exikarhi ka swona, ndzi swi hisa swin’we. Kumbe a a khome matimba ya mina, leswaku a endla ku rhula na mina; kutani u ta endla ku rhula na mina. U ta endla leswaku lava humaka eka Yakobo va dzima timitsu; Israele u ta tlhela a pfuka, a humelela ni ku byala marhambu, kutani a tata misava hinkwayo hi mihandzu. Xana u n'wi ba kukota hilaha a baweke lava n'wi bireke ha kona ke? Kumbe xana u dlayiwile hi ku fana ni ku dlayiwa ka lava dlayiweke hi yena ke? Hi mpimo, loko xi hluka, u ta kanetana na xona; u sivela mheho yakwe yo kariha hi siku ra mheho ya le vuxeni. Hikwalaho ka leswi, vubihi bya Yakobo byi ta susiwa; kutani lexi hi xona mihandzu hinkwayo ya ku susiwa ka xidyoho xa yena; loko a endla maribye hinkwawo ya alitari ku fana ni maribye ya choko lama pfotlosiweke, swihlahla swo kwetsima ni swifaniso a swi nge ha yima. Kambe muti lowu sirheleriweke wu ta hundzuka rhumbi, naswona vutshamo byi ta tshikiwa, byi siyiwa kukota mananga; kona rhole ri ta dya, kona ri ta etlela, kutani ri heta marhavi ya wona. Loko marhavi ya wona ma omile, ma ta tshoviwa; vavasati va ta ta ma khwaxa hi ndzilo; hikuva i tiko leri nga riki na ku twisisa; hikwalaho la va endleke a nge va tweli vusiwana, naswona la va vumbeke a nge va kombi tintswalo. Kutani swi ta endleka hi siku rero leswaku Yehovha u ta hlanganisa ku sukela enkoveni wa nambu ku ya fika enambyeni wa Egipta, naswona n’wina mi ta hlengeletiwa un’we-un’we, n’wina vana va Israele. Kutani swi ta endleka hi siku rero leswaku mhalamhala leyikulu yi ta chayiwa, kutani lava a va ri kusuhi ni ku lova etikweni ra Asiriya, ni lava cukumetiweke etikweni ra Egipta, va ta ta, va gandzela Yehovha entshaveni yo kwetsima eYerusalema. Esaya 27:1–13.</w:t>
      </w:r>
    </w:p>
    <w:p>
      <w:pPr>
        <w:pStyle w:val="ArticleBody"/>
        <w:jc w:val="left"/>
      </w:pPr>
      <w:r>
        <w:rPr>
          <w:rFonts w:ascii="Times New Roman" w:hAnsi="Times New Roman" w:eastAsia="Times New Roman" w:cs="Times New Roman"/>
        </w:rPr>
        <w:t>Katika makala zilizotangulia, tumekuwa tukishughulikia mara kwa mara “bendera” inayoinuliwa ili kuwaita watoto wengine wa Mungu watoke Babeli. Aya ya mwisho ya sura ya ishirini na saba ya Isaya inahusu kazi ya bendera hiyo inaposema, “na tarumbeta kubwa itapigwa, nao watakuja wale waliokuwa tayari kuangamia katika nchi ya Ashuru.” Ashuru ni ishara ya Babeli katika siku za mwisho, nao wale wanaousikia ujumbe wa onyo wa kutoka Babeli katika aya hiyo, huja na kuabudu pamoja na wale wanaowakilishwa kama wale mia moja na arobaini na nne elfu ambao kwa unabii wamewekwa katika “mlima mtakatifu huko Yerusalemu.”</w:t>
      </w:r>
    </w:p>
    <w:p>
      <w:pPr>
        <w:pStyle w:val="ArticleBody"/>
        <w:jc w:val="left"/>
      </w:pPr>
      <w:r>
        <w:rPr>
          <w:rFonts w:ascii="Times New Roman" w:hAnsi="Times New Roman" w:eastAsia="Times New Roman" w:cs="Times New Roman"/>
        </w:rPr>
        <w:t>Ayat itu berkata, “dan akan terjadi pada hari itu.” “Hari itu,” yaitu hari ketika suara kedua dalam Wahyu pasal delapan belas memanggil anak-anak Allah yang lain keluar dari Babel, menjadi latar bagi seluruh pasal itu. Suara kedua dalam Wahyu pasal delapan belas berseru pada saat hukum hari Minggu diberlakukan, ketika perempuan sundal Tirus diingat.</w:t>
      </w:r>
    </w:p>
    <w:p>
      <w:pPr>
        <w:pStyle w:val="ArticleScripture"/>
        <w:jc w:val="left"/>
      </w:pPr>
      <w:r>
        <w:rPr>
          <w:rFonts w:ascii="Times New Roman" w:hAnsi="Times New Roman" w:eastAsia="Times New Roman" w:cs="Times New Roman"/>
        </w:rPr>
        <w:t>Lalu aku mendengar suatu suara lain dari syurga, berkata, Keluarlah daripadanya, hai umat-Ku, supaya kamu jangan mengambil bahagian dalam dosa-dosanya, dan supaya kamu jangan menerima malapetakanya. Kerana dosa-dosanya telah sampai ke syurga, dan Allah telah mengingati segala kejahatannya. Wahyu 18:4, 5.</w:t>
      </w:r>
    </w:p>
    <w:p>
      <w:pPr>
        <w:pStyle w:val="ArticleBody"/>
        <w:jc w:val="left"/>
      </w:pPr>
      <w:r>
        <w:rPr>
          <w:rFonts w:ascii="Times New Roman" w:hAnsi="Times New Roman" w:eastAsia="Times New Roman" w:cs="Times New Roman"/>
        </w:rPr>
        <w:t>Isaiah sapta dua puluh tujuh diawali dengan menunjukkan hari yang sama seperti pada akhir pasal itu, ketika dikatakannya, “Pada hari itu TUHAN dengan pedang-Nya yang keras, besar, dan kuat akan menghukum Lewiatan, ular yang meluncur itu, yakni Lewiatan, ular yang berliku itu; dan Ia akan membunuh naga yang ada di laut.”</w:t>
      </w:r>
    </w:p>
    <w:p>
      <w:pPr>
        <w:pStyle w:val="ArticleBody"/>
        <w:jc w:val="left"/>
      </w:pPr>
      <w:r>
        <w:rPr>
          <w:rFonts w:ascii="Times New Roman" w:hAnsi="Times New Roman" w:eastAsia="Times New Roman" w:cs="Times New Roman"/>
        </w:rPr>
        <w:t>На нямделны заңда Худайниң иҗраий, җазаға тартидиған һөкүми әҗдиһаниң падишаһлиқлири (Бирләшкән Милләтләр Тәшкилати), вәһший һайванниң (папилиқ) вә ялған пәйғәмбәрниң (Америка Қошма Штатлири) үстигә башлиниду. Нямделны заңда ялған пәйғәмбәр Муқәддәс Китаб пәйғәмбәрлигидики алтинчи падишаһлиқ сүпитидә ғулап чүшиду, вә миллий муртадлиқ миллий вәйранчилиқни пәйда қилиду. Нямделны заң — Худайниң иҗраий һөкүмлириниң әҗдиһа үстигә чүшүшкә башлайдиған җайидур; у Шәйтан болуп (вә униң йәр йүзидики падишаһлиқи әҗдиһа сүпитидә ипадилиниду), шундақла вәһший һайван вә ялған пәйғәмбәр үстигиму чүшиду. Бу нямделны заңда башлинидиған тәдриҗий җазадур. Ишая китавиниң йигирмә йәттиинчи бабыниң беши вә ахири нямделны заңдур, вә бу баб нямделны заңға елип келидиған вә униңдин кейин әгишидиған тарих билән биваситә бағлинишлиқ болған муәййән мәсилиләрни көрситиду.</w:t>
      </w:r>
    </w:p>
    <w:p>
      <w:pPr>
        <w:pStyle w:val="ArticleBody"/>
        <w:jc w:val="left"/>
      </w:pPr>
      <w:r>
        <w:rPr>
          <w:rFonts w:ascii="Nirmala UI" w:hAnsi="Nirmala UI" w:eastAsia="Nirmala UI" w:cs="Nirmala UI"/>
        </w:rPr>
        <w:t>నాము</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ఏడవ</w:t>
      </w:r>
      <w:r>
        <w:rPr>
          <w:rFonts w:ascii="Times New Roman" w:hAnsi="Times New Roman" w:eastAsia="Times New Roman" w:cs="Times New Roman"/>
        </w:rPr>
        <w:t xml:space="preserve"> </w:t>
      </w:r>
      <w:r>
        <w:rPr>
          <w:rFonts w:ascii="Nirmala UI" w:hAnsi="Nirmala UI" w:eastAsia="Nirmala UI" w:cs="Nirmala UI"/>
        </w:rPr>
        <w:t>అధ్యాయాన్ని</w:t>
      </w:r>
      <w:r>
        <w:rPr>
          <w:rFonts w:ascii="Times New Roman" w:hAnsi="Times New Roman" w:eastAsia="Times New Roman" w:cs="Times New Roman"/>
        </w:rPr>
        <w:t xml:space="preserve"> </w:t>
      </w:r>
      <w:r>
        <w:rPr>
          <w:rFonts w:ascii="Nirmala UI" w:hAnsi="Nirmala UI" w:eastAsia="Nirmala UI" w:cs="Nirmala UI"/>
        </w:rPr>
        <w:t>పరిశీలిస్తున్నాము</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ఎనిమిదవ</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తొమ్మిదవ</w:t>
      </w:r>
      <w:r>
        <w:rPr>
          <w:rFonts w:ascii="Times New Roman" w:hAnsi="Times New Roman" w:eastAsia="Times New Roman" w:cs="Times New Roman"/>
        </w:rPr>
        <w:t xml:space="preserve"> </w:t>
      </w:r>
      <w:r>
        <w:rPr>
          <w:rFonts w:ascii="Nirmala UI" w:hAnsi="Nirmala UI" w:eastAsia="Nirmala UI" w:cs="Nirmala UI"/>
        </w:rPr>
        <w:t>అధ్యాయాలకు</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నేపథ్యాన్ని</w:t>
      </w:r>
      <w:r>
        <w:rPr>
          <w:rFonts w:ascii="Times New Roman" w:hAnsi="Times New Roman" w:eastAsia="Times New Roman" w:cs="Times New Roman"/>
        </w:rPr>
        <w:t xml:space="preserve"> </w:t>
      </w:r>
      <w:r>
        <w:rPr>
          <w:rFonts w:ascii="Nirmala UI" w:hAnsi="Nirmala UI" w:eastAsia="Nirmala UI" w:cs="Nirmala UI"/>
        </w:rPr>
        <w:t>స్థాపిస్తుంది</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అధ్యాయాలలో</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ఉత్తర</w:t>
      </w:r>
      <w:r>
        <w:rPr>
          <w:rFonts w:ascii="Times New Roman" w:hAnsi="Times New Roman" w:eastAsia="Times New Roman" w:cs="Times New Roman"/>
        </w:rPr>
        <w:t xml:space="preserve"> </w:t>
      </w:r>
      <w:r>
        <w:rPr>
          <w:rFonts w:ascii="Nirmala UI" w:hAnsi="Nirmala UI" w:eastAsia="Nirmala UI" w:cs="Nirmala UI"/>
        </w:rPr>
        <w:t>వర్షమును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విధానశాస్త్రముగా</w:t>
      </w:r>
      <w:r>
        <w:rPr>
          <w:rFonts w:ascii="Times New Roman" w:hAnsi="Times New Roman" w:eastAsia="Times New Roman" w:cs="Times New Roman"/>
        </w:rPr>
        <w:t xml:space="preserve"> </w:t>
      </w:r>
      <w:r>
        <w:rPr>
          <w:rFonts w:ascii="Nirmala UI" w:hAnsi="Nirmala UI" w:eastAsia="Nirmala UI" w:cs="Nirmala UI"/>
        </w:rPr>
        <w:t>నిర్వచించిన</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కనుగొంటాము</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అధ్యాయాలపై</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నాలుగవ</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ఐదవ</w:t>
      </w:r>
      <w:r>
        <w:rPr>
          <w:rFonts w:ascii="Times New Roman" w:hAnsi="Times New Roman" w:eastAsia="Times New Roman" w:cs="Times New Roman"/>
        </w:rPr>
        <w:t xml:space="preserve"> </w:t>
      </w:r>
      <w:r>
        <w:rPr>
          <w:rFonts w:ascii="Nirmala UI" w:hAnsi="Nirmala UI" w:eastAsia="Nirmala UI" w:cs="Nirmala UI"/>
        </w:rPr>
        <w:t>అధ్యాయాలను</w:t>
      </w:r>
      <w:r>
        <w:rPr>
          <w:rFonts w:ascii="Times New Roman" w:hAnsi="Times New Roman" w:eastAsia="Times New Roman" w:cs="Times New Roman"/>
        </w:rPr>
        <w:t xml:space="preserve"> </w:t>
      </w:r>
      <w:r>
        <w:rPr>
          <w:rFonts w:ascii="Nirmala UI" w:hAnsi="Nirmala UI" w:eastAsia="Nirmala UI" w:cs="Nirmala UI"/>
        </w:rPr>
        <w:t>ఉంచుట</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ప్రాముఖ్యతను</w:t>
      </w:r>
      <w:r>
        <w:rPr>
          <w:rFonts w:ascii="Times New Roman" w:hAnsi="Times New Roman" w:eastAsia="Times New Roman" w:cs="Times New Roman"/>
        </w:rPr>
        <w:t xml:space="preserve"> </w:t>
      </w:r>
      <w:r>
        <w:rPr>
          <w:rFonts w:ascii="Nirmala UI" w:hAnsi="Nirmala UI" w:eastAsia="Nirmala UI" w:cs="Nirmala UI"/>
        </w:rPr>
        <w:t>మనకు</w:t>
      </w:r>
      <w:r>
        <w:rPr>
          <w:rFonts w:ascii="Times New Roman" w:hAnsi="Times New Roman" w:eastAsia="Times New Roman" w:cs="Times New Roman"/>
        </w:rPr>
        <w:t xml:space="preserve"> </w:t>
      </w:r>
      <w:r>
        <w:rPr>
          <w:rFonts w:ascii="Nirmala UI" w:hAnsi="Nirmala UI" w:eastAsia="Nirmala UI" w:cs="Nirmala UI"/>
        </w:rPr>
        <w:t>గ్రహింపజేయును</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ఏడవ</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డ్రాగన్</w:t>
      </w:r>
      <w:r>
        <w:rPr>
          <w:rFonts w:ascii="Times New Roman" w:hAnsi="Times New Roman" w:eastAsia="Times New Roman" w:cs="Times New Roman"/>
        </w:rPr>
        <w:t xml:space="preserve"> </w:t>
      </w:r>
      <w:r>
        <w:rPr>
          <w:rFonts w:ascii="Nirmala UI" w:hAnsi="Nirmala UI" w:eastAsia="Nirmala UI" w:cs="Nirmala UI"/>
        </w:rPr>
        <w:t>రాజ్యంపై</w:t>
      </w:r>
      <w:r>
        <w:rPr>
          <w:rFonts w:ascii="Times New Roman" w:hAnsi="Times New Roman" w:eastAsia="Times New Roman" w:cs="Times New Roman"/>
        </w:rPr>
        <w:t xml:space="preserve"> </w:t>
      </w:r>
      <w:r>
        <w:rPr>
          <w:rFonts w:ascii="Nirmala UI" w:hAnsi="Nirmala UI" w:eastAsia="Nirmala UI" w:cs="Nirmala UI"/>
        </w:rPr>
        <w:t>క్రమక్రమమైన</w:t>
      </w:r>
      <w:r>
        <w:rPr>
          <w:rFonts w:ascii="Times New Roman" w:hAnsi="Times New Roman" w:eastAsia="Times New Roman" w:cs="Times New Roman"/>
        </w:rPr>
        <w:t xml:space="preserve"> </w:t>
      </w:r>
      <w:r>
        <w:rPr>
          <w:rFonts w:ascii="Nirmala UI" w:hAnsi="Nirmala UI" w:eastAsia="Nirmala UI" w:cs="Nirmala UI"/>
        </w:rPr>
        <w:t>శిక్షారంభాన్ని</w:t>
      </w:r>
      <w:r>
        <w:rPr>
          <w:rFonts w:ascii="Times New Roman" w:hAnsi="Times New Roman" w:eastAsia="Times New Roman" w:cs="Times New Roman"/>
        </w:rPr>
        <w:t xml:space="preserve"> </w:t>
      </w:r>
      <w:r>
        <w:rPr>
          <w:rFonts w:ascii="Nirmala UI" w:hAnsi="Nirmala UI" w:eastAsia="Nirmala UI" w:cs="Nirmala UI"/>
        </w:rPr>
        <w:t>గుర్తించిన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కాలంలో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ప్రజలకు</w:t>
      </w:r>
      <w:r>
        <w:rPr>
          <w:rFonts w:ascii="Times New Roman" w:hAnsi="Times New Roman" w:eastAsia="Times New Roman" w:cs="Times New Roman"/>
        </w:rPr>
        <w:t xml:space="preserve"> “</w:t>
      </w:r>
      <w:r>
        <w:rPr>
          <w:rFonts w:ascii="Nirmala UI" w:hAnsi="Nirmala UI" w:eastAsia="Nirmala UI" w:cs="Nirmala UI"/>
        </w:rPr>
        <w:t>ఆమెకు</w:t>
      </w:r>
      <w:r>
        <w:rPr>
          <w:rFonts w:ascii="Times New Roman" w:hAnsi="Times New Roman" w:eastAsia="Times New Roman" w:cs="Times New Roman"/>
        </w:rPr>
        <w:t xml:space="preserve"> </w:t>
      </w:r>
      <w:r>
        <w:rPr>
          <w:rFonts w:ascii="Nirmala UI" w:hAnsi="Nirmala UI" w:eastAsia="Nirmala UI" w:cs="Nirmala UI"/>
        </w:rPr>
        <w:t>పాడుడి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ఆజ్ఞాపించబడినదని</w:t>
      </w:r>
      <w:r>
        <w:rPr>
          <w:rFonts w:ascii="Times New Roman" w:hAnsi="Times New Roman" w:eastAsia="Times New Roman" w:cs="Times New Roman"/>
        </w:rPr>
        <w:t xml:space="preserve"> </w:t>
      </w:r>
      <w:r>
        <w:rPr>
          <w:rFonts w:ascii="Nirmala UI" w:hAnsi="Nirmala UI" w:eastAsia="Nirmala UI" w:cs="Nirmala UI"/>
        </w:rPr>
        <w:t>నమోదు</w:t>
      </w:r>
      <w:r>
        <w:rPr>
          <w:rFonts w:ascii="Times New Roman" w:hAnsi="Times New Roman" w:eastAsia="Times New Roman" w:cs="Times New Roman"/>
        </w:rPr>
        <w:t xml:space="preserve"> </w:t>
      </w:r>
      <w:r>
        <w:rPr>
          <w:rFonts w:ascii="Nirmala UI" w:hAnsi="Nirmala UI" w:eastAsia="Nirmala UI" w:cs="Nirmala UI"/>
        </w:rPr>
        <w:t>చేస్తుంది</w:t>
      </w:r>
      <w:r>
        <w:rPr>
          <w:rFonts w:ascii="Times New Roman" w:hAnsi="Times New Roman" w:eastAsia="Times New Roman" w:cs="Times New Roman"/>
        </w:rPr>
        <w:t xml:space="preserve">. </w:t>
      </w:r>
      <w:r>
        <w:rPr>
          <w:rFonts w:ascii="Nirmala UI" w:hAnsi="Nirmala UI" w:eastAsia="Nirmala UI" w:cs="Nirmala UI"/>
        </w:rPr>
        <w:t>ఎవరికి</w:t>
      </w:r>
      <w:r>
        <w:rPr>
          <w:rFonts w:ascii="Times New Roman" w:hAnsi="Times New Roman" w:eastAsia="Times New Roman" w:cs="Times New Roman"/>
        </w:rPr>
        <w:t xml:space="preserve"> </w:t>
      </w:r>
      <w:r>
        <w:rPr>
          <w:rFonts w:ascii="Nirmala UI" w:hAnsi="Nirmala UI" w:eastAsia="Nirmala UI" w:cs="Nirmala UI"/>
        </w:rPr>
        <w:t>పాడవలెను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Javoka i ei wele cina e tiko ena ulutaga ni sere, ni ra sa na lagata “na vaini ni waini damudamu, sa maroroya ko Jiova.” Na italanoa ni vaini sai koya na italanoa ni tamata ni Kalou, ka a cavuta taumada o Aisea ena wase e lima.</w:t>
      </w:r>
    </w:p>
    <w:p>
      <w:pPr>
        <w:pStyle w:val="ArticleScripture"/>
        <w:jc w:val="left"/>
      </w:pPr>
      <w:r>
        <w:rPr>
          <w:rFonts w:ascii="Times New Roman" w:hAnsi="Times New Roman" w:eastAsia="Times New Roman" w:cs="Times New Roman"/>
        </w:rPr>
        <w:t>Akane mmoa mɛto dwom ama me dɔfoɔ no, dwom bi a ɛfa me dɔfoɔ no bobeturo ho. Me dɔfoɔ no wɔ bobeturo bi wɔ bepɔ a ɛsow aba yiye so: na ɔtwaa ho ban, na oyii aboɔ no fii mu, na ɔde bobe paara dua a eye sen biara no dɔɔ mu, na ɔsii abantenten bi wɔ ne mfimfini, na ɔyɛɛ nsakyiamoa bi nso wɔ mu: na ɔhwɛɛ kwan sɛ ɛbɛsow bobe, nanso ɛsow bobe bɔne. Na afei, Ao Yerusalemfoɔ ne Yuda mmarima, mesrɛ mo, mommu me ne me bobeturo no ntam atɛn. Dɛn bio na anka wɔbɛtumi ayɛ ama me bobeturo no a manyɛ wɔ mu? Adɛn nti na, berɛ a mehwɛɛ kwan sɛ ɛbɛsow bobe no, ɛsowee bobe bɔne? Na afei, momma; mɛka akyerɛ mo deɛ mɛyɛ me bobeturo no: mɛyi n’aban no afi hɔ, na wɔbɛwe no ahye; na mabubu n’afasu no agu fam, na wɔatiatia so: na mɛma ada mpan; wɔrentwitwa no, na wɔrensisi fam no; na nsɛe ne nkyɛnkyɛn bɛfifiri mu aba: mɛhyɛ omununkum no nso sɛ wɔnnntɔ nsuo ngu so. Na Asafo Awurade no bobeturo ne Israel fie, na Yuda mmarima no ne n’afifideɛ a ɔpɛ; na ɔhwɛɛ atɛntrenee, nanso hwɛ, nhyɛsoɔ; trenee, nanso hwɛ, sufrɛ. Yesaia 5:1–5.</w:t>
      </w:r>
    </w:p>
    <w:p>
      <w:pPr>
        <w:pStyle w:val="ArticleBody"/>
        <w:jc w:val="left"/>
      </w:pPr>
      <w:r>
        <w:rPr>
          <w:rFonts w:ascii="Times New Roman" w:hAnsi="Times New Roman" w:eastAsia="Times New Roman" w:cs="Times New Roman"/>
        </w:rPr>
        <w:t>Mo hisitoring blong kraeses blong loa blong Sande, ol manmeri blong God oli mas singsing long singsing blong waen gaden long ol manmeri blong God, from we singsing ia i talem se, “Mo naoia, O ol man blong Jerusalem, mo ol man blong Juda, mi prea long yufala, jajem bitwin mi mo waen gaden blong mi.” Singsing blong waen gaden hem i singsing we i soemaot taem we God i stap pasem wan pipol blong fasen kawenen, taem God i stap go insaed long kawenen wetem olgeta we Pita i talem se, “bifo oli no wan pipol, be naoia oli pipol blong God.” Hem i soemaot tu se i no gat ren i foldaon long waen gaden, mo long rod ia hem i makemaot wok blong Elaeja we i kam long taem ya, mo hem nomo i save mekem ren i kam long taem ya. Yumi save se singsing ia i tokbaot taem we God i stap pasem wan pipol blong kawenen, from we Kraes i bin singsingem singsing blong waen gaden long olfala Isrel, long taem ya stret we olfala Isrel i stap kasem pas, mo long semtaem God i stap go insaed long kawenen wetem spiritua Isrel.</w:t>
      </w:r>
    </w:p>
    <w:p>
      <w:pPr>
        <w:pStyle w:val="ArticleScripture"/>
        <w:jc w:val="left"/>
      </w:pPr>
      <w:r>
        <w:rPr>
          <w:rFonts w:ascii="Times New Roman" w:hAnsi="Times New Roman" w:eastAsia="Times New Roman" w:cs="Times New Roman"/>
        </w:rPr>
        <w:t>Dengarlah suatu perumpamaan yang lain: Ada seorang tuan rumah yang menanami sebuah kebun anggur, lalu memasang pagar sekelilingnya, menggali tempat pemerasan anggur di dalamnya, mendirikan sebuah menara, kemudian menyewakannya kepada para penggarap kebun anggur, lalu berangkat ke negeri yang jauh. Dan ketika musim buah telah dekat, ia mengutus hamba-hambanya kepada para penggarap itu, supaya mereka menerima hasil buahnya. Tetapi para penggarap itu menangkap hamba-hambanya, memukul yang seorang, membunuh yang lain, dan melempari yang lain lagi dengan batu. Sekali lagi ia mengutus hamba-hamba lain, lebih banyak daripada yang pertama; dan mereka memperlakukan mereka demikian juga. Tetapi akhirnya ia mengutus anaknya kepada mereka, katanya, Mereka akan menghormati anakku. Namun ketika para penggarap itu melihat sang anak, mereka berkata seorang kepada yang lain, Inilah ahli waris itu; marilah kita membunuh dia, lalu merampas warisannya. Maka mereka menangkap dia, melemparkannya ke luar kebun anggur itu, lalu membunuhnya. Karena itu, apabila tuan kebun anggur itu datang, apakah yang akan dilakukannya terhadap para penggarap itu? Mereka berkata kepadanya, Ia akan membinasakan orang-orang jahat itu dengan kebinasaan yang amat dahsyat, lalu menyewakan kebun anggurnya kepada para penggarap lain, yang akan menyerahkan kepadanya hasil buah pada musimnya. Kata Yesus kepada mereka, Belum pernahkah kamu membaca dalam Kitab Suci, Batu yang dibuang oleh tukang-tukang bangunan, batu itu juga telah menjadi batu penjuru: hal ini adalah perbuatan Tuhan, dan ajaib pada mata kita? Sebab itu Aku berkata kepadamu, Kerajaan Allah akan diambil daripadamu dan diberikan kepada suatu bangsa yang menghasilkan buahnya. Dan barangsiapa jatuh ke atas batu ini, ia akan remuk; tetapi barangsiapa ditimpa batu ini, ia akan hancur luluh. Ketika imam-imam kepala dan orang-orang Farisi mendengar perumpamaan-perumpamaan-Nya, mereka pun mengetahui bahwa Ia berbicara tentang mereka. Matius 21:33–45.</w:t>
      </w:r>
    </w:p>
    <w:p>
      <w:pPr>
        <w:pStyle w:val="ArticleBody"/>
        <w:jc w:val="left"/>
      </w:pPr>
      <w:r>
        <w:rPr>
          <w:rFonts w:ascii="Times New Roman" w:hAnsi="Times New Roman" w:eastAsia="Times New Roman" w:cs="Times New Roman"/>
        </w:rPr>
        <w:t>Timp Jesus i kaenim song bilong gaden wain bilong God long Israel bilong bipo, ol i pulap tru long gutpela tingting na strong bilong tok, olsem na taim Jesus i askim ol Juda i save tok pait nating, bai Bikpela bilong gaden wain i mekim wanem long ol husat i kilim Pikinini, ol i no inap long abrusim stretpela bekim, taim ol i tok olsem, “Em bai bagarapim nogut tru ol dispela man nogut, na bai givim gaden wain bilong em long ol arapela wasman bilong gaden, husat bai givim long em ol kaikai bilong en long ol stretpela taim bilong ol.”</w:t>
      </w:r>
    </w:p>
    <w:p>
      <w:pPr>
        <w:pStyle w:val="ArticleBody"/>
        <w:jc w:val="left"/>
      </w:pPr>
      <w:r>
        <w:rPr>
          <w:rFonts w:ascii="Times New Roman" w:hAnsi="Times New Roman" w:eastAsia="Times New Roman" w:cs="Times New Roman"/>
        </w:rPr>
        <w:t>Yesu lalu dengan serta-merta menambahkan satu lagi ayat kepada nyanyian itu, ketika Dia menyanyikan tentang batu yang ditolak, dan merangkum jawapan mereka dengan rangkap penutup apabila Dia menyatakan, “Sebab itu Aku berkata kepadamu, Kerajaan Tuhan akan diambil daripadamu, dan diberikan kepada suatu bangsa yang menghasilkan buahnya. Dan barangsiapa yang jatuh ke atas batu ini akan remuk: tetapi barangsiapa yang ditimpa olehnya, ia akan diremukkan menjadi debu.” Ungkapan “diremukkan menjadi debu” itu bergema dengan Yesaya dua puluh tujuh yang menjadikan “segala batu mezbah seperti batu kapur yang dipecah-pecahkan, tiang-tiang berhala dan patung-patung tidak akan tetap berdiri.” Kedua-duanya merupakan rujukan kepada pekerjaan kebangunan yang dilaksanakan oleh Yosia, yang melambangkan mereka pada akhir zaman yang menemui semula “tujuh masa”, iaitu batu sandungan yang menghancurkan mereka yang enggan menganggapnya berharga.</w:t>
      </w:r>
    </w:p>
    <w:p>
      <w:pPr>
        <w:pStyle w:val="ArticleBody"/>
        <w:jc w:val="left"/>
      </w:pPr>
      <w:r>
        <w:rPr>
          <w:rFonts w:ascii="Times New Roman" w:hAnsi="Times New Roman" w:eastAsia="Times New Roman" w:cs="Times New Roman"/>
        </w:rPr>
        <w:t>Ndzi siku dzra nawu wa Sonto, leswi yimela hi Ezaya ndzima ya 27, lavaya “khale a va nga li tiko,” va ta yimbelela risimu dzra nsimu ya vhinya ya Yehovha ya wayini ya kubomvu. Minkandzrihu leyi yi tlhele yi kombisa kanyingi leswaku a ku na zrumu dzra wuzrazru loko ku nga zranga hi zrumu dzra ku sungula ni dzra wubidzri. Nawu wa Sonto hi wone zrumu dzra wuzrazru, nakone siku dzra nawu wa Sonto dzri katsa matimu ya zrumu dzra ku sungula ni dzra wubidzri. Ka ndzima ya 27 ya Ezaya, nawu wa Sonto wu kombisa nkarhi lowu yimeliwiki ka Daniyele ndzima ya 1, kutani nakone ka Daniyele tindzima ta 1 ku ya ka 3. Hi vumprofeta, siku dzra nawu wa Sonto ka ndzima ya 27 dzri kombisa matimu ya 11 ya Setembru, 2001, loko zrumu dzra ku sungula dzri nyikiwe ntamu ku ya fika ka nawu wa Sonto lowu taka hi ku kahlula.</w:t>
      </w:r>
    </w:p>
    <w:p>
      <w:pPr>
        <w:pStyle w:val="ArticleBody"/>
        <w:jc w:val="left"/>
      </w:pPr>
      <w:r>
        <w:rPr>
          <w:rFonts w:ascii="Times New Roman" w:hAnsi="Times New Roman" w:eastAsia="Times New Roman" w:cs="Times New Roman"/>
        </w:rPr>
        <w:t>Re tla tswela pele mo go sekasekeng ga rona pina e ba ba rekolotsweng ba tshwanetseng go e bolela mo nakong e e isang kwa ntlheng e mo go yone seaka sa Roma se tla simololang go opela pina ya sone, mo setlhogong se se latelang.</w:t>
      </w:r>
    </w:p>
    <w:p>
      <w:pPr>
        <w:pStyle w:val="ArticleScripture"/>
        <w:jc w:val="left"/>
      </w:pPr>
      <w:r>
        <w:rPr>
          <w:rFonts w:ascii="Times New Roman" w:hAnsi="Times New Roman" w:eastAsia="Times New Roman" w:cs="Times New Roman"/>
        </w:rPr>
        <w:t>Lalu aku melihat, dan tampaklah seekor Anak Domba berdiri di Gunung Sion, dan bersama-Nya seratus empat puluh empat ribu orang, yang pada dahi mereka tertulis nama Bapa-Nya. Dan aku mendengar suatu suara dari surga, seperti bunyi air bah, dan seperti bunyi guruh yang dahsyat; dan aku mendengar bunyi pemain-pemain kecapi yang memainkan kecapinya. Dan mereka menyanyikan seolah-olah suatu nyanyian baru di hadapan takhta, dan di hadapan keempat makhluk hidup itu, dan para tua-tua; dan tidak seorang pun dapat mempelajari nyanyian itu selain seratus empat puluh empat ribu orang, yang telah ditebus dari bumi. Mereka adalah orang-orang yang tidak mencemarkan diri dengan perempuan-perempuan, karena mereka adalah perawan. Mereka adalah orang-orang yang mengikuti Anak Domba itu ke mana pun Ia pergi. Mereka telah ditebus dari antara manusia, sebagai buah sulung bagi Allah dan bagi Anak Domba itu. Dan di dalam mulut mereka tidak ditemukan tipu daya; sebab mereka tidak bercacat di hadapan takhta Allah. Wahyu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Dua Puluh</dc:title>
  <dc:subject>Daniel dan Wahyu: Menyingkap Permadani Nubuat tentang Bangkit dan Runtuhnya Kerajaan-Kerajaan</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