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Dua Puluh Empat</w:t>
      </w:r>
    </w:p>
    <w:p>
      <w:pPr>
        <w:pStyle w:val="ArticleSubtitle"/>
        <w:jc w:val="left"/>
      </w:pPr>
      <w:r>
        <w:rPr>
          <w:rFonts w:ascii="Arial" w:hAnsi="Arial" w:eastAsia="Arial" w:cs="Arial"/>
        </w:rPr>
        <w:t>Нимрод, Навуходоносор и Валтасар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Buku ya Danieli na Ufunuo ni kitabu kimoja, kwa hakika ileile kama Agano la Kale na Agano Jipya yalivyo kitabu kimoja. Muda mfupi kabla ya muda wa rehema kufungwa, Ufunuo wa Yesu Kristo unafunuliwa.</w:t>
      </w:r>
    </w:p>
    <w:p>
      <w:pPr>
        <w:pStyle w:val="ArticleScripture"/>
        <w:jc w:val="left"/>
      </w:pPr>
      <w:r>
        <w:rPr>
          <w:rFonts w:ascii="Times New Roman" w:hAnsi="Times New Roman" w:eastAsia="Times New Roman" w:cs="Times New Roman"/>
        </w:rPr>
        <w:t>Kutub ke, “Nggôk usèlem bâbâdhân nubuwât è dalam kitab nèki, sabab waktona sampun è dâlem.” Orèng se dhâlem kaṭeḍḍhân, biârèng tatap kaṭeḍḍhân; orèng se najjis, biârèng tatap najjis; orèng se benar, biârèng tatap benar; ben orèng se suci, biârèng tatap suci. “Ben, tengghu, Aku atèngka ghebey; ben upah-Ku sèrtâ Aku, ghebey mabalès ka sabân orèng sajhâ’ ban apa se èlakonè. Aku nika Alfa ben Omega, Permulaan ben Pangabisan, se Pèrtama ben se Pangabisan.” Wahyu 22:10–13.</w:t>
      </w:r>
    </w:p>
    <w:p>
      <w:pPr>
        <w:pStyle w:val="ArticleBody"/>
        <w:jc w:val="left"/>
      </w:pPr>
      <w:r>
        <w:rPr>
          <w:rFonts w:ascii="Times New Roman" w:hAnsi="Times New Roman" w:eastAsia="Times New Roman" w:cs="Times New Roman"/>
        </w:rPr>
        <w:t>“Peraturan penyebutan pertama” alkitabiah, yang mencakup kebenaran bahwa akhir suatu perkara digambarkan oleh permulaannya, menegaskan pentingnya tiga pasal pertama kitab Daniel, sebab itulah kebenaran pertama yang disebutkan dalam kitab yang adalah kitab Daniel dan Wahyu. Yesus adalah Alfa dan Omega, maka permulaan kitab yang adalah kitab Daniel dan Wahyu harus melambangkan kebenaran yang dimeteraibukakan pada akhir. Jadi, pada satu tingkat, kebenaran yang dimeteraibukakan itu adalah Injil yang kekal dari malaikat-malaikat dalam Wahyu empat belas.</w:t>
      </w:r>
    </w:p>
    <w:p>
      <w:pPr>
        <w:pStyle w:val="ArticleBody"/>
        <w:jc w:val="left"/>
      </w:pPr>
      <w:r>
        <w:rPr>
          <w:rFonts w:ascii="Times New Roman" w:hAnsi="Times New Roman" w:eastAsia="Times New Roman" w:cs="Times New Roman"/>
        </w:rPr>
        <w:t>Penyingkapan Yesus Kristus yang diperkenalkan dalam ayat pertama pasal satu Wahyu adalah pekabaran yang harus disampaikan kepada jemaat-jemaat ketika “waktunya sudah dekat,” dan waktu yang “sudah dekat” dalam pasal satu Wahyu itu haruslah waktu yang sama yang “sudah dekat,” tepat sebelum masa kasihan berakhir dalam pasal dua puluh dua Wahyu.</w:t>
      </w:r>
    </w:p>
    <w:p>
      <w:pPr>
        <w:pStyle w:val="ArticleScripture"/>
        <w:jc w:val="left"/>
      </w:pPr>
      <w:r>
        <w:rPr>
          <w:rFonts w:ascii="Times New Roman" w:hAnsi="Times New Roman" w:eastAsia="Times New Roman" w:cs="Times New Roman"/>
        </w:rPr>
        <w:t>Papatyan ni Jesucristo, a inpi Tio pyan ko, tapno ipakita kadagiti adipenna dagiti banag a masapul a mapasamak iti di mabayag; ket imbaonna, ket impakaammo na babaen ti anghelna iti adipenna a ni Juan: Isu nga nangipaneknek iti sao ti Tio, ken iti pammaneknek ni Jesucristo, ken kadagiti amin a banag a nakita na. Nagasat ti agbasa, ken dagidiay a dumngeg kadagiti sasao daytoy a padto, ket salimetmetanda dagiti banag a naisurat iti uneg dayta: ta asidegen ti tiempo. Papatyan 1:1-3.</w:t>
      </w:r>
    </w:p>
    <w:p>
      <w:pPr>
        <w:pStyle w:val="ArticleBody"/>
        <w:jc w:val="left"/>
      </w:pPr>
      <w:r>
        <w:rPr>
          <w:rFonts w:ascii="Times New Roman" w:hAnsi="Times New Roman" w:eastAsia="Times New Roman" w:cs="Times New Roman"/>
        </w:rPr>
        <w:t>Mesej yang merupakan mesej terakhir, yang dibukakan meterainya tepat sebelum masa percubaan berakhir, ketika “waktunya sudah dekat,” ialah mesej hujan akhir daripada malaikat kedua dan Seruan Tengah Malam. Itulah kebenaran yang berkaitan dengan “sejarah tersembunyi” tentang Tujuh Guruh. Itulah penyataan tentang “yang kedelapan daripada ketujuh-tujuh itu”, dan benang emas yang menenunkan semua penyataan berharga ini bersama-sama menjadi pakaian indah kebenaran Kristus ialah “tujuh kali” yang “berharga” dalam Imamat dua puluh enam. Daniel fasal satu, dan kemudian sekali lagi, Daniel fasal satu hingga tiga, ialah mesej itu. “Rahsia” dalam fasal dua, juga ialah mesej itu.</w:t>
      </w:r>
    </w:p>
    <w:p>
      <w:pPr>
        <w:pStyle w:val="ArticleBody"/>
        <w:jc w:val="left"/>
      </w:pPr>
      <w:r>
        <w:rPr>
          <w:rFonts w:ascii="Times New Roman" w:hAnsi="Times New Roman" w:eastAsia="Times New Roman" w:cs="Times New Roman"/>
        </w:rPr>
        <w:t>Kgaolo ya ntlha ya Daniele e emela molaetsa wa moengele wa ntlha, mme fela jaaka matshwao otlhe a boporofeti a melaetsa yotlhe ya baengele ba bararo a emetswe mo molaetseng wa moengele wa ntlha wa Kgaolo ya bolesome le bonè ya Baebele ya Tshenolo, le tsotlhe tsa boporofeti tsa melaetsa yotlhe e meraro di emetswe mo kgaolong ya ntlha ya Daniele. Dikarolo tseo ke tshebetso ya teko ya dikgato tse tharo, e mo go Daniele kgaolo ya ntlha e emelang teko ya dijo, e e latelwang ke teko ya pono, e e isang kwa tekong ya makgaolakgang. Kgaolo ya ntlha, fa e akanyediwa mo kamanelong ya yone le dikgaolo tsa bobedi le boraro, e emela teko ya dijo, mme kgaolo ya bobedi e emela teko ya pono, mme kgaolo ya boraro e emela teko ya makgaolakgang. Melaetsa ya baengele ba bararo ya Tshenolo kgaolo ya bolesome le bonè, le Daniele dikgaolo tsa ntlha go ya go tsa boraro, di neelana ka basupi ba le banè ba tshebetso ya teko ya dikgato tse tharo.</w:t>
      </w:r>
    </w:p>
    <w:p>
      <w:pPr>
        <w:pStyle w:val="ArticleBody"/>
        <w:jc w:val="left"/>
      </w:pPr>
      <w:r>
        <w:rPr>
          <w:rFonts w:ascii="Nirmala UI" w:hAnsi="Nirmala UI" w:eastAsia="Nirmala UI" w:cs="Nirmala UI"/>
        </w:rPr>
        <w:t>දැනියෙල්ගේ</w:t>
      </w:r>
      <w:r>
        <w:rPr>
          <w:rFonts w:ascii="Times New Roman" w:hAnsi="Times New Roman" w:eastAsia="Times New Roman" w:cs="Times New Roman"/>
        </w:rPr>
        <w:t xml:space="preserve"> </w:t>
      </w:r>
      <w:r>
        <w:rPr>
          <w:rFonts w:ascii="Nirmala UI" w:hAnsi="Nirmala UI" w:eastAsia="Nirmala UI" w:cs="Nirmala UI"/>
        </w:rPr>
        <w:t>හතරවන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පස්වන</w:t>
      </w:r>
      <w:r>
        <w:rPr>
          <w:rFonts w:ascii="Times New Roman" w:hAnsi="Times New Roman" w:eastAsia="Times New Roman" w:cs="Times New Roman"/>
        </w:rPr>
        <w:t xml:space="preserve"> </w:t>
      </w:r>
      <w:r>
        <w:rPr>
          <w:rFonts w:ascii="Nirmala UI" w:hAnsi="Nirmala UI" w:eastAsia="Nirmala UI" w:cs="Nirmala UI"/>
        </w:rPr>
        <w:t>පරිච්ඡේද</w:t>
      </w:r>
      <w:r>
        <w:rPr>
          <w:rFonts w:ascii="Times New Roman" w:hAnsi="Times New Roman" w:eastAsia="Times New Roman" w:cs="Times New Roman"/>
        </w:rPr>
        <w:t xml:space="preserve"> </w:t>
      </w:r>
      <w:r>
        <w:rPr>
          <w:rFonts w:ascii="Nirmala UI" w:hAnsi="Nirmala UI" w:eastAsia="Nirmala UI" w:cs="Nirmala UI"/>
        </w:rPr>
        <w:t>අතිශය</w:t>
      </w:r>
      <w:r>
        <w:rPr>
          <w:rFonts w:ascii="Times New Roman" w:hAnsi="Times New Roman" w:eastAsia="Times New Roman" w:cs="Times New Roman"/>
        </w:rPr>
        <w:t xml:space="preserve"> </w:t>
      </w:r>
      <w:r>
        <w:rPr>
          <w:rFonts w:ascii="Nirmala UI" w:hAnsi="Nirmala UI" w:eastAsia="Nirmala UI" w:cs="Nirmala UI"/>
        </w:rPr>
        <w:t>ගැඹුරු</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ඉතිහාස</w:t>
      </w:r>
      <w:r>
        <w:rPr>
          <w:rFonts w:ascii="Times New Roman" w:hAnsi="Times New Roman" w:eastAsia="Times New Roman" w:cs="Times New Roman"/>
        </w:rPr>
        <w:t xml:space="preserve"> </w:t>
      </w:r>
      <w:r>
        <w:rPr>
          <w:rFonts w:ascii="Nirmala UI" w:hAnsi="Nirmala UI" w:eastAsia="Nirmala UI" w:cs="Nirmala UI"/>
        </w:rPr>
        <w:t>රේඛාවක්</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පරිච්ඡේද</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උපදින</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අවම</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වෙනස්</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රේඛා</w:t>
      </w:r>
      <w:r>
        <w:rPr>
          <w:rFonts w:ascii="Times New Roman" w:hAnsi="Times New Roman" w:eastAsia="Times New Roman" w:cs="Times New Roman"/>
        </w:rPr>
        <w:t xml:space="preserve"> </w:t>
      </w:r>
      <w:r>
        <w:rPr>
          <w:rFonts w:ascii="Nirmala UI" w:hAnsi="Nirmala UI" w:eastAsia="Nirmala UI" w:cs="Nirmala UI"/>
        </w:rPr>
        <w:t>හයක්</w:t>
      </w:r>
      <w:r>
        <w:rPr>
          <w:rFonts w:ascii="Times New Roman" w:hAnsi="Times New Roman" w:eastAsia="Times New Roman" w:cs="Times New Roman"/>
        </w:rPr>
        <w:t xml:space="preserve"> </w:t>
      </w:r>
      <w:r>
        <w:rPr>
          <w:rFonts w:ascii="Nirmala UI" w:hAnsi="Nirmala UI" w:eastAsia="Nirmala UI" w:cs="Nirmala UI"/>
        </w:rPr>
        <w:t>අඩංගු</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රේඛා</w:t>
      </w:r>
      <w:r>
        <w:rPr>
          <w:rFonts w:ascii="Times New Roman" w:hAnsi="Times New Roman" w:eastAsia="Times New Roman" w:cs="Times New Roman"/>
        </w:rPr>
        <w:t xml:space="preserve"> </w:t>
      </w:r>
      <w:r>
        <w:rPr>
          <w:rFonts w:ascii="Nirmala UI" w:hAnsi="Nirmala UI" w:eastAsia="Nirmala UI" w:cs="Nirmala UI"/>
        </w:rPr>
        <w:t>අතරින්</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 xml:space="preserve">. 723 </w:t>
      </w:r>
      <w:r>
        <w:rPr>
          <w:rFonts w:ascii="Nirmala UI" w:hAnsi="Nirmala UI" w:eastAsia="Nirmala UI" w:cs="Nirmala UI"/>
        </w:rPr>
        <w:t>වර්ෂයේ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දිග</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හය</w:t>
      </w:r>
      <w:r>
        <w:rPr>
          <w:rFonts w:ascii="Times New Roman" w:hAnsi="Times New Roman" w:eastAsia="Times New Roman" w:cs="Times New Roman"/>
        </w:rPr>
        <w:t xml:space="preserve"> </w:t>
      </w:r>
      <w:r>
        <w:rPr>
          <w:rFonts w:ascii="Nirmala UI" w:hAnsi="Nirmala UI" w:eastAsia="Nirmala UI" w:cs="Nirmala UI"/>
        </w:rPr>
        <w:t>රේඛා</w:t>
      </w:r>
      <w:r>
        <w:rPr>
          <w:rFonts w:ascii="Times New Roman" w:hAnsi="Times New Roman" w:eastAsia="Times New Roman" w:cs="Times New Roman"/>
        </w:rPr>
        <w:t xml:space="preserve"> </w:t>
      </w:r>
      <w:r>
        <w:rPr>
          <w:rFonts w:ascii="Nirmala UI" w:hAnsi="Nirmala UI" w:eastAsia="Nirmala UI" w:cs="Nirmala UI"/>
        </w:rPr>
        <w:t>අතරින්</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1798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රේඛා</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වේලාවේ</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පෘථිවි</w:t>
      </w:r>
      <w:r>
        <w:rPr>
          <w:rFonts w:ascii="Times New Roman" w:hAnsi="Times New Roman" w:eastAsia="Times New Roman" w:cs="Times New Roman"/>
        </w:rPr>
        <w:t xml:space="preserve"> </w:t>
      </w:r>
      <w:r>
        <w:rPr>
          <w:rFonts w:ascii="Nirmala UI" w:hAnsi="Nirmala UI" w:eastAsia="Nirmala UI" w:cs="Nirmala UI"/>
        </w:rPr>
        <w:t>මෘගයාගේ</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රොටෙස්තන්ති</w:t>
      </w:r>
      <w:r>
        <w:rPr>
          <w:rFonts w:ascii="Times New Roman" w:hAnsi="Times New Roman" w:eastAsia="Times New Roman" w:cs="Times New Roman"/>
        </w:rPr>
        <w:t xml:space="preserve"> </w:t>
      </w:r>
      <w:r>
        <w:rPr>
          <w:rFonts w:ascii="Nirmala UI" w:hAnsi="Nirmala UI" w:eastAsia="Nirmala UI" w:cs="Nirmala UI"/>
        </w:rPr>
        <w:t>අඟේ</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රිපබ්ලිකන්</w:t>
      </w:r>
      <w:r>
        <w:rPr>
          <w:rFonts w:ascii="Times New Roman" w:hAnsi="Times New Roman" w:eastAsia="Times New Roman" w:cs="Times New Roman"/>
        </w:rPr>
        <w:t xml:space="preserve"> </w:t>
      </w:r>
      <w:r>
        <w:rPr>
          <w:rFonts w:ascii="Nirmala UI" w:hAnsi="Nirmala UI" w:eastAsia="Nirmala UI" w:cs="Nirmala UI"/>
        </w:rPr>
        <w:t>අඟේ</w:t>
      </w:r>
      <w:r>
        <w:rPr>
          <w:rFonts w:ascii="Times New Roman" w:hAnsi="Times New Roman" w:eastAsia="Times New Roman" w:cs="Times New Roman"/>
        </w:rPr>
        <w:t xml:space="preserve"> </w:t>
      </w:r>
      <w:r>
        <w:rPr>
          <w:rFonts w:ascii="Nirmala UI" w:hAnsi="Nirmala UI" w:eastAsia="Nirmala UI" w:cs="Nirmala UI"/>
        </w:rPr>
        <w:t>රේඛාවද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එක්ව</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ආරම්භයේ</w:t>
      </w:r>
      <w:r>
        <w:rPr>
          <w:rFonts w:ascii="Times New Roman" w:hAnsi="Times New Roman" w:eastAsia="Times New Roman" w:cs="Times New Roman"/>
        </w:rPr>
        <w:t xml:space="preserve"> </w:t>
      </w:r>
      <w:r>
        <w:rPr>
          <w:rFonts w:ascii="Nirmala UI" w:hAnsi="Nirmala UI" w:eastAsia="Nirmala UI" w:cs="Nirmala UI"/>
        </w:rPr>
        <w:t>පස්වන</w:t>
      </w:r>
      <w:r>
        <w:rPr>
          <w:rFonts w:ascii="Times New Roman" w:hAnsi="Times New Roman" w:eastAsia="Times New Roman" w:cs="Times New Roman"/>
        </w:rPr>
        <w:t xml:space="preserve"> </w:t>
      </w:r>
      <w:r>
        <w:rPr>
          <w:rFonts w:ascii="Nirmala UI" w:hAnsi="Nirmala UI" w:eastAsia="Nirmala UI" w:cs="Nirmala UI"/>
        </w:rPr>
        <w:t>රේඛාවක්</w:t>
      </w:r>
      <w:r>
        <w:rPr>
          <w:rFonts w:ascii="Times New Roman" w:hAnsi="Times New Roman" w:eastAsia="Times New Roman" w:cs="Times New Roman"/>
        </w:rPr>
        <w:t xml:space="preserve"> </w:t>
      </w:r>
      <w:r>
        <w:rPr>
          <w:rFonts w:ascii="Nirmala UI" w:hAnsi="Nirmala UI" w:eastAsia="Nirmala UI" w:cs="Nirmala UI"/>
        </w:rPr>
        <w:t>ස්ථාපිත</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දැනියෙල්ගේ</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නවවන</w:t>
      </w:r>
      <w:r>
        <w:rPr>
          <w:rFonts w:ascii="Times New Roman" w:hAnsi="Times New Roman" w:eastAsia="Times New Roman" w:cs="Times New Roman"/>
        </w:rPr>
        <w:t xml:space="preserve"> </w:t>
      </w:r>
      <w:r>
        <w:rPr>
          <w:rFonts w:ascii="Nirmala UI" w:hAnsi="Nirmala UI" w:eastAsia="Nirmala UI" w:cs="Nirmala UI"/>
        </w:rPr>
        <w:t>පරිච්ඡේද</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හයවන</w:t>
      </w:r>
      <w:r>
        <w:rPr>
          <w:rFonts w:ascii="Times New Roman" w:hAnsi="Times New Roman" w:eastAsia="Times New Roman" w:cs="Times New Roman"/>
        </w:rPr>
        <w:t xml:space="preserve"> </w:t>
      </w:r>
      <w:r>
        <w:rPr>
          <w:rFonts w:ascii="Nirmala UI" w:hAnsi="Nirmala UI" w:eastAsia="Nirmala UI" w:cs="Nirmala UI"/>
        </w:rPr>
        <w:t>රේඛාවක්</w:t>
      </w:r>
      <w:r>
        <w:rPr>
          <w:rFonts w:ascii="Times New Roman" w:hAnsi="Times New Roman" w:eastAsia="Times New Roman" w:cs="Times New Roman"/>
        </w:rPr>
        <w:t xml:space="preserve"> </w:t>
      </w:r>
      <w:r>
        <w:rPr>
          <w:rFonts w:ascii="Nirmala UI" w:hAnsi="Nirmala UI" w:eastAsia="Nirmala UI" w:cs="Nirmala UI"/>
        </w:rPr>
        <w:t>උපදින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1989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දැනියෙල්ගේ</w:t>
      </w:r>
      <w:r>
        <w:rPr>
          <w:rFonts w:ascii="Times New Roman" w:hAnsi="Times New Roman" w:eastAsia="Times New Roman" w:cs="Times New Roman"/>
        </w:rPr>
        <w:t xml:space="preserve"> </w:t>
      </w:r>
      <w:r>
        <w:rPr>
          <w:rFonts w:ascii="Nirmala UI" w:hAnsi="Nirmala UI" w:eastAsia="Nirmala UI" w:cs="Nirmala UI"/>
        </w:rPr>
        <w:t>දසවන</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දොළොස්වන</w:t>
      </w:r>
      <w:r>
        <w:rPr>
          <w:rFonts w:ascii="Times New Roman" w:hAnsi="Times New Roman" w:eastAsia="Times New Roman" w:cs="Times New Roman"/>
        </w:rPr>
        <w:t xml:space="preserve"> </w:t>
      </w:r>
      <w:r>
        <w:rPr>
          <w:rFonts w:ascii="Nirmala UI" w:hAnsi="Nirmala UI" w:eastAsia="Nirmala UI" w:cs="Nirmala UI"/>
        </w:rPr>
        <w:t>පරිච්ඡේද</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Permulaan garis nubuat binatang bumi, sebagaimana dilambangkan dalam Daniel pasal empat, ditandai oleh simbol “tujuh masa”, dan akhir garis nubuat binatang bumi itu juga ditandai oleh simbol “tujuh masa”. Permulaan dan akhir periode sejarah yang dilambangkan oleh pembukaan meterai pasal tujuh, delapan, dan sembilan juga ditandai oleh simbol “tujuh masa”. Permulaan dan akhir periode sejarah yang dilambangkan oleh pembukaan meterai Daniel pasal sepuluh, sebelas, dan dua belas juga ditandai oleh “tujuh masa”.</w:t>
      </w:r>
    </w:p>
    <w:p>
      <w:pPr>
        <w:pStyle w:val="ArticleBody"/>
        <w:jc w:val="left"/>
      </w:pPr>
      <w:r>
        <w:rPr>
          <w:rFonts w:ascii="Times New Roman" w:hAnsi="Times New Roman" w:eastAsia="Times New Roman" w:cs="Times New Roman"/>
        </w:rPr>
        <w:t>U kupela kwa kipindi cha historia kilichoanza wakati Danieli sura ya saba, ya nane na ya tisa zilipofunguliwa muhuri katika “wakati wa mwisho” mwaka wa 1798, kulikuwa mwaka wa 1863. Mwanzo wa kipindi cha historia kilichoanza wakati Danieli sura ya kumi, ya kumi na moja na ya kumi na mbili zilipofunguliwa muhuri katika “wakati wa mwisho” ulikuwa mwaka wa 1989. Kuanzia 1863 hadi 1989 ni sawa na miaka mia moja ishirini na sita. Miaka mia moja ishirini na sita ni sehemu ya kumi, au zaka, ya miaka elfu moja mia mbili sitini. Kwa hiyo, namba mia moja ishirini na sita ni ishara ya ile miaka elfu moja mia mbili sitini, ambayo inawakilisha “jangwa,” ambalo nalo kwa upande wake ni ishara ya ile miaka elfu mbili mia tano ishirini ya “nyakati saba.”</w:t>
      </w:r>
    </w:p>
    <w:p>
      <w:pPr>
        <w:pStyle w:val="ArticleBody"/>
        <w:jc w:val="left"/>
      </w:pPr>
      <w:r>
        <w:rPr>
          <w:rFonts w:ascii="Times New Roman" w:hAnsi="Times New Roman" w:eastAsia="Times New Roman" w:cs="Times New Roman"/>
        </w:rPr>
        <w:t>Ukuba ngoko ke kukhomba ukuba, kwimbali yesilo somhlaba, ekuhambeni kwengelosi yokuqala ekuqaleni, kwaza kwalandela ukuhamba kwengelosi yesithathu ekugqibeleni, zombini ziphawulwe ekuqaleni nasekupheleni kwazo “ngamaxesha asixhenxe.” Kanjalo nexesha eliphakathi kwezo ntshukumo zimbini, elizibophelela kunye, nalo limelwe “ngamaxesha asixhenxe.”</w:t>
      </w:r>
    </w:p>
    <w:p>
      <w:pPr>
        <w:pStyle w:val="ArticleBody"/>
        <w:jc w:val="left"/>
      </w:pPr>
      <w:r>
        <w:rPr>
          <w:rFonts w:ascii="Times New Roman" w:hAnsi="Times New Roman" w:eastAsia="Times New Roman" w:cs="Times New Roman"/>
        </w:rPr>
        <w:t>Tanpa menerapkan metodologi alkitabiah “baris demi baris,” mustahil jenis wahyu ini dapat dilihat dan dipahami, sebab tanpa metodologi itu kitab yang termeterai itu dapat diberikan kepada seseorang yang terdidik dalam seni teologi, lalu kepadanya dapat dimintakan suatu penjelasan tentang arti kitab yang termeterai itu. Keangkuhan pendapatnya akan mendorong dia untuk menyatakan bahwa kitab yang termeterai itu tidak dapat dipahami, sebab kitab itu telah termeterai. Kemudian engkau dapat mengambil kitab yang termeterai itu dan memberikannya kepada salah seekor dari kawanan yang dikendalikan dan dikebiri oleh orang yang tercerahkan itu, dan kawanan yang telah merasa nyaman menyantap hidangan dongeng-dongeng sang teolog itu akan menolak untuk menerapkan kitab yang termeterai itu, sebab mereka mengetahui sepenuhnya bahwa hanya mereka yang menjadi anggota Sanhedrin teologis sajalah yang telah ditetapkan untuk memutuskan apa itu kebenaran.</w:t>
      </w:r>
    </w:p>
    <w:p>
      <w:pPr>
        <w:pStyle w:val="ArticleScripture"/>
        <w:jc w:val="left"/>
      </w:pPr>
      <w:r>
        <w:rPr>
          <w:rFonts w:ascii="Times New Roman" w:hAnsi="Times New Roman" w:eastAsia="Times New Roman" w:cs="Times New Roman"/>
        </w:rPr>
        <w:t>“‘Berdirilah terpaku dan tercengang, berserulah dan meratap; mereka mabuk tetapi bukan oleh anggur; mereka sempoyongan, tetapi bukan oleh minuman keras. Sebab TUHAN telah mencurahkan ke atasmu roh tidur yang nyenyak, dan telah memejamkan matamu; para nabi dan para pemimpinmu, para pelihat telah ditudungi-Nya. Dan seluruh penglihatan itu bagimu telah menjadi seperti perkataan sebuah kitab yang termeterai, yang diserahkan orang kepada seorang yang terpelajar dengan mengatakan: bacalah ini, aku minta kepadamu; tetapi ia berkata: Aku tidak dapat, sebab kitab itu termeterai.’”</w:t>
      </w:r>
    </w:p>
    <w:p>
      <w:pPr>
        <w:pStyle w:val="ArticleScripture"/>
        <w:jc w:val="left"/>
      </w:pPr>
      <w:r>
        <w:rPr>
          <w:rFonts w:ascii="Times New Roman" w:hAnsi="Times New Roman" w:eastAsia="Times New Roman" w:cs="Times New Roman"/>
        </w:rPr>
        <w:t>“‘Ningooni Rabbi wuxuu leeyahay, Maaddaama dadkan ay afkooda iigu soo dhowaadaan oo ay bushimahooda igu maamuusaan, laakiinse qalbigooda way iga fogeeyeen, oo cabsidooda ay iga qabaan lagu baray qaynuunka dadka; sidaas daraaddeed, bal eega, waxaan sii samayn doonaa shuqul yaab leh iyo mucjiso; waayo, xigmaddii nimankooda xigmadda leh way baabbi’i doontaa, oo garashadii nimankooda miyirka lehna way qarsoomi doontaa. Waxaa hoog leh kuwa si qoto dheer ula doonda inay taladooda Rabbiga ka qariyaan, oo shuqulladooduna gudcur bay ku jiraan, oo waxay yidhaahdaan, Yaa ina arka, yaase ina yaqaan? Hubaal, waxyaalihiinna rogrogashadooda waxaa loo qiyaasi doonaa sida dhoobada dheryasameeyaha; waayo, shuqulku miyuu kan sameeyey ka odhan karaa, Ima uu samayn, ama shayga la sameeyey miyuu kan u qaabeeyey ka odhan karaa, Isagu waxgarasho ma lahayn?’”</w:t>
      </w:r>
    </w:p>
    <w:p>
      <w:pPr>
        <w:pStyle w:val="ArticleScripture"/>
        <w:jc w:val="left"/>
      </w:pPr>
      <w:r>
        <w:rPr>
          <w:rFonts w:ascii="Times New Roman" w:hAnsi="Times New Roman" w:eastAsia="Times New Roman" w:cs="Times New Roman"/>
        </w:rPr>
        <w:t>“Lentšu le lengwe le le lengwe la se le tla diragadiwa. Go na le bao ba sa ikokobetseng dipelo tsa bone fa pele ga Modimo, le ba ba sa tleng go tsamaya ka boitsheko. Ba fitlha maikaelelo a bone a nnete, mme ba nna mo kopanelong le moengele yo o waileng, yo o ratang e bile a dira maaka. Mmaba o tsenya moya mo bathong ba a ka ba dirisang go tsietsa bao ba leng mo lefifing ka bontlhanngwe. Bangwe ba fetoga ba tletse lefifi le le busang, mme ba baya boammaaruri kwa thoko ka ntlha ya phoso. Letsatsi le le supilweng ke porofeto le fitlhile. Jesu Keresete ga a tlhaloganngwe. Jesu Keresete mo go bone ke tlhamane fela. Mo kgatong eno ya hisitori ya lefatshe, ba le bantsi ba dira jaaka batho ba ba tagilweng. ‘Emang, mme lo gakgamale; goang, mme lo goe; ba tagilwe, mme e seng ka beine; ba a thekesela, mme e seng ka seno se se bogale. Gonne Morena o lo tsheletse moya wa boroko jo bo tseneletseng, mme o tswetse matlho a lona. Baporofeti le babusi ba lona, diboni, o ba khurumeditse.’ Botagwa jwa semoya bo mo go ba le bantsi ba ba akanyang gore ke bone batho ba ba tla godisiwang. Tumelo ya bone ya bodumedi e ntse fela jaaka go emetswe mo Lokwalong lono. Tlase ga tlhotlheletso ya jone, ga ba kgone go tsamaya ka tlhamalalo. Ba dira ditsela tse di sokameng mo tseleng ya ditiro tsa bone. Yo mongwe, mme go latele yo mongwe, ba akabala ba ya kwa le kwa. Morena o ba leba ka kutlwelobotlhoko e kgolo. Tsela ya boammaaruri ga ba ise ba e itse. Ke baakanyi ba maano ba ba ikgantshang ka saense, mme bao ba ba neng ba ka bo ba tshwanetse go thusitse, ka ntlha ya pono e e phepa ya semoya, le bone ka bobone ba tsieditswe, mme ba tshegetsa tiro e e bosula.”</w:t>
      </w:r>
    </w:p>
    <w:p>
      <w:pPr>
        <w:pStyle w:val="ArticleScripture"/>
        <w:jc w:val="left"/>
      </w:pPr>
      <w:r>
        <w:rPr>
          <w:rFonts w:ascii="Times New Roman" w:hAnsi="Times New Roman" w:eastAsia="Times New Roman" w:cs="Times New Roman"/>
        </w:rPr>
        <w:t>“Ntuthuko yalemihla yokugcina izakube isicacile masinyane. Nxa lokhu kukhohlisa kokukhonza imimoya sekubonakaliswe ukuthi kuyikho ngempela,—imisebenzi eyimfihlo yemimoya emibi,—labo abaye baba lesandla kukho bazakuba njengabantu abalahlekelwe zingqondo zabo.</w:t>
      </w:r>
    </w:p>
    <w:p>
      <w:pPr>
        <w:pStyle w:val="ArticleScripture"/>
        <w:jc w:val="left"/>
      </w:pPr>
      <w:r>
        <w:rPr>
          <w:rFonts w:ascii="Times New Roman" w:hAnsi="Times New Roman" w:eastAsia="Times New Roman" w:cs="Times New Roman"/>
        </w:rPr>
        <w:t>“‘Maka berfirmanlah Tuhan: Oleh sebab bangsa ini mendekat kepada-Ku dengan mulutnya dan memuliakan Aku dengan bibirnya, tetapi menjauhkan hatinya daripada-Ku, dan takutnya kepada-Ku diajarkan menurut perintah manusia, maka sesungguhnya Aku akan terus melakukan suatu pekerjaan yang ajaib di tengah bangsa ini, yakni pekerjaan yang ajaib dan suatu keajaiban; sebab hikmat orang-orang berhikmat mereka akan binasa, dan pengertian orang-orang bijaksana mereka akan tersembunyi. Celakalah orang-orang yang berusaha menyembunyikan rencana mereka sedalam-dalamnya daripada Tuhan, dan yang melakukan pekerjaan mereka dalam gelap, sambil berkata: Siapakah yang melihat kami, dan siapakah yang mengenal kami? Sungguh, pembalikan segala sesuatu olehmu akan dianggap seperti tanah liat di tangan tukang periuk; masakan hasil karya berkata tentang dia yang membuatnya: Ia tidak membuat aku? Atau masakan sesuatu yang dibentuk berkata tentang dia yang membentuknya: Ia tidak mempunyai pengertian?’”</w:t>
      </w:r>
    </w:p>
    <w:p>
      <w:pPr>
        <w:pStyle w:val="ArticleScripture"/>
        <w:jc w:val="left"/>
      </w:pPr>
      <w:r>
        <w:rPr>
          <w:rFonts w:ascii="Times New Roman" w:hAnsi="Times New Roman" w:eastAsia="Times New Roman" w:cs="Times New Roman"/>
        </w:rPr>
        <w:t>“Go bolelelwa gore mo maitemogelong a rona re ntse re lebane le seemo seno tota, e bile re sa ntse re lebane naso. Batho ba ba nnileng le lesedi le legolo le ditshiamelo tse di gakgamatsang ba amogetse lefoko la baeteledipele ba ba ikakanyang ba le botlhale, ba ba ratilweng thata e bile ba segofaditswe ke Morena, mme ba ba itsentse ka nosi ba tswa mo seatleng sa Modimo ba bo ba ipeya mo meleng ya mmaba. Lefatshe le tla tladiwa ka maaka a a lebegang a na le mabaka. Monagano mongwe wa motho, o amogela maaka ano, o tla dira mo megaganong e mengwe ya batho, e e nnileng e fetola bosupi jo bo tlhokegang jwa boammaaruri jwa Modimo gore e nne leaka. Banna bano ba tla tsiediwa ke baengele ba ba wileng, fa ba ne ba tshwanetse go bo ba eme jaaka badisa ba ba ikanyegang, ba tlhokomela meya, jaaka ba ba tla ikarabelang. Ba beile dibetsa tsa ntwa ya bone fa fatshe, mme ba reeditse meya e e timetsang. Ba dira gore kgakololo ya Modimo e se ka ya nna le maatla, ba bo ba beela kwa thoko ditlhagiso le dikgakololo tsa gagwe, mme ruri ba mo letlhakoreng la ga Satane, ba reeditse meya e e timetsang le dithuto tsa madimona.</w:t>
      </w:r>
    </w:p>
    <w:p>
      <w:pPr>
        <w:pStyle w:val="ArticleScripture"/>
        <w:jc w:val="left"/>
      </w:pPr>
      <w:r>
        <w:rPr>
          <w:rFonts w:ascii="Times New Roman" w:hAnsi="Times New Roman" w:eastAsia="Times New Roman" w:cs="Times New Roman"/>
        </w:rPr>
        <w:t>“Ubuswi bw’umwuka ubu buri ku bantu batagakwiriye kuba badedemera nk’abantu bayobowe n’inzoga zikomeye. Ibyaha n’imyitwarire itari ku murongo, uburiganya, ubuhenzi, n’ubucuruzi butaboneye byuzuye isi, bihuje n’inyigisho z’umuyobozi wigometse mu nkiko zo mu ijuru.</w:t>
      </w:r>
    </w:p>
    <w:p>
      <w:pPr>
        <w:pStyle w:val="ArticleScripture"/>
        <w:jc w:val="left"/>
      </w:pPr>
      <w:r>
        <w:rPr>
          <w:rFonts w:ascii="Times New Roman" w:hAnsi="Times New Roman" w:eastAsia="Times New Roman" w:cs="Times New Roman"/>
        </w:rPr>
        <w:t>“Lus paub txojsia yuav rov muaj dua. Kuv yuav hais meej tau tias yuav muaj dab tsi tshwm sim nyob rau yav tom ntej ze no, tiam sis lub sijhawm tseem tsis tau txog. Cov yam ntxwv ntawm cov neeg tuag yuav tshwm los, los ntawm Xatas txoj kev dag ntxias uas txawj ntse, thiab coob leej yuav koom nrog tus uas nyiam thiab ua kev dag. Kuv ceeb toom peb haiv neeg tias, nyob rau hauv peb nruab nrab no, qee leej yuav tig nraub qaum ntawm txoj kev ntseeg, thiab mloog tej ntsuj plig dag ntxias thiab tej lus qhuab qhia ntawm dab phem, thiab vim lawv, qhov tseeb yuav raug hais phem txog.” Battle Creek Letters, 123–125.</w:t>
      </w:r>
    </w:p>
    <w:p>
      <w:pPr>
        <w:pStyle w:val="ArticleBody"/>
        <w:jc w:val="left"/>
      </w:pP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ជំពូកទីមួយ</w:t>
      </w:r>
      <w:r>
        <w:rPr>
          <w:rFonts w:ascii="Times New Roman" w:hAnsi="Times New Roman" w:eastAsia="Times New Roman" w:cs="Times New Roman"/>
        </w:rPr>
        <w:t xml:space="preserve"> </w:t>
      </w:r>
      <w:r>
        <w:rPr>
          <w:rFonts w:ascii="Leelawadee UI" w:hAnsi="Leelawadee UI" w:eastAsia="Leelawadee UI" w:cs="Leelawadee UI"/>
        </w:rPr>
        <w:t>ដែលតំណាងឲ្យសាររបស់ទេវតាទីមួយក្នុង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 xml:space="preserve"> </w:t>
      </w:r>
      <w:r>
        <w:rPr>
          <w:rFonts w:ascii="Leelawadee UI" w:hAnsi="Leelawadee UI" w:eastAsia="Leelawadee UI" w:cs="Leelawadee UI"/>
        </w:rPr>
        <w:t>ស្របគ្នានឹងប្រវត្តិដំបូងនៃសត្វពីផែនដី។</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ជំពូកទីមួយ</w:t>
      </w: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និងទីបី</w:t>
      </w:r>
      <w:r>
        <w:rPr>
          <w:rFonts w:ascii="Times New Roman" w:hAnsi="Times New Roman" w:eastAsia="Times New Roman" w:cs="Times New Roman"/>
        </w:rPr>
        <w:t xml:space="preserve"> </w:t>
      </w:r>
      <w:r>
        <w:rPr>
          <w:rFonts w:ascii="Leelawadee UI" w:hAnsi="Leelawadee UI" w:eastAsia="Leelawadee UI" w:cs="Leelawadee UI"/>
        </w:rPr>
        <w:t>ដែលតំណាងឲ្យសាររបស់ទេវតាទាំងបីក្នុង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 xml:space="preserve"> </w:t>
      </w:r>
      <w:r>
        <w:rPr>
          <w:rFonts w:ascii="Leelawadee UI" w:hAnsi="Leelawadee UI" w:eastAsia="Leelawadee UI" w:cs="Leelawadee UI"/>
        </w:rPr>
        <w:t>ស្របគ្នានឹងចុងបញ្ចប់របស់សហរដ្ឋអាមេរិក។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នេប៊ូក្នេសារ</w:t>
      </w:r>
      <w:r>
        <w:rPr>
          <w:rFonts w:ascii="Times New Roman" w:hAnsi="Times New Roman" w:eastAsia="Times New Roman" w:cs="Times New Roman"/>
        </w:rPr>
        <w:t xml:space="preserve"> </w:t>
      </w:r>
      <w:r>
        <w:rPr>
          <w:rFonts w:ascii="Leelawadee UI" w:hAnsi="Leelawadee UI" w:eastAsia="Leelawadee UI" w:cs="Leelawadee UI"/>
        </w:rPr>
        <w:t>តំណាងឲ្យប្រវត្តិនៃទេវតាទីមួយ</w:t>
      </w:r>
      <w:r>
        <w:rPr>
          <w:rFonts w:ascii="Times New Roman" w:hAnsi="Times New Roman" w:eastAsia="Times New Roman" w:cs="Times New Roman"/>
        </w:rPr>
        <w:t xml:space="preserve"> </w:t>
      </w:r>
      <w:r>
        <w:rPr>
          <w:rFonts w:ascii="Leelawadee UI" w:hAnsi="Leelawadee UI" w:eastAsia="Leelawadee UI" w:cs="Leelawadee UI"/>
        </w:rPr>
        <w:t>និងជំពូកទីមួយនៃដានីយ៉ែល។</w:t>
      </w:r>
      <w:r>
        <w:rPr>
          <w:rFonts w:ascii="Times New Roman" w:hAnsi="Times New Roman" w:eastAsia="Times New Roman" w:cs="Times New Roman"/>
        </w:rPr>
        <w:t xml:space="preserve"> </w:t>
      </w:r>
      <w:r>
        <w:rPr>
          <w:rFonts w:ascii="Leelawadee UI" w:hAnsi="Leelawadee UI" w:eastAsia="Leelawadee UI" w:cs="Leelawadee UI"/>
        </w:rPr>
        <w:t>បេលសាសារ</w:t>
      </w:r>
      <w:r>
        <w:rPr>
          <w:rFonts w:ascii="Times New Roman" w:hAnsi="Times New Roman" w:eastAsia="Times New Roman" w:cs="Times New Roman"/>
        </w:rPr>
        <w:t xml:space="preserve"> </w:t>
      </w:r>
      <w:r>
        <w:rPr>
          <w:rFonts w:ascii="Leelawadee UI" w:hAnsi="Leelawadee UI" w:eastAsia="Leelawadee UI" w:cs="Leelawadee UI"/>
        </w:rPr>
        <w:t>តំណាងឲ្យប្រវត្តិនៃទេវតាទីបី</w:t>
      </w:r>
      <w:r>
        <w:rPr>
          <w:rFonts w:ascii="Times New Roman" w:hAnsi="Times New Roman" w:eastAsia="Times New Roman" w:cs="Times New Roman"/>
        </w:rPr>
        <w:t xml:space="preserve"> </w:t>
      </w:r>
      <w:r>
        <w:rPr>
          <w:rFonts w:ascii="Leelawadee UI" w:hAnsi="Leelawadee UI" w:eastAsia="Leelawadee UI" w:cs="Leelawadee UI"/>
        </w:rPr>
        <w:t>និងជំពូកទីមួយ</w:t>
      </w: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និងទីបីនៃដានីយ៉ែល។</w:t>
      </w:r>
    </w:p>
    <w:p>
      <w:pPr>
        <w:pStyle w:val="ArticleScripture"/>
        <w:jc w:val="left"/>
      </w:pPr>
      <w:r>
        <w:rPr>
          <w:rFonts w:ascii="Times New Roman" w:hAnsi="Times New Roman" w:eastAsia="Times New Roman" w:cs="Times New Roman"/>
        </w:rPr>
        <w:t>“Kepada pemerintah terakhir Babilon, sebagaimana secara lambang kepada yang pertama, telah datang hukuman dari Sang Pengawas ilahi: ‘Hai raja, ... kepadamu dikatakan: kerajaan itu telah beralih dari padamu.’ Daniel 4:31.” Prophets and Kings, 533.</w:t>
      </w:r>
    </w:p>
    <w:p>
      <w:pPr>
        <w:pStyle w:val="ArticleBody"/>
        <w:jc w:val="left"/>
      </w:pPr>
      <w:r>
        <w:rPr>
          <w:rFonts w:ascii="Times New Roman" w:hAnsi="Times New Roman" w:eastAsia="Times New Roman" w:cs="Times New Roman"/>
        </w:rPr>
        <w:t>Ебухаданезар мен Белшазар туралы зерттеуімізді келесі мақалада жалғастырамыз.</w:t>
      </w:r>
    </w:p>
    <w:p>
      <w:pPr>
        <w:pStyle w:val="ArticleScripture"/>
        <w:jc w:val="left"/>
      </w:pPr>
      <w:r>
        <w:rPr>
          <w:rFonts w:ascii="Times New Roman" w:hAnsi="Times New Roman" w:eastAsia="Times New Roman" w:cs="Times New Roman"/>
        </w:rPr>
        <w:t>“Belshazzar, yang tergerak kagum oleh gambaran tentang kuasa Tuhan ini, yang menunjukkan bahwa mereka mempunyai seorang saksi, walaupun mereka tidak mengetahuinya, telah memperoleh kesempatan-kesempatan besar untuk mengenal pekerjaan-pekerjaan Tuhan yang hidup, dan kuasa-Nya, serta untuk melakukan kehendak-Nya. Ia telah diberi hak istimewa dengan banyak terang. Kakeknya, Nebukadnezar, telah diperingatkan tentang bahayanya dalam melupakan Tuhan dan memuliakan dirinya sendiri. Belshazzar mengetahui tentang pembuangannya dari pergaulan manusia, dan pergaulannya dengan binatang-binatang di padang; dan fakta-fakta ini, yang seharusnya menjadi pelajaran baginya, diabaikannya, seolah-olah hal-hal itu tidak pernah terjadi; dan ia terus mengulangi dosa-dosa kakeknya. Ia berani melakukan kejahatan-kejahatan yang mendatangkan penghukuman Tuhan atas Nebukadnezar. Ia dihukum, bukan hanya karena ia sendiri berbuat fasik, melainkan karena ia tidak memanfaatkan kesempatan-kesempatan dan kemampuan-kemampuan yang, jika dikembangkan, akan menjadikannya benar.”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Dua Puluh Empat</dc:title>
  <dc:subject>Нимрод, Навуходоносор и Валтасар</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