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Dua Puluh Sembilan</w:t>
      </w:r>
    </w:p>
    <w:p>
      <w:pPr>
        <w:pStyle w:val="ArticleSubtitle"/>
        <w:jc w:val="left"/>
      </w:pPr>
      <w:r>
        <w:rPr>
          <w:rFonts w:ascii="Arial" w:hAnsi="Arial" w:eastAsia="Arial" w:cs="Arial"/>
        </w:rPr>
        <w:t>Pesta Belsyazar dan Jam Kenabian: Menyingkap Hukum Minggu, Kejatuhan Babel, dan Krisis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Pesta Belsyazar menandai “jam” hukum hari Minggu, tetapi menempatkan penekanan pada penghakiman atas tanduk Republik. Patung emas Nebukadnezar dalam Daniel pasal tiga menempatkan sejarah yang sama itu dalam konteks umat Allah yang setia, yang pada waktu itu diangkat sebagai panji. Daniel pasal enam membahas garis yang sama, tetapi membahas peranan tanduk Protestan. Belsyazar melambangkan “negara,” dan ia memanggil seribu orang dari antara “pembesar-pembesarnya.”</w:t>
      </w:r>
    </w:p>
    <w:p>
      <w:pPr>
        <w:pStyle w:val="ArticleScripture"/>
        <w:jc w:val="left"/>
      </w:pP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रखेलियाँ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रखेलियाँ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लकड़ी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उँगलियाँ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राजमहल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दीवट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5:1–5</w:t>
      </w:r>
      <w:r>
        <w:rPr>
          <w:rFonts w:ascii="Nirmala UI" w:hAnsi="Nirmala UI" w:eastAsia="Nirmala UI" w:cs="Nirmala UI"/>
        </w:rPr>
        <w:t>।</w:t>
      </w:r>
    </w:p>
    <w:p>
      <w:pPr>
        <w:pStyle w:val="ArticleBody"/>
        <w:jc w:val="left"/>
      </w:pPr>
      <w:r>
        <w:rPr>
          <w:rFonts w:ascii="Times New Roman" w:hAnsi="Times New Roman" w:eastAsia="Times New Roman" w:cs="Times New Roman"/>
        </w:rPr>
        <w:t>Nomoro “khumi” e emela drakone, mme lekgolo, le sekete ke go godisa fela sesupo se se tshwanang. Mo kgaolong ya borataro, lekgolo le masome a mabedi ba gatelela molao wa tsietso, mme lekgolo le masome a mabedi ke sesupo sa baperesiti. Fa go akanyediwa “mola mo godimo ga mola,” moletlo wa ga Beleshasare o bontsha katlholo godimo ga puso e e senyegileng, le katlholo ya tsamaiso ya kereke e e senyegileng. Beleshasare o ne a tagilwe ke beine ya Babelona, mme morago a ikaelela go kgobokanya dijana tse di boitshepo tsa tempele ya Modimo kwa Jerusalema.</w:t>
      </w:r>
    </w:p>
    <w:p>
      <w:pPr>
        <w:pStyle w:val="ArticleScripture"/>
        <w:jc w:val="left"/>
      </w:pPr>
      <w:r>
        <w:rPr>
          <w:rFonts w:ascii="Times New Roman" w:hAnsi="Times New Roman" w:eastAsia="Times New Roman" w:cs="Times New Roman"/>
        </w:rPr>
        <w:t>Nabi itu berkata, “Aku melihat seorang malaikat lain turun dari syurga, mempunyai kuasa yang besar; dan bumi diterangi oleh kemuliaannya. Lalu ia berseru dengan suara yang kuat, katanya, Babilon yang besar itu sudah jatuh, sudah jatuh, dan telah menjadi tempat kediaman roh-roh jahat” (Wahyu 18:1, 2). Inilah berita yang sama yang telah disampaikan oleh malaikat kedua. Babilon sudah jatuh, “kerana ia telah membuat segala bangsa minum dari anggur murka percabulannya” (Wahyu 14:8). Apakah anggur itu?—Ajaran-ajarannya yang palsu. Ia telah memberikan kepada dunia suatu sabat palsu sebagai ganti Sabat hukum yang keempat, dan telah mengulangi dusta yang mula-mula diberitahukan oleh Iblis kepada Hawa di Eden—iaitu bahawa jiwa itu secara semula jadi tidak dapat mati. Banyak lagi kesesatan yang sejenis telah disebarkannya ke merata-rata, “mengajarkan sebagai ajaran perintah-perintah manusia” (Matius 15:9).” Selected Messages, buku 2, 118.</w:t>
      </w:r>
    </w:p>
    <w:p>
      <w:pPr>
        <w:pStyle w:val="ArticleBody"/>
        <w:jc w:val="left"/>
      </w:pPr>
      <w:r>
        <w:rPr>
          <w:rFonts w:ascii="Times New Roman" w:hAnsi="Times New Roman" w:eastAsia="Times New Roman" w:cs="Times New Roman"/>
        </w:rPr>
        <w:t>Anggur yang diminum oleh Belsyazar ialah sabat berhala kepausan, kerana pesta itu melambangkan “jam” nubuat bagi undang-undang Ahad. Bejana-bejana kaabah yang dibawanya ke dalam balai perjamuan itu melambangkan bukan sahaja pemberontakan terhadap Tuhan, tetapi bejana-bejana suci juga melambangkan umat Tuhan, kerana yang harfiah melambangkan yang rohani, dan manusia ialah bejana.</w:t>
      </w:r>
    </w:p>
    <w:p>
      <w:pPr>
        <w:pStyle w:val="ArticleScripture"/>
        <w:jc w:val="left"/>
      </w:pPr>
      <w:r>
        <w:rPr>
          <w:rFonts w:ascii="Times New Roman" w:hAnsi="Times New Roman" w:eastAsia="Times New Roman" w:cs="Times New Roman"/>
        </w:rPr>
        <w:t>Akan tetapi dasar Allah tetap teguh, dengan meterai ini: Tuhan mengenal mereka yang adalah milik-Nya. Dan: Setiap orang yang menyebut nama Kristus harus menjauhkan diri dari kejahatan. Tetapi dalam sebuah rumah yang besar, bukan hanya ada bejana dari emas dan perak, melainkan juga dari kayu dan tanah; dan sebagian untuk kehormatan, dan sebagian untuk kenistaan. Sebab itu, jika seseorang menyucikan dirinya dari semuanya itu, ia akan menjadi bejana untuk kehormatan, yang dikuduskan, layak dipakai oleh tuannya, dan dipersiapkan untuk setiap pekerjaan yang baik. 2 Timotius 2:19–21.</w:t>
      </w:r>
    </w:p>
    <w:p>
      <w:pPr>
        <w:pStyle w:val="ArticleBody"/>
        <w:jc w:val="left"/>
      </w:pPr>
      <w:r>
        <w:rPr>
          <w:rFonts w:ascii="Times New Roman" w:hAnsi="Times New Roman" w:eastAsia="Times New Roman" w:cs="Times New Roman"/>
        </w:rPr>
        <w:t>Di tengah-tengah penajisan umat Allah melalui paksaan ibadah hari Ahad, tulisan berapi itu mengeja kebinasaan Belsyazar.</w:t>
      </w:r>
    </w:p>
    <w:p>
      <w:pPr>
        <w:pStyle w:val="ArticleScripture"/>
        <w:jc w:val="left"/>
      </w:pPr>
      <w:r>
        <w:rPr>
          <w:rFonts w:ascii="Leelawadee UI" w:hAnsi="Leelawadee UI" w:eastAsia="Leelawadee UI" w:cs="Leelawadee UI"/>
        </w:rPr>
        <w:t>នៅវេលាដដែលនោះ</w:t>
      </w:r>
      <w:r>
        <w:rPr>
          <w:rFonts w:ascii="Times New Roman" w:hAnsi="Times New Roman" w:eastAsia="Times New Roman" w:cs="Times New Roman"/>
        </w:rPr>
        <w:t xml:space="preserve"> </w:t>
      </w:r>
      <w:r>
        <w:rPr>
          <w:rFonts w:ascii="Leelawadee UI" w:hAnsi="Leelawadee UI" w:eastAsia="Leelawadee UI" w:cs="Leelawadee UI"/>
        </w:rPr>
        <w:t>ម្រាមដៃនៃដៃមនុស្សមួយបានលេចចេញមក</w:t>
      </w:r>
      <w:r>
        <w:rPr>
          <w:rFonts w:ascii="Times New Roman" w:hAnsi="Times New Roman" w:eastAsia="Times New Roman" w:cs="Times New Roman"/>
        </w:rPr>
        <w:t xml:space="preserve"> </w:t>
      </w:r>
      <w:r>
        <w:rPr>
          <w:rFonts w:ascii="Leelawadee UI" w:hAnsi="Leelawadee UI" w:eastAsia="Leelawadee UI" w:cs="Leelawadee UI"/>
        </w:rPr>
        <w:t>ហើយបានសរសេរនៅទល់មុខជើងចង្កៀង</w:t>
      </w:r>
      <w:r>
        <w:rPr>
          <w:rFonts w:ascii="Times New Roman" w:hAnsi="Times New Roman" w:eastAsia="Times New Roman" w:cs="Times New Roman"/>
        </w:rPr>
        <w:t xml:space="preserve"> </w:t>
      </w:r>
      <w:r>
        <w:rPr>
          <w:rFonts w:ascii="Leelawadee UI" w:hAnsi="Leelawadee UI" w:eastAsia="Leelawadee UI" w:cs="Leelawadee UI"/>
        </w:rPr>
        <w:t>លើស្រទាប់កំបោរនៃជញ្ជាំងវាំងរបស់ស្ដេច</w:t>
      </w:r>
      <w:r>
        <w:rPr>
          <w:rFonts w:ascii="Times New Roman" w:hAnsi="Times New Roman" w:eastAsia="Times New Roman" w:cs="Times New Roman"/>
        </w:rPr>
        <w:t xml:space="preserve">; </w:t>
      </w:r>
      <w:r>
        <w:rPr>
          <w:rFonts w:ascii="Leelawadee UI" w:hAnsi="Leelawadee UI" w:eastAsia="Leelawadee UI" w:cs="Leelawadee UI"/>
        </w:rPr>
        <w:t>ហើយស្ដេចបានឃើញផ្នែកនៃដៃដែលកំពុងសរសេរនោះ។</w:t>
      </w:r>
      <w:r>
        <w:rPr>
          <w:rFonts w:ascii="Times New Roman" w:hAnsi="Times New Roman" w:eastAsia="Times New Roman" w:cs="Times New Roman"/>
        </w:rPr>
        <w:t xml:space="preserve"> </w:t>
      </w:r>
      <w:r>
        <w:rPr>
          <w:rFonts w:ascii="Leelawadee UI" w:hAnsi="Leelawadee UI" w:eastAsia="Leelawadee UI" w:cs="Leelawadee UI"/>
        </w:rPr>
        <w:t>រួចទឹកមុខរបស់ស្ដេចក៏បានផ្លាស់ប្រែ</w:t>
      </w:r>
      <w:r>
        <w:rPr>
          <w:rFonts w:ascii="Times New Roman" w:hAnsi="Times New Roman" w:eastAsia="Times New Roman" w:cs="Times New Roman"/>
        </w:rPr>
        <w:t xml:space="preserve"> </w:t>
      </w:r>
      <w:r>
        <w:rPr>
          <w:rFonts w:ascii="Leelawadee UI" w:hAnsi="Leelawadee UI" w:eastAsia="Leelawadee UI" w:cs="Leelawadee UI"/>
        </w:rPr>
        <w:t>ហើយគំនិតរបស់ទ្រង់បានធ្វើឲ្យទ្រង់ភ័យខ្លាច</w:t>
      </w:r>
      <w:r>
        <w:rPr>
          <w:rFonts w:ascii="Times New Roman" w:hAnsi="Times New Roman" w:eastAsia="Times New Roman" w:cs="Times New Roman"/>
        </w:rPr>
        <w:t xml:space="preserve"> </w:t>
      </w:r>
      <w:r>
        <w:rPr>
          <w:rFonts w:ascii="Leelawadee UI" w:hAnsi="Leelawadee UI" w:eastAsia="Leelawadee UI" w:cs="Leelawadee UI"/>
        </w:rPr>
        <w:t>ដល់ថ្នាក់សន្លាក់ចង្កេះរបស់ទ្រង់រលុង</w:t>
      </w:r>
      <w:r>
        <w:rPr>
          <w:rFonts w:ascii="Times New Roman" w:hAnsi="Times New Roman" w:eastAsia="Times New Roman" w:cs="Times New Roman"/>
        </w:rPr>
        <w:t xml:space="preserve"> </w:t>
      </w:r>
      <w:r>
        <w:rPr>
          <w:rFonts w:ascii="Leelawadee UI" w:hAnsi="Leelawadee UI" w:eastAsia="Leelawadee UI" w:cs="Leelawadee UI"/>
        </w:rPr>
        <w:t>ហើយជង្គង់របស់ទ្រង់បុកគ្នាទៅវិញទៅមក។</w:t>
      </w:r>
      <w:r>
        <w:rPr>
          <w:rFonts w:ascii="Times New Roman" w:hAnsi="Times New Roman" w:eastAsia="Times New Roman" w:cs="Times New Roman"/>
        </w:rPr>
        <w:t xml:space="preserve"> </w:t>
      </w:r>
      <w:r>
        <w:rPr>
          <w:rFonts w:ascii="Leelawadee UI" w:hAnsi="Leelawadee UI" w:eastAsia="Leelawadee UI" w:cs="Leelawadee UI"/>
        </w:rPr>
        <w:t>ស្ដេចបានស្រែកឡើងដោយសំឡេងខ្លាំងឲ្យនាំពួកហោរាផ្កាយ</w:t>
      </w:r>
      <w:r>
        <w:rPr>
          <w:rFonts w:ascii="Times New Roman" w:hAnsi="Times New Roman" w:eastAsia="Times New Roman" w:cs="Times New Roman"/>
        </w:rPr>
        <w:t xml:space="preserve"> </w:t>
      </w:r>
      <w:r>
        <w:rPr>
          <w:rFonts w:ascii="Leelawadee UI" w:hAnsi="Leelawadee UI" w:eastAsia="Leelawadee UI" w:cs="Leelawadee UI"/>
        </w:rPr>
        <w:t>ពួកខាល់ដេ</w:t>
      </w:r>
      <w:r>
        <w:rPr>
          <w:rFonts w:ascii="Times New Roman" w:hAnsi="Times New Roman" w:eastAsia="Times New Roman" w:cs="Times New Roman"/>
        </w:rPr>
        <w:t xml:space="preserve"> </w:t>
      </w:r>
      <w:r>
        <w:rPr>
          <w:rFonts w:ascii="Leelawadee UI" w:hAnsi="Leelawadee UI" w:eastAsia="Leelawadee UI" w:cs="Leelawadee UI"/>
        </w:rPr>
        <w:t>និងពួកគ្រូទាយចូលមក។</w:t>
      </w:r>
      <w:r>
        <w:rPr>
          <w:rFonts w:ascii="Times New Roman" w:hAnsi="Times New Roman" w:eastAsia="Times New Roman" w:cs="Times New Roman"/>
        </w:rPr>
        <w:t xml:space="preserve"> </w:t>
      </w:r>
      <w:r>
        <w:rPr>
          <w:rFonts w:ascii="Leelawadee UI" w:hAnsi="Leelawadee UI" w:eastAsia="Leelawadee UI" w:cs="Leelawadee UI"/>
        </w:rPr>
        <w:t>ហើយស្ដេចមានព្រះបន្ទូលទៅកាន់ពួកអ្នកប្រាជ្ញនៃក្រុងបាប៊ីឡូនថា</w:t>
      </w:r>
      <w:r>
        <w:rPr>
          <w:rFonts w:ascii="Times New Roman" w:hAnsi="Times New Roman" w:eastAsia="Times New Roman" w:cs="Times New Roman"/>
        </w:rPr>
        <w:t xml:space="preserve"> </w:t>
      </w:r>
      <w:r>
        <w:rPr>
          <w:rFonts w:ascii="Leelawadee UI" w:hAnsi="Leelawadee UI" w:eastAsia="Leelawadee UI" w:cs="Leelawadee UI"/>
        </w:rPr>
        <w:t>អ្នកណាដែលអាចអានអក្សរនេះបាន</w:t>
      </w:r>
      <w:r>
        <w:rPr>
          <w:rFonts w:ascii="Times New Roman" w:hAnsi="Times New Roman" w:eastAsia="Times New Roman" w:cs="Times New Roman"/>
        </w:rPr>
        <w:t xml:space="preserve"> </w:t>
      </w:r>
      <w:r>
        <w:rPr>
          <w:rFonts w:ascii="Leelawadee UI" w:hAnsi="Leelawadee UI" w:eastAsia="Leelawadee UI" w:cs="Leelawadee UI"/>
        </w:rPr>
        <w:t>ហើយប្រាប់ការបកស្រាយរបស់វាដល់យើង</w:t>
      </w:r>
      <w:r>
        <w:rPr>
          <w:rFonts w:ascii="Times New Roman" w:hAnsi="Times New Roman" w:eastAsia="Times New Roman" w:cs="Times New Roman"/>
        </w:rPr>
        <w:t xml:space="preserve"> </w:t>
      </w:r>
      <w:r>
        <w:rPr>
          <w:rFonts w:ascii="Leelawadee UI" w:hAnsi="Leelawadee UI" w:eastAsia="Leelawadee UI" w:cs="Leelawadee UI"/>
        </w:rPr>
        <w:t>អ្នកនោះនឹងត្រូវបានស្លៀកពាក់ពណ៌ស្វាយក្រហម</w:t>
      </w:r>
      <w:r>
        <w:rPr>
          <w:rFonts w:ascii="Times New Roman" w:hAnsi="Times New Roman" w:eastAsia="Times New Roman" w:cs="Times New Roman"/>
        </w:rPr>
        <w:t xml:space="preserve"> </w:t>
      </w:r>
      <w:r>
        <w:rPr>
          <w:rFonts w:ascii="Leelawadee UI" w:hAnsi="Leelawadee UI" w:eastAsia="Leelawadee UI" w:cs="Leelawadee UI"/>
        </w:rPr>
        <w:t>ហើយមានខ្សែមាសពាក់នៅករបស់ខ្លួន</w:t>
      </w:r>
      <w:r>
        <w:rPr>
          <w:rFonts w:ascii="Times New Roman" w:hAnsi="Times New Roman" w:eastAsia="Times New Roman" w:cs="Times New Roman"/>
        </w:rPr>
        <w:t xml:space="preserve"> </w:t>
      </w:r>
      <w:r>
        <w:rPr>
          <w:rFonts w:ascii="Leelawadee UI" w:hAnsi="Leelawadee UI" w:eastAsia="Leelawadee UI" w:cs="Leelawadee UI"/>
        </w:rPr>
        <w:t>ហើយនឹងបានជាអ្នកគ្រប់គ្រងទីបីក្នុងនគរ។</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៧។</w:t>
      </w:r>
    </w:p>
    <w:p>
      <w:pPr>
        <w:pStyle w:val="ArticleBody"/>
        <w:jc w:val="left"/>
      </w:pPr>
      <w:r>
        <w:rPr>
          <w:rFonts w:ascii="Times New Roman" w:hAnsi="Times New Roman" w:eastAsia="Times New Roman" w:cs="Times New Roman"/>
        </w:rPr>
        <w:t>Historically, passage ia dipahami sebagai menunjukkan bahawa ayah Belshazzar telah menyerahkan takhta politik kepada Belshazzar, dan oleh sebab itu ganjaran terbaik yang dapat ditawarkannya kepada puteranya bagi suatu tafsiran tentang tulisan tangan itu ialah kedudukan sebagai pemerintah yang ketiga. Menjelang undang-undang Ahad di Amerika Syarikat, kepimpinan politik akan berada dalam kedudukan yang tunduk kepada kepimpinan agama yang sedang berusaha memperkenalkan suatu bentuk penyembahan yang baharu. Imej binatang itu melambangkan gabungan gereja dan negara dengan gereja menguasai hubungan tersebut, dan pada waktu undang-undang Ahad Belshazzar ialah raja politik, dengan demikian melambangkan negara, namun dia hanyalah orang kedua selepas kewibawaan keagamaan ayahnya. Yang terbaik yang dapat ditawarkannya kepada Daniel ialah menjadi yang ketiga.</w:t>
      </w:r>
    </w:p>
    <w:p>
      <w:pPr>
        <w:pStyle w:val="ArticleScripture"/>
        <w:jc w:val="left"/>
      </w:pPr>
      <w:r>
        <w:rPr>
          <w:rFonts w:ascii="Times New Roman" w:hAnsi="Times New Roman" w:eastAsia="Times New Roman" w:cs="Times New Roman"/>
        </w:rPr>
        <w:t>“</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प्रारंभीची</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सुवार्तेच्या</w:t>
      </w:r>
      <w:r>
        <w:rPr>
          <w:rFonts w:ascii="Times New Roman" w:hAnsi="Times New Roman" w:eastAsia="Times New Roman" w:cs="Times New Roman"/>
        </w:rPr>
        <w:t xml:space="preserve"> </w:t>
      </w:r>
      <w:r>
        <w:rPr>
          <w:rFonts w:ascii="Nirmala UI" w:hAnsi="Nirmala UI" w:eastAsia="Nirmala UI" w:cs="Nirmala UI"/>
        </w:rPr>
        <w:t>साधेपणापासून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अन्यधर्मी</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प्रथा</w:t>
      </w:r>
      <w:r>
        <w:rPr>
          <w:rFonts w:ascii="Times New Roman" w:hAnsi="Times New Roman" w:eastAsia="Times New Roman" w:cs="Times New Roman"/>
        </w:rPr>
        <w:t xml:space="preserve"> </w:t>
      </w:r>
      <w:r>
        <w:rPr>
          <w:rFonts w:ascii="Nirmala UI" w:hAnsi="Nirmala UI" w:eastAsia="Nirmala UI" w:cs="Nirmala UI"/>
        </w:rPr>
        <w:t>स्वीकारून</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गमावले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लोकांच्या</w:t>
      </w:r>
      <w:r>
        <w:rPr>
          <w:rFonts w:ascii="Times New Roman" w:hAnsi="Times New Roman" w:eastAsia="Times New Roman" w:cs="Times New Roman"/>
        </w:rPr>
        <w:t xml:space="preserve"> </w:t>
      </w:r>
      <w:r>
        <w:rPr>
          <w:rFonts w:ascii="Nirmala UI" w:hAnsi="Nirmala UI" w:eastAsia="Nirmala UI" w:cs="Nirmala UI"/>
        </w:rPr>
        <w:t>विवेकावर</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ठेवण्यासाठी</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सत्तेचा</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शोधला</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पोपशाही</w:t>
      </w:r>
      <w:r>
        <w:rPr>
          <w:rFonts w:ascii="Times New Roman" w:hAnsi="Times New Roman" w:eastAsia="Times New Roman" w:cs="Times New Roman"/>
        </w:rPr>
        <w:t>—</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राज्यसत्ता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नियंत्रणाखाली</w:t>
      </w:r>
      <w:r>
        <w:rPr>
          <w:rFonts w:ascii="Times New Roman" w:hAnsi="Times New Roman" w:eastAsia="Times New Roman" w:cs="Times New Roman"/>
        </w:rPr>
        <w:t xml:space="preserve"> </w:t>
      </w:r>
      <w:r>
        <w:rPr>
          <w:rFonts w:ascii="Nirmala UI" w:hAnsi="Nirmala UI" w:eastAsia="Nirmala UI" w:cs="Nirmala UI"/>
        </w:rPr>
        <w:t>ठेवली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स्वतःचे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साध्य</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विधर्माच्या</w:t>
      </w:r>
      <w:r>
        <w:rPr>
          <w:rFonts w:ascii="Times New Roman" w:hAnsi="Times New Roman" w:eastAsia="Times New Roman" w:cs="Times New Roman"/>
        </w:rPr>
        <w:t xml:space="preserve">’ </w:t>
      </w:r>
      <w:r>
        <w:rPr>
          <w:rFonts w:ascii="Nirmala UI" w:hAnsi="Nirmala UI" w:eastAsia="Nirmala UI" w:cs="Nirmala UI"/>
        </w:rPr>
        <w:t>शिक्षेसाठी</w:t>
      </w:r>
      <w:r>
        <w:rPr>
          <w:rFonts w:ascii="Times New Roman" w:hAnsi="Times New Roman" w:eastAsia="Times New Roman" w:cs="Times New Roman"/>
        </w:rPr>
        <w:t xml:space="preserve">, </w:t>
      </w:r>
      <w:r>
        <w:rPr>
          <w:rFonts w:ascii="Nirmala UI" w:hAnsi="Nirmala UI" w:eastAsia="Nirmala UI" w:cs="Nirmala UI"/>
        </w:rPr>
        <w:t>वापरली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संस्थानांनी</w:t>
      </w:r>
      <w:r>
        <w:rPr>
          <w:rFonts w:ascii="Times New Roman" w:hAnsi="Times New Roman" w:eastAsia="Times New Roman" w:cs="Times New Roman"/>
        </w:rPr>
        <w:t xml:space="preserve"> </w:t>
      </w:r>
      <w:r>
        <w:rPr>
          <w:rFonts w:ascii="Nirmala UI" w:hAnsi="Nirmala UI" w:eastAsia="Nirmala UI" w:cs="Nirmala UI"/>
        </w:rPr>
        <w:t>पशूची</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करावयाची</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सत्तेने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शासनावर</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मिळवला</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राज्याचा</w:t>
      </w:r>
      <w:r>
        <w:rPr>
          <w:rFonts w:ascii="Times New Roman" w:hAnsi="Times New Roman" w:eastAsia="Times New Roman" w:cs="Times New Roman"/>
        </w:rPr>
        <w:t xml:space="preserve"> </w:t>
      </w:r>
      <w:r>
        <w:rPr>
          <w:rFonts w:ascii="Nirmala UI" w:hAnsi="Nirmala UI" w:eastAsia="Nirmala UI" w:cs="Nirmala UI"/>
        </w:rPr>
        <w:t>अधिकारही</w:t>
      </w:r>
      <w:r>
        <w:rPr>
          <w:rFonts w:ascii="Times New Roman" w:hAnsi="Times New Roman" w:eastAsia="Times New Roman" w:cs="Times New Roman"/>
        </w:rPr>
        <w:t xml:space="preserve"> </w:t>
      </w:r>
      <w:r>
        <w:rPr>
          <w:rFonts w:ascii="Nirmala UI" w:hAnsi="Nirmala UI" w:eastAsia="Nirmala UI" w:cs="Nirmala UI"/>
        </w:rPr>
        <w:t>कलीसियेकडून</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स्वतःचे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वापरला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कलीसियाहरूका</w:t>
      </w:r>
      <w:r>
        <w:rPr>
          <w:rFonts w:ascii="Times New Roman" w:hAnsi="Times New Roman" w:eastAsia="Times New Roman" w:cs="Times New Roman"/>
        </w:rPr>
        <w:t xml:space="preserve"> </w:t>
      </w:r>
      <w:r>
        <w:rPr>
          <w:rFonts w:ascii="Nirmala UI" w:hAnsi="Nirmala UI" w:eastAsia="Nirmala UI" w:cs="Nirmala UI"/>
        </w:rPr>
        <w:t>तर्फबाट</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w:t>
      </w:r>
      <w:r>
        <w:rPr>
          <w:rFonts w:ascii="Nirmala UI" w:hAnsi="Nirmala UI" w:eastAsia="Nirmala UI" w:cs="Nirmala UI"/>
        </w:rPr>
        <w:t>पालनलाई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w:t>
      </w:r>
      <w:r>
        <w:rPr>
          <w:rFonts w:ascii="Nirmala UI" w:hAnsi="Nirmala UI" w:eastAsia="Nirmala UI" w:cs="Nirmala UI"/>
        </w:rPr>
        <w:t>आराधनालाई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आज्ञाको</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बुझेर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सबाथको</w:t>
      </w:r>
      <w:r>
        <w:rPr>
          <w:rFonts w:ascii="Times New Roman" w:hAnsi="Times New Roman" w:eastAsia="Times New Roman" w:cs="Times New Roman"/>
        </w:rPr>
        <w:t xml:space="preserve"> </w:t>
      </w:r>
      <w:r>
        <w:rPr>
          <w:rFonts w:ascii="Nirmala UI" w:hAnsi="Nirmala UI" w:eastAsia="Nirmala UI" w:cs="Nirmala UI"/>
        </w:rPr>
        <w:t>सट्टा</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सबाथ</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छनोट</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शक्तिलाई</w:t>
      </w:r>
      <w:r>
        <w:rPr>
          <w:rFonts w:ascii="Times New Roman" w:hAnsi="Times New Roman" w:eastAsia="Times New Roman" w:cs="Times New Roman"/>
        </w:rPr>
        <w:t xml:space="preserve"> </w:t>
      </w:r>
      <w:r>
        <w:rPr>
          <w:rFonts w:ascii="Nirmala UI" w:hAnsi="Nirmala UI" w:eastAsia="Nirmala UI" w:cs="Nirmala UI"/>
        </w:rPr>
        <w:t>श्रद्धाञ्जलि</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अधिकारद्वारा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आज्ञापित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धर्मसम्बन्धी</w:t>
      </w:r>
      <w:r>
        <w:rPr>
          <w:rFonts w:ascii="Times New Roman" w:hAnsi="Times New Roman" w:eastAsia="Times New Roman" w:cs="Times New Roman"/>
        </w:rPr>
        <w:t xml:space="preserve"> </w:t>
      </w:r>
      <w:r>
        <w:rPr>
          <w:rFonts w:ascii="Nirmala UI" w:hAnsi="Nirmala UI" w:eastAsia="Nirmala UI" w:cs="Nirmala UI"/>
        </w:rPr>
        <w:t>कर्तव्यलाई</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शक्तिद्वारा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कलीसियाहरूले</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w:t>
      </w:r>
      <w:r>
        <w:rPr>
          <w:rFonts w:ascii="Nirmala UI" w:hAnsi="Nirmala UI" w:eastAsia="Nirmala UI" w:cs="Nirmala UI"/>
        </w:rPr>
        <w:t>पालनको</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आराधनाको</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The Great Controversy, 443, 448, 449.</w:t>
      </w:r>
    </w:p>
    <w:p>
      <w:pPr>
        <w:pStyle w:val="ArticleBody"/>
        <w:jc w:val="left"/>
      </w:pPr>
      <w:r>
        <w:rPr>
          <w:rFonts w:ascii="Times New Roman" w:hAnsi="Times New Roman" w:eastAsia="Times New Roman" w:cs="Times New Roman"/>
        </w:rPr>
        <w:t>Alam sa isang krisis nahahayag ang ugali, at ang hiwagang pahayag sa pader ay nagbunga ng isang krisis sa karanasan ni Belshazzar at nagmarka ng wakas ng kaniyang kaharian, sa gayon ay sumasagisag sa wakas ng kaharian ng hayop na mula sa lupa. Namatay si Belshazzar nang mismong gabing iyon, na kumakatawan sa batas ng Linggo, nang ang Estados Unidos ay pabagsakin bilang ikaanim na kaharian ng hula sa Biblia sa panahon ng batas ng Linggo, datapuwa’t ang Estados Unidos ay kaagad na lumilipat tungo sa pagiging pangunahing hari ng sampung hari. Ang sampung hari ang ikapitong kaharian ng hula sa Biblia, at sila ay kaagad na nagkakaisa na ibigay ang kanilang ikapitong kaharian sa hayop.</w:t>
      </w:r>
    </w:p>
    <w:p>
      <w:pPr>
        <w:pStyle w:val="ArticleScripture"/>
        <w:jc w:val="left"/>
      </w:pPr>
      <w:r>
        <w:rPr>
          <w:rFonts w:ascii="Times New Roman" w:hAnsi="Times New Roman" w:eastAsia="Times New Roman" w:cs="Times New Roman"/>
        </w:rPr>
        <w:t>Kerana Allah telah menaruh dalam hati mereka untuk melaksanakan kehendak-Nya, dan untuk seia sekata, serta menyerahkan kerajaan mereka kepada binatang itu, sehingga firman Allah digenapi. Wahyu 17:17.</w:t>
      </w:r>
    </w:p>
    <w:p>
      <w:pPr>
        <w:pStyle w:val="ArticleBody"/>
        <w:jc w:val="left"/>
      </w:pPr>
      <w:r>
        <w:rPr>
          <w:rFonts w:ascii="Myanmar Text" w:hAnsi="Myanmar Text" w:eastAsia="Myanmar Text" w:cs="Myanmar Text"/>
        </w:rPr>
        <w:t>မြောက်ဆုံးသော</w:t>
      </w:r>
      <w:r>
        <w:rPr>
          <w:rFonts w:ascii="Times New Roman" w:hAnsi="Times New Roman" w:eastAsia="Times New Roman" w:cs="Times New Roman"/>
        </w:rPr>
        <w:t xml:space="preserve"> </w:t>
      </w:r>
      <w:r>
        <w:rPr>
          <w:rFonts w:ascii="Myanmar Text" w:hAnsi="Myanmar Text" w:eastAsia="Myanmar Text" w:cs="Myanmar Text"/>
        </w:rPr>
        <w:t>လှုပ်ရှားမှုများသည်</w:t>
      </w:r>
      <w:r>
        <w:rPr>
          <w:rFonts w:ascii="Times New Roman" w:hAnsi="Times New Roman" w:eastAsia="Times New Roman" w:cs="Times New Roman"/>
        </w:rPr>
        <w:t xml:space="preserve"> </w:t>
      </w:r>
      <w:r>
        <w:rPr>
          <w:rFonts w:ascii="Myanmar Text" w:hAnsi="Myanmar Text" w:eastAsia="Myanmar Text" w:cs="Myanmar Text"/>
        </w:rPr>
        <w:t>လျင်မြန်သောအရာများဖြစ်ကြပြီး၊</w:t>
      </w:r>
      <w:r>
        <w:rPr>
          <w:rFonts w:ascii="Times New Roman" w:hAnsi="Times New Roman" w:eastAsia="Times New Roman" w:cs="Times New Roman"/>
        </w:rPr>
        <w:t xml:space="preserve"> </w:t>
      </w:r>
      <w:r>
        <w:rPr>
          <w:rFonts w:ascii="Myanmar Text" w:hAnsi="Myanmar Text" w:eastAsia="Myanmar Text" w:cs="Myanmar Text"/>
        </w:rPr>
        <w:t>ဆဋ္ဌမနိုင်ငံမှ</w:t>
      </w:r>
      <w:r>
        <w:rPr>
          <w:rFonts w:ascii="Times New Roman" w:hAnsi="Times New Roman" w:eastAsia="Times New Roman" w:cs="Times New Roman"/>
        </w:rPr>
        <w:t xml:space="preserve"> </w:t>
      </w:r>
      <w:r>
        <w:rPr>
          <w:rFonts w:ascii="Myanmar Text" w:hAnsi="Myanmar Text" w:eastAsia="Myanmar Text" w:cs="Myanmar Text"/>
        </w:rPr>
        <w:t>သတ္တမနိုင်ငံသို့၊</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အဋ္ဌမနိုင်ငံသို့</w:t>
      </w:r>
      <w:r>
        <w:rPr>
          <w:rFonts w:ascii="Times New Roman" w:hAnsi="Times New Roman" w:eastAsia="Times New Roman" w:cs="Times New Roman"/>
        </w:rPr>
        <w:t xml:space="preserve"> </w:t>
      </w:r>
      <w:r>
        <w:rPr>
          <w:rFonts w:ascii="Myanmar Text" w:hAnsi="Myanmar Text" w:eastAsia="Myanmar Text" w:cs="Myanmar Text"/>
        </w:rPr>
        <w:t>ကူးပြောင်းမှုသည်လည်း</w:t>
      </w:r>
      <w:r>
        <w:rPr>
          <w:rFonts w:ascii="Times New Roman" w:hAnsi="Times New Roman" w:eastAsia="Times New Roman" w:cs="Times New Roman"/>
        </w:rPr>
        <w:t xml:space="preserve"> </w:t>
      </w:r>
      <w:r>
        <w:rPr>
          <w:rFonts w:ascii="Myanmar Text" w:hAnsi="Myanmar Text" w:eastAsia="Myanmar Text" w:cs="Myanmar Text"/>
        </w:rPr>
        <w:t>လျင်မြန်သည်။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လောကကြီးသည်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အကျပ်အတည်းတစ်ရပ်အတွင်း</w:t>
      </w:r>
      <w:r>
        <w:rPr>
          <w:rFonts w:ascii="Times New Roman" w:hAnsi="Times New Roman" w:eastAsia="Times New Roman" w:cs="Times New Roman"/>
        </w:rPr>
        <w:t xml:space="preserve"> </w:t>
      </w:r>
      <w:r>
        <w:rPr>
          <w:rFonts w:ascii="Myanmar Text" w:hAnsi="Myanmar Text" w:eastAsia="Myanmar Text" w:cs="Myanmar Text"/>
        </w:rPr>
        <w:t>ရှိနေသောကြောင့်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မြေသားတိရစ္ဆာန်၏</w:t>
      </w:r>
      <w:r>
        <w:rPr>
          <w:rFonts w:ascii="Times New Roman" w:hAnsi="Times New Roman" w:eastAsia="Times New Roman" w:cs="Times New Roman"/>
        </w:rPr>
        <w:t xml:space="preserve"> </w:t>
      </w:r>
      <w:r>
        <w:rPr>
          <w:rFonts w:ascii="Myanmar Text" w:hAnsi="Myanmar Text" w:eastAsia="Myanmar Text" w:cs="Myanmar Text"/>
        </w:rPr>
        <w:t>ပြိုလဲပျက်စီးခြင်းသည်</w:t>
      </w:r>
      <w:r>
        <w:rPr>
          <w:rFonts w:ascii="Times New Roman" w:hAnsi="Times New Roman" w:eastAsia="Times New Roman" w:cs="Times New Roman"/>
        </w:rPr>
        <w:t xml:space="preserve"> Belshazzar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ကြောက်ရွံ့စေပြီး၊</w:t>
      </w:r>
      <w:r>
        <w:rPr>
          <w:rFonts w:ascii="Times New Roman" w:hAnsi="Times New Roman" w:eastAsia="Times New Roman" w:cs="Times New Roman"/>
        </w:rPr>
        <w:t xml:space="preserve"> </w:t>
      </w:r>
      <w:r>
        <w:rPr>
          <w:rFonts w:ascii="Myanmar Text" w:hAnsi="Myanmar Text" w:eastAsia="Myanmar Text" w:cs="Myanmar Text"/>
        </w:rPr>
        <w:t>ဆယ်ပါးသော</w:t>
      </w:r>
      <w:r>
        <w:rPr>
          <w:rFonts w:ascii="Times New Roman" w:hAnsi="Times New Roman" w:eastAsia="Times New Roman" w:cs="Times New Roman"/>
        </w:rPr>
        <w:t xml:space="preserve"> </w:t>
      </w:r>
      <w:r>
        <w:rPr>
          <w:rFonts w:ascii="Myanmar Text" w:hAnsi="Myanmar Text" w:eastAsia="Myanmar Text" w:cs="Myanmar Text"/>
        </w:rPr>
        <w:t>ဘုရင်တို့၏</w:t>
      </w:r>
      <w:r>
        <w:rPr>
          <w:rFonts w:ascii="Times New Roman" w:hAnsi="Times New Roman" w:eastAsia="Times New Roman" w:cs="Times New Roman"/>
        </w:rPr>
        <w:t xml:space="preserve"> </w:t>
      </w:r>
      <w:r>
        <w:rPr>
          <w:rFonts w:ascii="Myanmar Text" w:hAnsi="Myanmar Text" w:eastAsia="Myanmar Text" w:cs="Myanmar Text"/>
        </w:rPr>
        <w:t>အထွတ်အထိပ်ဘုရင်အဖြစ်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ပြိုလဲပျက်စီးမှုအပေါ်</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ဘုရင်အပေါင်းတို့</w:t>
      </w:r>
      <w:r>
        <w:rPr>
          <w:rFonts w:ascii="Times New Roman" w:hAnsi="Times New Roman" w:eastAsia="Times New Roman" w:cs="Times New Roman"/>
        </w:rPr>
        <w:t xml:space="preserve"> </w:t>
      </w:r>
      <w:r>
        <w:rPr>
          <w:rFonts w:ascii="Myanmar Text" w:hAnsi="Myanmar Text" w:eastAsia="Myanmar Text" w:cs="Myanmar Text"/>
        </w:rPr>
        <w:t>တွေ့ကြုံရမည့်</w:t>
      </w:r>
      <w:r>
        <w:rPr>
          <w:rFonts w:ascii="Times New Roman" w:hAnsi="Times New Roman" w:eastAsia="Times New Roman" w:cs="Times New Roman"/>
        </w:rPr>
        <w:t xml:space="preserve"> </w:t>
      </w:r>
      <w:r>
        <w:rPr>
          <w:rFonts w:ascii="Myanmar Text" w:hAnsi="Myanmar Text" w:eastAsia="Myanmar Text" w:cs="Myanmar Text"/>
        </w:rPr>
        <w:t>ကြောက်ရွံ့ခြင်းကို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နံရံပေါ်၌</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ပေါ်လာသော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ကြီးစွာသော</w:t>
      </w:r>
      <w:r>
        <w:rPr>
          <w:rFonts w:ascii="Times New Roman" w:hAnsi="Times New Roman" w:eastAsia="Times New Roman" w:cs="Times New Roman"/>
        </w:rPr>
        <w:t xml:space="preserve"> </w:t>
      </w:r>
      <w:r>
        <w:rPr>
          <w:rFonts w:ascii="Myanmar Text" w:hAnsi="Myanmar Text" w:eastAsia="Myanmar Text" w:cs="Myanmar Text"/>
        </w:rPr>
        <w:t>မြေငလျင်၏</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သင်္ကေတသုံးပါးကို</w:t>
      </w:r>
      <w:r>
        <w:rPr>
          <w:rFonts w:ascii="Times New Roman" w:hAnsi="Times New Roman" w:eastAsia="Times New Roman" w:cs="Times New Roman"/>
        </w:rPr>
        <w:t xml:space="preserve"> </w:t>
      </w:r>
      <w:r>
        <w:rPr>
          <w:rFonts w:ascii="Myanmar Text" w:hAnsi="Myanmar Text" w:eastAsia="Myanmar Text" w:cs="Myanmar Text"/>
        </w:rPr>
        <w:t>မှတ်သားထားပြီး၊</w:t>
      </w:r>
      <w:r>
        <w:rPr>
          <w:rFonts w:ascii="Times New Roman" w:hAnsi="Times New Roman" w:eastAsia="Times New Roman" w:cs="Times New Roman"/>
        </w:rPr>
        <w:t xml:space="preserve"> </w:t>
      </w:r>
      <w:r>
        <w:rPr>
          <w:rFonts w:ascii="Myanmar Text" w:hAnsi="Myanmar Text" w:eastAsia="Myanmar Text" w:cs="Myanmar Text"/>
        </w:rPr>
        <w:t>နောက်ဆုံးသောနေ့ရက်များတွင်</w:t>
      </w:r>
      <w:r>
        <w:rPr>
          <w:rFonts w:ascii="Times New Roman" w:hAnsi="Times New Roman" w:eastAsia="Times New Roman" w:cs="Times New Roman"/>
        </w:rPr>
        <w:t xml:space="preserve"> </w:t>
      </w:r>
      <w:r>
        <w:rPr>
          <w:rFonts w:ascii="Myanmar Text" w:hAnsi="Myanmar Text" w:eastAsia="Myanmar Text" w:cs="Myanmar Text"/>
        </w:rPr>
        <w:t>ဘုရင်တို့ကို</w:t>
      </w:r>
      <w:r>
        <w:rPr>
          <w:rFonts w:ascii="Times New Roman" w:hAnsi="Times New Roman" w:eastAsia="Times New Roman" w:cs="Times New Roman"/>
        </w:rPr>
        <w:t xml:space="preserve"> </w:t>
      </w:r>
      <w:r>
        <w:rPr>
          <w:rFonts w:ascii="Myanmar Text" w:hAnsi="Myanmar Text" w:eastAsia="Myanmar Text" w:cs="Myanmar Text"/>
        </w:rPr>
        <w:t>ကြောက်ရွံ့စေသောအရာမှာ</w:t>
      </w:r>
      <w:r>
        <w:rPr>
          <w:rFonts w:ascii="Times New Roman" w:hAnsi="Times New Roman" w:eastAsia="Times New Roman" w:cs="Times New Roman"/>
        </w:rPr>
        <w:t xml:space="preserve"> </w:t>
      </w:r>
      <w:r>
        <w:rPr>
          <w:rFonts w:ascii="Myanmar Text" w:hAnsi="Myanmar Text" w:eastAsia="Myanmar Text" w:cs="Myanmar Text"/>
        </w:rPr>
        <w:t>အစ္စလာမ်ပင်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Maka, sesungguhnya, raja-raja telah berhimpun, mereka berlalu bersama-sama. Mereka melihatnya, lalu mereka tercengang; mereka terkejut, lalu bergegas melarikan diri. Kegentaran mencengkeram mereka di sana, dan rasa sakit seperti perempuan yang sedang melahirkan. Engkau memecahkan kapal-kapal Tarsis dengan angin timur. Seperti yang telah kami dengar, demikianlah telah kami lihat di kota Tuhan semesta alam, di kota Allah kami: Allah akan meneguhkannya untuk selama-lamanya. Selah. Mazmur 48:4–8.</w:t>
      </w:r>
    </w:p>
    <w:p>
      <w:pPr>
        <w:pStyle w:val="ArticleBody"/>
        <w:jc w:val="left"/>
      </w:pP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ভোজসভায়</w:t>
      </w:r>
      <w:r>
        <w:rPr>
          <w:rFonts w:ascii="Times New Roman" w:hAnsi="Times New Roman" w:eastAsia="Times New Roman" w:cs="Times New Roman"/>
        </w:rPr>
        <w:t xml:space="preserve"> </w:t>
      </w:r>
      <w:r>
        <w:rPr>
          <w:rFonts w:ascii="Nirmala UI" w:hAnsi="Nirmala UI" w:eastAsia="Nirmala UI" w:cs="Nirmala UI"/>
        </w:rPr>
        <w:t>প্রভুগণ</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রাজাগণ</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দ্রাক্ষারস</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পাত্রসমূহ</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দেখছিল।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পড়ল</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প্রাচীরের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প্রতিফলিত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ক্রমবর্ধমান</w:t>
      </w:r>
      <w:r>
        <w:rPr>
          <w:rFonts w:ascii="Times New Roman" w:hAnsi="Times New Roman" w:eastAsia="Times New Roman" w:cs="Times New Roman"/>
        </w:rPr>
        <w:t xml:space="preserve"> </w:t>
      </w:r>
      <w:r>
        <w:rPr>
          <w:rFonts w:ascii="Nirmala UI" w:hAnsi="Nirmala UI" w:eastAsia="Nirmala UI" w:cs="Nirmala UI"/>
        </w:rPr>
        <w:t>ভয়ের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প্রসববেদনায়</w:t>
      </w:r>
      <w:r>
        <w:rPr>
          <w:rFonts w:ascii="Times New Roman" w:hAnsi="Times New Roman" w:eastAsia="Times New Roman" w:cs="Times New Roman"/>
        </w:rPr>
        <w:t xml:space="preserve"> </w:t>
      </w:r>
      <w:r>
        <w:rPr>
          <w:rFonts w:ascii="Nirmala UI" w:hAnsi="Nirmala UI" w:eastAsia="Nirmala UI" w:cs="Nirmala UI"/>
        </w:rPr>
        <w:t>কাতর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ঘণ্টা</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পতাকাচিহ্ন</w:t>
      </w:r>
      <w:r>
        <w:rPr>
          <w:rFonts w:ascii="Times New Roman" w:hAnsi="Times New Roman" w:eastAsia="Times New Roman" w:cs="Times New Roman"/>
        </w:rPr>
        <w:t xml:space="preserve"> </w:t>
      </w:r>
      <w:r>
        <w:rPr>
          <w:rFonts w:ascii="Nirmala UI" w:hAnsi="Nirmala UI" w:eastAsia="Nirmala UI" w:cs="Nirmala UI"/>
        </w:rPr>
        <w:t>প্রসবের</w:t>
      </w:r>
      <w:r>
        <w:rPr>
          <w:rFonts w:ascii="Times New Roman" w:hAnsi="Times New Roman" w:eastAsia="Times New Roman" w:cs="Times New Roman"/>
        </w:rPr>
        <w:t xml:space="preserve"> </w:t>
      </w:r>
      <w:r>
        <w:rPr>
          <w:rFonts w:ascii="Nirmala UI" w:hAnsi="Nirmala UI" w:eastAsia="Nirmala UI" w:cs="Nirmala UI"/>
        </w:rPr>
        <w:t>উপক্রম</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প্রসববেদনা</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ভোজকক্ষের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লিখন।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ভয়ের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নামক</w:t>
      </w:r>
      <w:r>
        <w:rPr>
          <w:rFonts w:ascii="Times New Roman" w:hAnsi="Times New Roman" w:eastAsia="Times New Roman" w:cs="Times New Roman"/>
        </w:rPr>
        <w:t xml:space="preserve"> “</w:t>
      </w:r>
      <w:r>
        <w:rPr>
          <w:rFonts w:ascii="Nirmala UI" w:hAnsi="Nirmala UI" w:eastAsia="Nirmala UI" w:cs="Nirmala UI"/>
        </w:rPr>
        <w:t>পূর্ববায়ু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তর্শীশের</w:t>
      </w:r>
      <w:r>
        <w:rPr>
          <w:rFonts w:ascii="Times New Roman" w:hAnsi="Times New Roman" w:eastAsia="Times New Roman" w:cs="Times New Roman"/>
        </w:rPr>
        <w:t xml:space="preserve"> </w:t>
      </w:r>
      <w:r>
        <w:rPr>
          <w:rFonts w:ascii="Nirmala UI" w:hAnsi="Nirmala UI" w:eastAsia="Nirmala UI" w:cs="Nirmala UI"/>
        </w:rPr>
        <w:t>জাহাজসকল</w:t>
      </w:r>
      <w:r>
        <w:rPr>
          <w:rFonts w:ascii="Times New Roman" w:hAnsi="Times New Roman" w:eastAsia="Times New Roman" w:cs="Times New Roman"/>
        </w:rPr>
        <w:t xml:space="preserve"> </w:t>
      </w:r>
      <w:r>
        <w:rPr>
          <w:rFonts w:ascii="Nirmala UI" w:hAnsi="Nirmala UI" w:eastAsia="Nirmala UI" w:cs="Nirmala UI"/>
        </w:rPr>
        <w:t>ভাঙ্গিয়া</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balairung perjamuan Belsyazar, “seribu pembesar” sedang meminum anggur Babel, yang melambangkan penegakan hari Minggu. Pada waktu itu, orkestra Nebukadnezar mulai memainkan musik, sementara Belsyazar memerintahkan agar perkakas-perkakas tempat kudus dibawa masuk. Pelacur Tirus mulai bernyanyi, dan Israel yang murtad mulai menari mengelilingi patung emas Nebukadnezar. Namun pesta itu digagalkan oleh “angin timur,” yaitu “malapetaka yang ketiga” yang datang dengan segera, dan merupakan “sangkakala yang ketujuh.” Ketika Islam menggagalkan pesta itu, “bangsa-bangsa menjadi marah.” Mereka menjadi marah, sebab kapal-kapal Tarsis, lambang dari struktur ekonomi planet bumi, pada waktu itu ditenggelamkan di tengah laut.</w:t>
      </w:r>
    </w:p>
    <w:p>
      <w:pPr>
        <w:pStyle w:val="ArticleScripture"/>
        <w:jc w:val="left"/>
      </w:pPr>
      <w:r>
        <w:rPr>
          <w:rFonts w:ascii="Times New Roman" w:hAnsi="Times New Roman" w:eastAsia="Times New Roman" w:cs="Times New Roman"/>
        </w:rPr>
        <w:t>Tarshish ialah padagangmu oleh sebab limpahnya segala jenis kekayaan; dengan perak, besi, timah, dan timbal mereka berniaga di pasar-pasarmu. Yawan, Tubal, dan Mesekh, mereka ialah padagangmu: mereka memperdagangkan jiwa manusia dan bejana tembaga di pasarmu. Orang-orang dari kaum Togarmah berniaga di pasar-pasarmu dengan kuda, penunggang kuda, dan baghal. Orang-orang Dedan ialah padagangmu; banyak pulau menjadi barang dagangan dari tanganmu: mereka membawa kepadamu sebagai persembahan gading dan kayu hitam. Aram ialah padagangmu oleh sebab banyaknya hasil buatanmu: mereka berniaga di pasar-pasarmu dengan zamrud, kain ungu, sulaman, linen halus, karang, dan akik. Yehuda dan tanah Israel, mereka ialah padagangmu: mereka berniaga di pasarmu dengan gandum dari Minith, Pannag, madu, minyak, dan balsam. Damsyik ialah padagangmu oleh sebab banyaknya hasil buatanmu, oleh sebab limpahnya segala kekayaan; dengan anggur Helbon dan bulu domba putih. Dan juga Dan serta Yawan yang berkeliling berniaga di pasar-pasarmu: besi mengkilap, kasia, dan kalamus ada di pasarmu. Dedan ialah padagangmu dalam pakaian indah untuk kereta. Arab dan semua pemimpin Kedar, mereka berniaga dengan engkau dalam anak domba, domba jantan, dan kambing; dalam semuanya ini mereka ialah padagangmu. Para padagang Syeba dan Raama, mereka ialah padagangmu: mereka berniaga di pasar-pasarmu dengan rempah-rempah pilihan, segala batu permata, dan emas. Haran, Kaneh, dan Eden, para padagang Syeba, Asyur, dan Khilmad, ialah padagangmu. Mereka ini ialah padagangmu dalam segala macam barang, dalam kain biru, sulaman, dan dalam peti-peti pakaian yang indah, diikat dengan tali, dan dibuat dari kayu aras, di antara barang daganganmu. Kapal-kapal Tarshish menyanyikan pujian tentang engkau di pasarmu: dan engkau telah dipenuhi serta dibuat sangat mulia di tengah-tengah lautan. Para pendayungmu telah membawa engkau ke perairan yang dalam: angin timur telah meremukkan engkau di tengah-tengah lautan. Kekayaanmu, pasar-pasarmu, barang daganganmu, para kelasimuu, dan para jurumudimu, para pendempulmu, dan mereka yang memperdagangkan barang daganganmu, dan semua orang perangmu yang ada di dalammu, dan seluruh kumpulanmu yang ada di tengah-tengahmu, akan jatuh ke tengah lautan pada hari kebinasaanmu. Yehezkiel 27:12–26.</w:t>
      </w:r>
    </w:p>
    <w:p>
      <w:pPr>
        <w:pStyle w:val="ArticleBody"/>
        <w:jc w:val="left"/>
      </w:pPr>
      <w:r>
        <w:rPr>
          <w:rFonts w:ascii="Times New Roman" w:hAnsi="Times New Roman" w:eastAsia="Times New Roman" w:cs="Times New Roman"/>
        </w:rPr>
        <w:t>“kapal-kapal Tarsis” ialah lambang struktur ekonomi planet bumi, dan kapal-kapal itu ditenggelamkan di tengah-tengah laut oleh “angin timur.” Yehezkiel memberitahu kita bahawa hal ini berlaku pada “hari kebinasaanmu,” dan pokok pembicaraan Yehezkiel pasal dua puluh tujuh ialah ratapan bagi Tirus.</w:t>
      </w:r>
    </w:p>
    <w:p>
      <w:pPr>
        <w:pStyle w:val="ArticleScripture"/>
        <w:jc w:val="left"/>
      </w:pPr>
      <w:r>
        <w:rPr>
          <w:rFonts w:ascii="Times New Roman" w:hAnsi="Times New Roman" w:eastAsia="Times New Roman" w:cs="Times New Roman"/>
        </w:rPr>
        <w:t>Sida Rabbigu mar kale ayay ii timid, iyadoo leh, Hadda, ina aadmow, u qaad baroor Tyrus; oo Tyrus ku dheh, Adiga oo ku taalla marinka badda, oo ah ganacsatadii dadyowga ee jasiirado badan, Sayidka Rabbiga ahu sidan buu leeyahay; Tyrusay, waxaad tidhi, Anigu waxaan ahay qurux kaamil ah. Ezekiel 27:1–3.</w:t>
      </w:r>
    </w:p>
    <w:p>
      <w:pPr>
        <w:pStyle w:val="ArticleBody"/>
        <w:jc w:val="left"/>
      </w:pPr>
      <w:r>
        <w:rPr>
          <w:rFonts w:ascii="Times New Roman" w:hAnsi="Times New Roman" w:eastAsia="Times New Roman" w:cs="Times New Roman"/>
        </w:rPr>
        <w:t>Hlēh ū mōn lōm dūn na Tyrus. Lōm dūn na Tyrus ōm lūthik Sunday, mōk Tyrus ōm sasimbol na pāpasi, kēn kajejjet eo an ej jino ilo “awa” eo ke ri-ruoñin kajin Revelation 18 ej jino kōllāik ro rej etal etto jen Babylon.</w:t>
      </w:r>
    </w:p>
    <w:p>
      <w:pPr>
        <w:pStyle w:val="ArticleScripture"/>
        <w:jc w:val="left"/>
      </w:pPr>
      <w:r>
        <w:rPr>
          <w:rFonts w:ascii="Times New Roman" w:hAnsi="Times New Roman" w:eastAsia="Times New Roman" w:cs="Times New Roman"/>
        </w:rPr>
        <w:t>Dan aku mendengar satu suara lain dari syurga, berkata, Keluarlah daripadanya, hai umat-Ku, supaya kamu jangan mengambil bahagian dalam dosa-dosanya, dan supaya kamu jangan menerima bala-balanya. Kerana dosa-dosanya telah sampai ke langit, dan Allah telah mengingat segala kejahatannya. Balaskanlah kepadanya sebagaimana dia telah membalas kamu, dan lipatgandakanlah kepadanya dua kali ganda menurut perbuatannya; dalam cawan yang telah diisinya, isikanlah baginya dua kali ganda. Sebagaimana dia telah memuliakan dirinya sendiri, dan hidup dalam kemewahan, demikianlah berikan kepadanya azab dan perkabungan; kerana dia berkata dalam hatinya, Aku duduk sebagai ratu, dan bukan balu, dan sekali-kali tidak akan melihat dukacita. Oleh itu, bala-balanya akan datang dalam satu hari, iaitu maut, perkabungan, dan kebuluran; dan dia akan dibakar habis dengan api; kerana kuatlah Tuhan Allah yang menghakiminya. Dan raja-raja di bumi, yang telah berzina dan hidup dalam kemewahan bersamanya, akan meratapinya dan menangisinya, apabila mereka melihat asap pembakarannya, Berdiri jauh kerana takut akan azabnya, sambil berkata, Malang, malanglah kota besar itu, Babel, kota yang kuat itu! Kerana dalam satu jam sahaja telah datang penghakimanmu. Dan para pedagang di bumi akan menangis dan berkabung atasnya; kerana tidak ada seorang pun lagi yang membeli barang dagangan mereka. Wahyu 18:4–11.</w:t>
      </w:r>
    </w:p>
    <w:p>
      <w:pPr>
        <w:pStyle w:val="ArticleBody"/>
        <w:jc w:val="left"/>
      </w:pPr>
      <w:r>
        <w:rPr>
          <w:rFonts w:ascii="Times New Roman" w:hAnsi="Times New Roman" w:eastAsia="Times New Roman" w:cs="Times New Roman"/>
        </w:rPr>
        <w:t>Leih thu le “hour,” a hmang hi vawi nga a ni a, Daniela lehkhabu ah chuan hmun tinah hian rorêlna eng emaw zat a entîr zêl. Rorêlna anga awm chu a hmanna tûra thawnthu thuin a kawng a hrilh ang zêlin a hriat theih. Daniela bung li-na ah chuan, thu “hour” hi a hmasa berin rorêlna lo kal tûr puan chhuah nân a hman a ni; chu chu October 22, 1844-a tan chhuak a ni tih investigative judgment emaw, Sunday law-ah tan chhuak executive judgment emaw a ni thei. Hêng pahnihah hian, investigative rorêlna emaw executive rorêlna emaw chu hmasawn zêl tûr, kal zêl tûr a ni. Papacy-a executive rorêlna chu United States-a Sunday law atanga tan a ni. Chumi chuan papacy-a executive rorêlna tan chhuahna “hour” a lo entîr a, chu “hour” chu Thupuan bung sawm leh pakhat-a “hour” a ni, khami lei hnahthlak nasa tak thlengna hun chu a ni; chutah chuan hriat tûr pahnihte, Shadrach, Meshach leh Abednego hmangin an entîrte chu mei furnes-ah paih luh an ni a, chu chu Ezekiela rualral nasa tak sipai ruallian anga kaihthawhna ensign kai chhoh chu a ni. Chu “hour” chiahah chuan Belshazzara bangah kutziak a lo lang a ni.</w:t>
      </w:r>
    </w:p>
    <w:p>
      <w:pPr>
        <w:pStyle w:val="ArticleBody"/>
        <w:jc w:val="left"/>
      </w:pPr>
      <w:r>
        <w:rPr>
          <w:rFonts w:ascii="Times New Roman" w:hAnsi="Times New Roman" w:eastAsia="Times New Roman" w:cs="Times New Roman"/>
        </w:rPr>
        <w:t>“Tarshish” ni ngalawa, ishi irepresinta i estruktura dagiti linia ti suplay nga ekonomiko iti entero a planeta dagiti daga, ket malunodda iti tengnga dagiti baybay iti dayta a tiempo, ket daytoy ti mangpataud iti panagbuteng dagiti agtagilako ken dagiti ari iti daga, kas naipakita ken Belshazzar.</w:t>
      </w:r>
    </w:p>
    <w:p>
      <w:pPr>
        <w:pStyle w:val="ArticleBody"/>
        <w:jc w:val="left"/>
      </w:pPr>
      <w:r>
        <w:rPr>
          <w:rFonts w:ascii="Times New Roman" w:hAnsi="Times New Roman" w:eastAsia="Times New Roman" w:cs="Times New Roman"/>
        </w:rPr>
        <w:t>Dalam Wahyu sebelas, “jam” itu ialah saat “Celaka” yang ketiga dari Islam datang dengan segera, dan Sangkakala Ketujuh berbunyi, dan bangsa-bangsa menjadi marah. Ketiga-tiga lambang itu menunjuk kepada Islam sebagai alat providensial yang Tuhan gunakan untuk melaksanakan pembunuhan Belsyazar pada “jam” itu juga. Belsyazar dibunuh oleh musuh-musuh yang diam-diam masuk ke dalam kerajaannya melalui pintu-pintu gerbang yang dengan cuai dibiarkan terbuka, sama seperti tembok sempadan antara Mexico dan Amerika Syarikat telah dengan cuai dibiarkan terbuka, ketika “jam” bagi “gempa bumi” yang besar itu semakin mendekat.</w:t>
      </w:r>
    </w:p>
    <w:p>
      <w:pPr>
        <w:pStyle w:val="ArticleBody"/>
        <w:jc w:val="left"/>
      </w:pPr>
      <w:r>
        <w:rPr>
          <w:rFonts w:ascii="Times New Roman" w:hAnsi="Times New Roman" w:eastAsia="Times New Roman" w:cs="Times New Roman"/>
        </w:rPr>
        <w:t>Pe pʉnjer pʉn wan de deadly wound blo papacy e bin goh heal, Daniel chapter eleven, las six verse blo hem, talem aut olketa samting ia. Insaid long olketa verse ia olketa shoaem thri obstacle wea olketa winim taem papacy’s deadly wound e goh heal. King blo North olowe olketa winim thri obstacle long road blo hem go long supreme power, an olowe long disfala order: first enemy blo hem, second ally blo hem, an then olketa victim blo hem long end. First wan wea olketa winim hem nao King blo South, wea representim Soviet Union, las enemy blo Rome, wea olketa sweepim go long 1989. Second obstacle nao glorious land, wea hem ally blo Rome wea conquerim USSR for Rome, United States, wea olketa conquerim long “hour” wea iumi nao olketa considerim. Bihain long dat, third obstacle, wea olketa representim olsem Egypt, representim taem papacy tekem control long victim blo hem, United Nations.</w:t>
      </w:r>
    </w:p>
    <w:p>
      <w:pPr>
        <w:pStyle w:val="ArticleBody"/>
        <w:jc w:val="left"/>
      </w:pPr>
      <w:r>
        <w:rPr>
          <w:rFonts w:ascii="Times New Roman" w:hAnsi="Times New Roman" w:eastAsia="Times New Roman" w:cs="Times New Roman"/>
        </w:rPr>
        <w:t>Taun 1989, apabil pengabukaan meterai bagi ayat-ayat itu berlaku, dan sesudah itu bertambah pengetahuan mengenai ayat-ayat tersebut, telah dikenali bahawa Roma kafir, Roma kepausan, dan kemudian Roma moden (yang dilambangkan sebagai Raja Utara dalam enam ayat terakhir Daniel pasal sebelas), masing-masing perlu menakluk tiga halangan geografi sebelum ditegakkan sebagai sebuah kerajaan. Bagi Roma kafir, tiga halangan itu dilambangkan sebagai tiga arah.</w:t>
      </w:r>
    </w:p>
    <w:p>
      <w:pPr>
        <w:pStyle w:val="ArticleScripture"/>
        <w:jc w:val="left"/>
      </w:pPr>
      <w:r>
        <w:rPr>
          <w:rFonts w:ascii="Times New Roman" w:hAnsi="Times New Roman" w:eastAsia="Times New Roman" w:cs="Times New Roman"/>
        </w:rPr>
        <w:t>Lalu dari salah satu daripadanya muncul sebuah tanduk kecil, yang menjadi sangat besar, ke arah selatan, dan ke arah timur, dan ke arah negeri yang permai. Daniel 8:9.</w:t>
      </w:r>
    </w:p>
    <w:p>
      <w:pPr>
        <w:pStyle w:val="ArticleBody"/>
        <w:jc w:val="left"/>
      </w:pPr>
      <w:r>
        <w:rPr>
          <w:rFonts w:ascii="Times New Roman" w:hAnsi="Times New Roman" w:eastAsia="Times New Roman" w:cs="Times New Roman"/>
        </w:rPr>
        <w:t>Bagi Roma kepausan, ketiga-tiganya ialah tanduk-tanduk yang perlu dicabut.</w:t>
      </w:r>
    </w:p>
    <w:p>
      <w:pPr>
        <w:pStyle w:val="ArticleScripture"/>
        <w:jc w:val="left"/>
      </w:pPr>
      <w:r>
        <w:rPr>
          <w:rFonts w:ascii="Times New Roman" w:hAnsi="Times New Roman" w:eastAsia="Times New Roman" w:cs="Times New Roman"/>
        </w:rPr>
        <w:t>Saya memperhatikan tanduk-tanduk itu, dan tampaklah muncul di antara tanduk-tanduk itu sebuah tanduk kecil yang lain; di hadapannya, tiga dari tanduk-tanduk yang pertama itu tercabut sampai ke akar-akarnya. Dan tampaklah, pada tanduk itu ada mata seperti mata manusia, dan sebuah mulut yang mengucapkan perkara-perkara yang besar. Daniel 7:8.</w:t>
      </w:r>
    </w:p>
    <w:p>
      <w:pPr>
        <w:pStyle w:val="ArticleBody"/>
        <w:jc w:val="left"/>
      </w:pPr>
      <w:r>
        <w:rPr>
          <w:rFonts w:ascii="Times New Roman" w:hAnsi="Times New Roman" w:eastAsia="Times New Roman" w:cs="Times New Roman"/>
        </w:rPr>
        <w:t>Ab Roma an lhinghna, (hmarchhak lam lal), Daniela bung 11 chhunga changruk hnuhnung berah a entir angin, dâlna pathumte chu hmarchhak lam lal, ram ropui, leh Aigupta an ni a. Rome milem biakna leh pope Rome-te anga, he dâlna pathumte hian khawvel hmun ramri lam dâlna an entir bawk a ni. Rome an lhinghna, Daniela bung 11 chhunga changruk hnuhnung berah hmarchhak lam lal anga a entir hian, “kulh” pathum a paltlang/tuarsak a ngai a; “kulh” hmasa ber nen chuan, kulh tak tak pakhat a tihchhiat hun hmanin filosofa lam “kulh” pakhat pawh tihbo a ni nghal bawk. Kum 1989 khan, hmarchhak lam lalin Soviet Union (hmarchhak lam lal) a hnehchhiah/inthlahna a siam khan, “thir puan inthliarna” tih filosofa lam “kulh” chu tihbo a ni a, Berlin kulh pawh tihchhiat vek a ni bawk.</w:t>
      </w:r>
    </w:p>
    <w:p>
      <w:pPr>
        <w:pStyle w:val="ArticleBody"/>
        <w:jc w:val="left"/>
      </w:pPr>
      <w:r>
        <w:rPr>
          <w:rFonts w:ascii="Times New Roman" w:hAnsi="Times New Roman" w:eastAsia="Times New Roman" w:cs="Times New Roman"/>
        </w:rPr>
        <w:t>Dalam “jam” penghakiman Belsyazar, ketika tulisan itu tertera pada dinding, dan musuh-musuhnya diam-diam masuk melalui pintu-pintu gerbang yang tidak terjaga, “dinding” filosofis pemisahan antara gereja dan negara disingkirkan, sementara Islam dari Tulah yang ketiga telah diam-diam masuk melalui “dinding” yang tidak dijaga di perbatasan selatan negeri yang mulia itu.</w:t>
      </w:r>
    </w:p>
    <w:p>
      <w:pPr>
        <w:pStyle w:val="ArticleBody"/>
        <w:jc w:val="left"/>
      </w:pPr>
      <w:r>
        <w:rPr>
          <w:rFonts w:ascii="Times New Roman" w:hAnsi="Times New Roman" w:eastAsia="Times New Roman" w:cs="Times New Roman"/>
        </w:rPr>
        <w:t>Apabila “Mesir”, yang melambangkan Pertubuhan Bangsa-Bangsa Bersatu, ditaklukkan, dan “tembok kedaulatan negara” yang bersifat falsafah disingkirkan, ketika setiap bangsa dipaksa menerima kerajaan satu dunia yang diarahkan oleh pelacur Tirus. Pada waktu itu, suatu keruntuhan kewangan akan berlaku yang menghasilkan undang-undang tentera dan despotisme pada akhir zaman. Sesuatu mungkin sekali akan berlaku di sebuah jalan yang disebut “Wall Street”.</w:t>
      </w:r>
    </w:p>
    <w:p>
      <w:pPr>
        <w:pStyle w:val="ArticleScripture"/>
        <w:jc w:val="left"/>
      </w:pPr>
      <w:r>
        <w:rPr>
          <w:rFonts w:ascii="Times New Roman" w:hAnsi="Times New Roman" w:eastAsia="Times New Roman" w:cs="Times New Roman"/>
        </w:rPr>
        <w:t>“Tsela eo ka yone gone jaanong go beelediwang ka boiketlo jo bogolo mo tirong ya Modimo, mme e tserwe ka boithati ya bolokwa, mo nakong e khutshwane e tla latlhelwa mmogo le medingwana kwa mekgweng le kwa bojelatshwene. Madi a tla tloga a wa ka boleng ka bonako jo bogolo thata fa boammaaruri jwa ditiragalo tsa bosakhutleng bo bulegela maikutlo a motho.” Welfare Ministry, 266.</w:t>
      </w:r>
    </w:p>
    <w:p>
      <w:pPr>
        <w:pStyle w:val="ArticleBody"/>
        <w:jc w:val="left"/>
      </w:pPr>
      <w:r>
        <w:rPr>
          <w:rFonts w:ascii="Times New Roman" w:hAnsi="Times New Roman" w:eastAsia="Times New Roman" w:cs="Times New Roman"/>
        </w:rPr>
        <w:t>Ре дурнаме лоя йелеꞌ па йела кайи кендианмеꞌ Белсазар амва̄й куа ндани маа ламён.</w:t>
      </w:r>
    </w:p>
    <w:p>
      <w:pPr>
        <w:pStyle w:val="ArticleScripture"/>
        <w:jc w:val="left"/>
      </w:pPr>
      <w:r>
        <w:rPr>
          <w:rFonts w:ascii="Times New Roman" w:hAnsi="Times New Roman" w:eastAsia="Times New Roman" w:cs="Times New Roman"/>
        </w:rPr>
        <w:t>“Biloeno, jaaka mo malatsing a ga Elija, mola wa kgaoganyo fa gare ga batho ba Modimo ba ba bolokang ditaelo tsa Gagwe le baobamedi ba medimo ya maaka o supilwe sentle. ‘Lo tlaa ema lo okaoka ka dikakanyo tse pedi go fitlha leng?’ Elija a goeletsa; ‘fa Jehofa e le Modimo, mo saleng morago; mme fa e le Baebele, mo saleng morago.’ 1 Dikgosi 18:21. Mme molaetsa wa gompieno ke ono: ‘Babelona o mogolo o wele, o wele…. Tswayang mo go ene, batho ba me, gore lo se ka lwa nna le kabelo mo dibeng tsa gagwe, le gore lo se ka lwa amogela mo dipetsong tsa gagwe. Gonne dibe tsa gagwe di fitlhile kwa legodimong, mme Modimo o gakologetswe boikepo jwa gagwe.’ Tshenolo 18:2, 4, 5.”</w:t>
      </w:r>
    </w:p>
    <w:p>
      <w:pPr>
        <w:pStyle w:val="ArticleScripture"/>
        <w:jc w:val="left"/>
      </w:pPr>
      <w:r>
        <w:rPr>
          <w:rFonts w:ascii="Times New Roman" w:hAnsi="Times New Roman" w:eastAsia="Times New Roman" w:cs="Times New Roman"/>
        </w:rPr>
        <w:t>“Masa itu tidak lagi jauh apabila ujian akan datang kepada setiap jiwa. Penurutan sabat yang palsu akan didesakkan ke atas kita. Pertentangan itu akan berlaku antara hukum-hukum Allah dan perintah-perintah manusia. Mereka yang telah, langkah demi langkah, tunduk kepada tuntutan duniawi dan menyesuaikan diri dengan adat kebiasaan dunia, pada waktu itu akan menyerah kepada kuasa-kuasa yang memerintah, daripada menundukkan diri kepada ejekan, penghinaan, ancaman pemenjaraan, dan kematian. Pada masa itu emas akan dipisahkan daripada kekotoran. Kesalehan yang sejati akan dibezakan dengan jelas daripada rupa lahiriah dan gemerlapnya yang palsu. Banyak bintang yang telah kita kagumi kerana cahayanya yang gemilang pada waktu itu akan padam dalam kegelapan. Mereka yang telah mengenakan perhiasan tempat kudus, tetapi tidak berpakaian dengan kebenaran Kristus, pada waktu itu akan tampak dalam kehinaan ketelanjangan mereka sendiri.”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Dua Puluh Sembilan</dc:title>
  <dc:subject>Pesta Belsyazar dan Jam Kenabian: Menyingkap Hukum Minggu, Kejatuhan Babel, dan Krisis Terakhir</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