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la Danieli - Nambala Makumi Ghatatu na Chitatu ndi Chinkhondi na Chimoza</w:t>
      </w:r>
    </w:p>
    <w:p>
      <w:pPr>
        <w:pStyle w:val="ArticleSubtitle"/>
        <w:jc w:val="left"/>
      </w:pPr>
      <w:r>
        <w:rPr>
          <w:rFonts w:ascii="Arial" w:hAnsi="Arial" w:eastAsia="Arial" w:cs="Arial"/>
        </w:rPr>
        <w:t>Ubuporofeti bw’Igereranyo cya Nebukadinezari: Guhishura Ibimenyetso Nyaburanga by’amateka y’Umutwe w’Abamillerite n’Iyerekwa Ryashyizweho Ikimenyetso ry’Umugezi wa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bab satu melambangkan sejarah malaikat pertama dan kedua dari 11 Ogos 1840 hingga 22 Oktober 1844. Daniel bab empat juga membicarakan sejarah malaikat pertama dan kedua dari 723 SM hingga 22 Oktober 1844. Sudah tentu, hal ini mustahil untuk dilihat tanpa metodologi hujan akhir, iaitu “baris demi baris.”</w:t>
      </w:r>
    </w:p>
    <w:p>
      <w:pPr>
        <w:pStyle w:val="ArticleBody"/>
        <w:jc w:val="left"/>
      </w:pPr>
      <w:r>
        <w:rPr>
          <w:rFonts w:ascii="Nirmala UI" w:hAnsi="Nirmala UI" w:eastAsia="Nirmala UI" w:cs="Nirmala UI"/>
        </w:rPr>
        <w:t>නෙබුකද්නේසරය</w:t>
      </w:r>
      <w:r>
        <w:rPr>
          <w:rFonts w:ascii="Times New Roman" w:hAnsi="Times New Roman" w:eastAsia="Times New Roman" w:cs="Times New Roman"/>
        </w:rPr>
        <w:t xml:space="preserve">, </w:t>
      </w:r>
      <w:r>
        <w:rPr>
          <w:rFonts w:ascii="Nirmala UI" w:hAnsi="Nirmala UI" w:eastAsia="Nirmala UI" w:cs="Nirmala UI"/>
        </w:rPr>
        <w:t>හතරවන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සංකීර්ණ</w:t>
      </w:r>
      <w:r>
        <w:rPr>
          <w:rFonts w:ascii="Times New Roman" w:hAnsi="Times New Roman" w:eastAsia="Times New Roman" w:cs="Times New Roman"/>
        </w:rPr>
        <w:t xml:space="preserve"> </w:t>
      </w:r>
      <w:r>
        <w:rPr>
          <w:rFonts w:ascii="Nirmala UI" w:hAnsi="Nirmala UI" w:eastAsia="Nirmala UI" w:cs="Nirmala UI"/>
        </w:rPr>
        <w:t>භාවිෂ්</w:t>
      </w:r>
      <w:r>
        <w:rPr>
          <w:rFonts w:ascii="Times New Roman" w:hAnsi="Times New Roman" w:eastAsia="Times New Roman" w:cs="Times New Roman"/>
        </w:rPr>
        <w:t>‍</w:t>
      </w:r>
      <w:r>
        <w:rPr>
          <w:rFonts w:ascii="Nirmala UI" w:hAnsi="Nirmala UI" w:eastAsia="Nirmala UI" w:cs="Nirmala UI"/>
        </w:rPr>
        <w:t>යවචනීය</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විලියම්</w:t>
      </w:r>
      <w:r>
        <w:rPr>
          <w:rFonts w:ascii="Times New Roman" w:hAnsi="Times New Roman" w:eastAsia="Times New Roman" w:cs="Times New Roman"/>
        </w:rPr>
        <w:t xml:space="preserve"> </w:t>
      </w:r>
      <w:r>
        <w:rPr>
          <w:rFonts w:ascii="Nirmala UI" w:hAnsi="Nirmala UI" w:eastAsia="Nirmala UI" w:cs="Nirmala UI"/>
        </w:rPr>
        <w:t>මිලර්ගේ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උලයි</w:t>
      </w:r>
      <w:r>
        <w:rPr>
          <w:rFonts w:ascii="Times New Roman" w:hAnsi="Times New Roman" w:eastAsia="Times New Roman" w:cs="Times New Roman"/>
        </w:rPr>
        <w:t xml:space="preserve"> </w:t>
      </w:r>
      <w:r>
        <w:rPr>
          <w:rFonts w:ascii="Nirmala UI" w:hAnsi="Nirmala UI" w:eastAsia="Nirmala UI" w:cs="Nirmala UI"/>
        </w:rPr>
        <w:t>ගඟේ</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රාහරණය</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විමසීමට</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කුමක්දැයි</w:t>
      </w:r>
      <w:r>
        <w:rPr>
          <w:rFonts w:ascii="Times New Roman" w:hAnsi="Times New Roman" w:eastAsia="Times New Roman" w:cs="Times New Roman"/>
        </w:rPr>
        <w:t xml:space="preserve"> </w:t>
      </w:r>
      <w:r>
        <w:rPr>
          <w:rFonts w:ascii="Nirmala UI" w:hAnsi="Nirmala UI" w:eastAsia="Nirmala UI" w:cs="Nirmala UI"/>
        </w:rPr>
        <w:t>අපටම</w:t>
      </w:r>
      <w:r>
        <w:rPr>
          <w:rFonts w:ascii="Times New Roman" w:hAnsi="Times New Roman" w:eastAsia="Times New Roman" w:cs="Times New Roman"/>
        </w:rPr>
        <w:t xml:space="preserve"> </w:t>
      </w:r>
      <w:r>
        <w:rPr>
          <w:rFonts w:ascii="Nirmala UI" w:hAnsi="Nirmala UI" w:eastAsia="Nirmala UI" w:cs="Nirmala UI"/>
        </w:rPr>
        <w:t>මතක්</w:t>
      </w:r>
      <w:r>
        <w:rPr>
          <w:rFonts w:ascii="Times New Roman" w:hAnsi="Times New Roman" w:eastAsia="Times New Roman" w:cs="Times New Roman"/>
        </w:rPr>
        <w:t xml:space="preserve"> </w:t>
      </w:r>
      <w:r>
        <w:rPr>
          <w:rFonts w:ascii="Nirmala UI" w:hAnsi="Nirmala UI" w:eastAsia="Nirmala UI" w:cs="Nirmala UI"/>
        </w:rPr>
        <w:t>කරගැනීම</w:t>
      </w:r>
      <w:r>
        <w:rPr>
          <w:rFonts w:ascii="Times New Roman" w:hAnsi="Times New Roman" w:eastAsia="Times New Roman" w:cs="Times New Roman"/>
        </w:rPr>
        <w:t xml:space="preserve"> </w:t>
      </w:r>
      <w:r>
        <w:rPr>
          <w:rFonts w:ascii="Nirmala UI" w:hAnsi="Nirmala UI" w:eastAsia="Nirmala UI" w:cs="Nirmala UI"/>
        </w:rPr>
        <w:t>වැදගත්ය</w:t>
      </w:r>
      <w:r>
        <w:rPr>
          <w:rFonts w:ascii="Times New Roman" w:hAnsi="Times New Roman" w:eastAsia="Times New Roman" w:cs="Times New Roman"/>
        </w:rPr>
        <w:t xml:space="preserve">. </w:t>
      </w:r>
      <w:r>
        <w:rPr>
          <w:rFonts w:ascii="Nirmala UI" w:hAnsi="Nirmala UI" w:eastAsia="Nirmala UI" w:cs="Nirmala UI"/>
        </w:rPr>
        <w:t>නෙබුකද්නේසරයාගේ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සිහිනය</w:t>
      </w:r>
      <w:r>
        <w:rPr>
          <w:rFonts w:ascii="Times New Roman" w:hAnsi="Times New Roman" w:eastAsia="Times New Roman" w:cs="Times New Roman"/>
        </w:rPr>
        <w:t xml:space="preserve">, </w:t>
      </w:r>
      <w:r>
        <w:rPr>
          <w:rFonts w:ascii="Nirmala UI" w:hAnsi="Nirmala UI" w:eastAsia="Nirmala UI" w:cs="Nirmala UI"/>
        </w:rPr>
        <w:t>විලියම්</w:t>
      </w:r>
      <w:r>
        <w:rPr>
          <w:rFonts w:ascii="Times New Roman" w:hAnsi="Times New Roman" w:eastAsia="Times New Roman" w:cs="Times New Roman"/>
        </w:rPr>
        <w:t xml:space="preserve"> </w:t>
      </w:r>
      <w:r>
        <w:rPr>
          <w:rFonts w:ascii="Nirmala UI" w:hAnsi="Nirmala UI" w:eastAsia="Nirmala UI" w:cs="Nirmala UI"/>
        </w:rPr>
        <w:t>මිලර්ගේ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සිහිනය</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ලෙවී</w:t>
      </w:r>
      <w:r>
        <w:rPr>
          <w:rFonts w:ascii="Times New Roman" w:hAnsi="Times New Roman" w:eastAsia="Times New Roman" w:cs="Times New Roman"/>
        </w:rPr>
        <w:t xml:space="preserve"> </w:t>
      </w:r>
      <w:r>
        <w:rPr>
          <w:rFonts w:ascii="Nirmala UI" w:hAnsi="Nirmala UI" w:eastAsia="Nirmala UI" w:cs="Nirmala UI"/>
        </w:rPr>
        <w:t>කථාව</w:t>
      </w:r>
      <w:r>
        <w:rPr>
          <w:rFonts w:ascii="Times New Roman" w:hAnsi="Times New Roman" w:eastAsia="Times New Roman" w:cs="Times New Roman"/>
        </w:rPr>
        <w:t xml:space="preserve"> </w:t>
      </w:r>
      <w:r>
        <w:rPr>
          <w:rFonts w:ascii="Nirmala UI" w:hAnsi="Nirmala UI" w:eastAsia="Nirmala UI" w:cs="Nirmala UI"/>
        </w:rPr>
        <w:t>විසිහයහි</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සම්පූර්ණයෙන්</w:t>
      </w:r>
      <w:r>
        <w:rPr>
          <w:rFonts w:ascii="Times New Roman" w:hAnsi="Times New Roman" w:eastAsia="Times New Roman" w:cs="Times New Roman"/>
        </w:rPr>
        <w:t xml:space="preserve"> </w:t>
      </w:r>
      <w:r>
        <w:rPr>
          <w:rFonts w:ascii="Nirmala UI" w:hAnsi="Nirmala UI" w:eastAsia="Nirmala UI" w:cs="Nirmala UI"/>
        </w:rPr>
        <w:t>එකට</w:t>
      </w:r>
      <w:r>
        <w:rPr>
          <w:rFonts w:ascii="Times New Roman" w:hAnsi="Times New Roman" w:eastAsia="Times New Roman" w:cs="Times New Roman"/>
        </w:rPr>
        <w:t xml:space="preserve"> </w:t>
      </w:r>
      <w:r>
        <w:rPr>
          <w:rFonts w:ascii="Nirmala UI" w:hAnsi="Nirmala UI" w:eastAsia="Nirmala UI" w:cs="Nirmala UI"/>
        </w:rPr>
        <w:t>වියන</w:t>
      </w:r>
      <w:r>
        <w:rPr>
          <w:rFonts w:ascii="Times New Roman" w:hAnsi="Times New Roman" w:eastAsia="Times New Roman" w:cs="Times New Roman"/>
        </w:rPr>
        <w:t xml:space="preserve"> </w:t>
      </w:r>
      <w:r>
        <w:rPr>
          <w:rFonts w:ascii="Nirmala UI" w:hAnsi="Nirmala UI" w:eastAsia="Nirmala UI" w:cs="Nirmala UI"/>
        </w:rPr>
        <w:t>භාවිෂ්</w:t>
      </w:r>
      <w:r>
        <w:rPr>
          <w:rFonts w:ascii="Times New Roman" w:hAnsi="Times New Roman" w:eastAsia="Times New Roman" w:cs="Times New Roman"/>
        </w:rPr>
        <w:t>‍</w:t>
      </w:r>
      <w:r>
        <w:rPr>
          <w:rFonts w:ascii="Nirmala UI" w:hAnsi="Nirmala UI" w:eastAsia="Nirmala UI" w:cs="Nirmala UI"/>
        </w:rPr>
        <w:t>යවචනීය</w:t>
      </w:r>
      <w:r>
        <w:rPr>
          <w:rFonts w:ascii="Times New Roman" w:hAnsi="Times New Roman" w:eastAsia="Times New Roman" w:cs="Times New Roman"/>
        </w:rPr>
        <w:t xml:space="preserve"> </w:t>
      </w:r>
      <w:r>
        <w:rPr>
          <w:rFonts w:ascii="Nirmala UI" w:hAnsi="Nirmala UI" w:eastAsia="Nirmala UI" w:cs="Nirmala UI"/>
        </w:rPr>
        <w:t>නූලයයි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හතරවන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නෙබුකද්නේසරයාගේ</w:t>
      </w:r>
      <w:r>
        <w:rPr>
          <w:rFonts w:ascii="Times New Roman" w:hAnsi="Times New Roman" w:eastAsia="Times New Roman" w:cs="Times New Roman"/>
        </w:rPr>
        <w:t xml:space="preserve"> </w:t>
      </w:r>
      <w:r>
        <w:rPr>
          <w:rFonts w:ascii="Nirmala UI" w:hAnsi="Nirmala UI" w:eastAsia="Nirmala UI" w:cs="Nirmala UI"/>
        </w:rPr>
        <w:t>සිහිනය</w:t>
      </w:r>
      <w:r>
        <w:rPr>
          <w:rFonts w:ascii="Times New Roman" w:hAnsi="Times New Roman" w:eastAsia="Times New Roman" w:cs="Times New Roman"/>
        </w:rPr>
        <w:t xml:space="preserve"> </w:t>
      </w:r>
      <w:r>
        <w:rPr>
          <w:rFonts w:ascii="Nirmala UI" w:hAnsi="Nirmala UI" w:eastAsia="Nirmala UI" w:cs="Nirmala UI"/>
        </w:rPr>
        <w:t>අර්ථකථනය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පැමිණෙන්නාවූ</w:t>
      </w:r>
      <w:r>
        <w:rPr>
          <w:rFonts w:ascii="Times New Roman" w:hAnsi="Times New Roman" w:eastAsia="Times New Roman" w:cs="Times New Roman"/>
        </w:rPr>
        <w:t xml:space="preserve"> </w:t>
      </w:r>
      <w:r>
        <w:rPr>
          <w:rFonts w:ascii="Nirmala UI" w:hAnsi="Nirmala UI" w:eastAsia="Nirmala UI" w:cs="Nirmala UI"/>
        </w:rPr>
        <w:t>විනිශ්චයක්</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ඉතිහාසයට</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ආදර්ශවත්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පූර්වරුපනය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Afo a wɔde bɛbu Nebukadnesa atɛn a wɔbɔɔ no kɔkɔ ho no durui no, ne duru no yɛɛ October 22, 1844 ho mfonini, bere a nhwehwɛmu atɛn no fii ase. Wɔ ti anan no mu no, kɔkɔbɔ nkrasɛm a Daniel de mae no nyinaa ne atɛn no a ɛbaa a ɛne saa kɔkɔbɔ nkrasɛm no wɔ abusuabɔ no nyinaa na wɔde asɛmfua “dɔn” gyinaa hɔ ma no. Nebukadnesa atɛn no “dɔn” no gyinaa Onyankopɔn atɛn no “dɔn” ananmu wɔ ɔbɔfo a odi kan no nkrasɛm mu. Ɛsan nso yɛɛ Kwasida mmara no “dɔn” ho mfonini, bere a Onyankopɔn ahyɛdeɛ atɛn no fi ase. Daniel ti anan no fã a egyina hɔ ma ɔbɔfo a odi kan no nkrasɛm no duru wɔ 1798 mu, ne ɔbɔfo a ɔto so abiɛsa no duru wɔ October 22, 1844, a wɔde asɛmfua “dɔn” yɛ ho sɛnkyerɛnne no, wɔsan ka ho asɛm bio na wɔtrɛw mu. Sɛ wɔsan ka asɛm bi ka ho bio na wɔtrɛw mu a, ɛyɛ nkɔmhyɛ akwan bi a ɛba mpɛn pii wɔ nkɔmhyɛ mu, na titiriw no wɔ Daniel nhoma no mu.</w:t>
      </w:r>
    </w:p>
    <w:p>
      <w:pPr>
        <w:pStyle w:val="ArticleBody"/>
        <w:jc w:val="left"/>
      </w:pPr>
      <w:r>
        <w:rPr>
          <w:rFonts w:ascii="Times New Roman" w:hAnsi="Times New Roman" w:eastAsia="Times New Roman" w:cs="Times New Roman"/>
        </w:rPr>
        <w:t>Apabila Nebukadnezar sampai pada “jam” penghakiman itu, “tujuh masa,” iaitu penghakimannya, pun bermula; dan sebagai raja utara, dia pada waktu itu melambangkan penghakiman yang dijatuhkan ke atas kerajaan utara Israel pada tahun 723 SM. Dia diberi hati seekor binatang, dan binatang dalam nubuatan Alkitab ialah suatu kerajaan; dan dari tahun 723 SM hingga tahun 1798, dia melambangkan dua bentuk kekafiran yang begitu kerap menjadi pokok perbincangan dalam kitab Daniel.</w:t>
      </w:r>
    </w:p>
    <w:p>
      <w:pPr>
        <w:pStyle w:val="ArticleBody"/>
        <w:jc w:val="left"/>
      </w:pPr>
      <w:r>
        <w:rPr>
          <w:rFonts w:ascii="Times New Roman" w:hAnsi="Times New Roman" w:eastAsia="Times New Roman" w:cs="Times New Roman"/>
        </w:rPr>
        <w:t>Selama seribu dua ratus enam puluh hari, yang melambangkan seribu dua ratus enam puluh tahun, ia melambangkan kuasa kebinasaan kafir; kemudian selama seribu dua ratus enam puluh hari lagi, yang menyimbolkan seribu dua ratus enam puluh tahun, ia melambangkan kuasa kebinasaan kepausan. Hakikat kedua kuasa kebinasaan itu sama, sebab kepausan hanyalah kekafiran yang mengenakan pengakuan agama Kristen.</w:t>
      </w:r>
    </w:p>
    <w:p>
      <w:pPr>
        <w:pStyle w:val="ArticleBody"/>
        <w:jc w:val="left"/>
      </w:pPr>
      <w:r>
        <w:rPr>
          <w:rFonts w:ascii="Times New Roman" w:hAnsi="Times New Roman" w:eastAsia="Times New Roman" w:cs="Times New Roman"/>
        </w:rPr>
        <w:t>“Ndzhaku ka masiku,” leswi nga xikombiso lexi tivisitiwaka eka Daniyele ndzima ya khume-mbirhi, lexi yimelaka “nkarhi wa makumu” hi 1798, mfumo wakwe wu tlheriseriwile eka yena. Vumbhoni bya Daniyele 4, na Moya wa Vuprofeta, byi kombisa leswaku loko mfumo wakwe wu tlheriseriwile eka yena “emakumu ka masiku,” a a ri munhu la hundzukeke. Kutani u va xikombiso xa vuprofeta xa ntiyiso mune wa nkoka. U va xihlanganisi xa vuprofeta exikarhi ka matimba ya dragona ya vuhedeni, lawa a ma yimelerileke eka hafu yo sungula ya “minkarhi ya yena ya nkombo,” ni matimba ya xivandzana, lawa a ma yimelerileke eka hafu yo hetelela ya “minkarhi ya yena ya nkombo.” Tanihi xikombiso xa matimba wolawo mambirhi, hi ku yima tanihi mfumo lowu vuyeleriweke hi 1798, kutani u tlhela a yimela matimba ya vunharhu lama onhaka (muprofeta wa mavunwa), lawa a ma fanele ku fuma malembe ya makume-nkombo ya xikombiso, loko nghwavava wa Tire a rivaliwile. Tanihi hosi ya Babilona, Nebukadnetsara u yimela xihlanganisi xa vuprofeta exikarhi ka matimba manharhu lawa a ma ta va Babilona ya manguva lawa emasikwini ya makumu, leswi kutani swi yisaka misava eka Armagedoni.</w:t>
      </w:r>
    </w:p>
    <w:p>
      <w:pPr>
        <w:pStyle w:val="ArticleBody"/>
        <w:jc w:val="left"/>
      </w:pPr>
      <w:r>
        <w:rPr>
          <w:rFonts w:ascii="Times New Roman" w:hAnsi="Times New Roman" w:eastAsia="Times New Roman" w:cs="Times New Roman"/>
        </w:rPr>
        <w:t>A boetse a emela tsoalo ea United States e le sebata sa lefatše, se qalileng ka 1798 e le konyana, se tšoantšetsoang ke boiphihlelo ba hae ba tšokoloho. Ka nako e tšoanang o ne a tla emela manaka a mabeli a sebata sa lefatše, ao e leng Rephablikaniseme le Boprotestanta, a emelang matla a United States, e leng sona se ileng sa e lumella ho fetoha sechaba se ratoang ka ho fetisisa lefatšeng. Empa qetellong ea lilemo tse mashome a supileng tsa tšoantšetso, manaka ao a mabeli a ne a tla emeloa e le Rephablikaniseme ea bokoenehi le Boprotestanta ba bokoenehi, manaka ka bobeli a arotsoe ka lihlopha tse peli. Lenaka la Rephablikaniseme le ne le tla akarelletsa mokha oa Democratic o nyelisang pepenene melao-motheo e halalelang ea Molao-motheo, le mokha oa Republican o ipolelang e le basireletsi le bahlabani ba Molao-motheo, empa bonneteng o latola melao-motheo e halalelang ea Molao-motheo, ha o ntse o khetha meetlo le litloaelo hore li nke sebaka sa melao-motheo e leng ka hare ho tokomane eo e halalelang.</w:t>
      </w:r>
    </w:p>
    <w:p>
      <w:pPr>
        <w:pStyle w:val="ArticleBody"/>
        <w:jc w:val="left"/>
      </w:pPr>
      <w:r>
        <w:rPr>
          <w:rFonts w:ascii="Leelawadee UI" w:hAnsi="Leelawadee UI" w:eastAsia="Leelawadee UI" w:cs="Leelawadee UI"/>
        </w:rPr>
        <w:t>ខាងទាំងពីរនោះ</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ត្រូវបានតំណាងជាមុនដោយពួកសាឌូស៊ី</w:t>
      </w:r>
      <w:r>
        <w:rPr>
          <w:rFonts w:ascii="Times New Roman" w:hAnsi="Times New Roman" w:eastAsia="Times New Roman" w:cs="Times New Roman"/>
        </w:rPr>
        <w:t xml:space="preserve"> </w:t>
      </w:r>
      <w:r>
        <w:rPr>
          <w:rFonts w:ascii="Leelawadee UI" w:hAnsi="Leelawadee UI" w:eastAsia="Leelawadee UI" w:cs="Leelawadee UI"/>
        </w:rPr>
        <w:t>និងពួកផារីស៊ី</w:t>
      </w:r>
      <w:r>
        <w:rPr>
          <w:rFonts w:ascii="Times New Roman" w:hAnsi="Times New Roman" w:eastAsia="Times New Roman" w:cs="Times New Roman"/>
        </w:rPr>
        <w:t xml:space="preserve"> </w:t>
      </w:r>
      <w:r>
        <w:rPr>
          <w:rFonts w:ascii="Leelawadee UI" w:hAnsi="Leelawadee UI" w:eastAsia="Leelawadee UI" w:cs="Leelawadee UI"/>
        </w:rPr>
        <w:t>នៅសម័យព្រះគ្រីស្ទ។</w:t>
      </w:r>
      <w:r>
        <w:rPr>
          <w:rFonts w:ascii="Times New Roman" w:hAnsi="Times New Roman" w:eastAsia="Times New Roman" w:cs="Times New Roman"/>
        </w:rPr>
        <w:t xml:space="preserve"> </w:t>
      </w:r>
      <w:r>
        <w:rPr>
          <w:rFonts w:ascii="Leelawadee UI" w:hAnsi="Leelawadee UI" w:eastAsia="Leelawadee UI" w:cs="Leelawadee UI"/>
        </w:rPr>
        <w:t>វិញ្ញាណរបស់ពួកសាឌូស៊ី</w:t>
      </w:r>
      <w:r>
        <w:rPr>
          <w:rFonts w:ascii="Times New Roman" w:hAnsi="Times New Roman" w:eastAsia="Times New Roman" w:cs="Times New Roman"/>
        </w:rPr>
        <w:t xml:space="preserve"> </w:t>
      </w:r>
      <w:r>
        <w:rPr>
          <w:rFonts w:ascii="Leelawadee UI" w:hAnsi="Leelawadee UI" w:eastAsia="Leelawadee UI" w:cs="Leelawadee UI"/>
        </w:rPr>
        <w:t>និងពួកផារីស៊ី</w:t>
      </w:r>
      <w:r>
        <w:rPr>
          <w:rFonts w:ascii="Times New Roman" w:hAnsi="Times New Roman" w:eastAsia="Times New Roman" w:cs="Times New Roman"/>
        </w:rPr>
        <w:t xml:space="preserve"> </w:t>
      </w:r>
      <w:r>
        <w:rPr>
          <w:rFonts w:ascii="Leelawadee UI" w:hAnsi="Leelawadee UI" w:eastAsia="Leelawadee UI" w:cs="Leelawadee UI"/>
        </w:rPr>
        <w:t>ក៏នឹងត្រូវបានបង្ហាញផងដែរ</w:t>
      </w:r>
      <w:r>
        <w:rPr>
          <w:rFonts w:ascii="Times New Roman" w:hAnsi="Times New Roman" w:eastAsia="Times New Roman" w:cs="Times New Roman"/>
        </w:rPr>
        <w:t xml:space="preserve"> </w:t>
      </w:r>
      <w:r>
        <w:rPr>
          <w:rFonts w:ascii="Leelawadee UI" w:hAnsi="Leelawadee UI" w:eastAsia="Leelawadee UI" w:cs="Leelawadee UI"/>
        </w:rPr>
        <w:t>នៅក្នុងស្នែងនៃព្រូតេស្តង់សាសនាដែលបានក្បត់ជំនឿ</w:t>
      </w:r>
      <w:r>
        <w:rPr>
          <w:rFonts w:ascii="Times New Roman" w:hAnsi="Times New Roman" w:eastAsia="Times New Roman" w:cs="Times New Roman"/>
        </w:rPr>
        <w:t xml:space="preserve"> </w:t>
      </w:r>
      <w:r>
        <w:rPr>
          <w:rFonts w:ascii="Leelawadee UI" w:hAnsi="Leelawadee UI" w:eastAsia="Leelawadee UI" w:cs="Leelawadee UI"/>
        </w:rPr>
        <w:t>ដោយថ្នាក់មួយគាំទ្រការថ្វាយបង្គំថ្ងៃអាទិត្យ</w:t>
      </w:r>
      <w:r>
        <w:rPr>
          <w:rFonts w:ascii="Times New Roman" w:hAnsi="Times New Roman" w:eastAsia="Times New Roman" w:cs="Times New Roman"/>
        </w:rPr>
        <w:t xml:space="preserve"> </w:t>
      </w:r>
      <w:r>
        <w:rPr>
          <w:rFonts w:ascii="Leelawadee UI" w:hAnsi="Leelawadee UI" w:eastAsia="Leelawadee UI" w:cs="Leelawadee UI"/>
        </w:rPr>
        <w:t>ហើយថ្នាក់មួយទៀតគាំទ្រការថ្វាយបង្គំថ្ងៃសប្ប័ទ។</w:t>
      </w:r>
      <w:r>
        <w:rPr>
          <w:rFonts w:ascii="Times New Roman" w:hAnsi="Times New Roman" w:eastAsia="Times New Roman" w:cs="Times New Roman"/>
        </w:rPr>
        <w:t xml:space="preserve"> </w:t>
      </w:r>
      <w:r>
        <w:rPr>
          <w:rFonts w:ascii="Leelawadee UI" w:hAnsi="Leelawadee UI" w:eastAsia="Leelawadee UI" w:cs="Leelawadee UI"/>
        </w:rPr>
        <w:t>ស្ថានភាពដែលបានប្រែចិត្តរបស់នេប៊ូក្នេសារ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ចុងបញ្ចប់នៃថ្ងៃទាំងឡាយ</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1798 </w:t>
      </w:r>
      <w:r>
        <w:rPr>
          <w:rFonts w:ascii="Leelawadee UI" w:hAnsi="Leelawadee UI" w:eastAsia="Leelawadee UI" w:cs="Leelawadee UI"/>
        </w:rPr>
        <w:t>តំណាងយ៉ាងសមគួរដល់សហរដ្ឋអាមេរិក</w:t>
      </w:r>
      <w:r>
        <w:rPr>
          <w:rFonts w:ascii="Times New Roman" w:hAnsi="Times New Roman" w:eastAsia="Times New Roman" w:cs="Times New Roman"/>
        </w:rPr>
        <w:t xml:space="preserve"> </w:t>
      </w:r>
      <w:r>
        <w:rPr>
          <w:rFonts w:ascii="Leelawadee UI" w:hAnsi="Leelawadee UI" w:eastAsia="Leelawadee UI" w:cs="Leelawadee UI"/>
        </w:rPr>
        <w:t>និងស្នែងទាំងពីរនៃសត្វមហិមាចេញពីផែនដី។</w:t>
      </w:r>
      <w:r>
        <w:rPr>
          <w:rFonts w:ascii="Times New Roman" w:hAnsi="Times New Roman" w:eastAsia="Times New Roman" w:cs="Times New Roman"/>
        </w:rPr>
        <w:t xml:space="preserve"> </w:t>
      </w:r>
      <w:r>
        <w:rPr>
          <w:rFonts w:ascii="Leelawadee UI" w:hAnsi="Leelawadee UI" w:eastAsia="Leelawadee UI" w:cs="Leelawadee UI"/>
        </w:rPr>
        <w:t>និមិត្តសញ្ញាទាំងបី</w:t>
      </w:r>
      <w:r>
        <w:rPr>
          <w:rFonts w:ascii="Times New Roman" w:hAnsi="Times New Roman" w:eastAsia="Times New Roman" w:cs="Times New Roman"/>
        </w:rPr>
        <w:t>—</w:t>
      </w:r>
      <w:r>
        <w:rPr>
          <w:rFonts w:ascii="Leelawadee UI" w:hAnsi="Leelawadee UI" w:eastAsia="Leelawadee UI" w:cs="Leelawadee UI"/>
        </w:rPr>
        <w:t>សត្វមហិមាចេញពីផែនដី</w:t>
      </w:r>
      <w:r>
        <w:rPr>
          <w:rFonts w:ascii="Times New Roman" w:hAnsi="Times New Roman" w:eastAsia="Times New Roman" w:cs="Times New Roman"/>
        </w:rPr>
        <w:t xml:space="preserve"> </w:t>
      </w:r>
      <w:r>
        <w:rPr>
          <w:rFonts w:ascii="Leelawadee UI" w:hAnsi="Leelawadee UI" w:eastAsia="Leelawadee UI" w:cs="Leelawadee UI"/>
        </w:rPr>
        <w:t>និងស្នែងទាំងពីររបស់វា</w:t>
      </w:r>
      <w:r>
        <w:rPr>
          <w:rFonts w:ascii="Times New Roman" w:hAnsi="Times New Roman" w:eastAsia="Times New Roman" w:cs="Times New Roman"/>
        </w:rPr>
        <w:t>—</w:t>
      </w:r>
      <w:r>
        <w:rPr>
          <w:rFonts w:ascii="Leelawadee UI" w:hAnsi="Leelawadee UI" w:eastAsia="Leelawadee UI" w:cs="Leelawadee UI"/>
        </w:rPr>
        <w:t>ត្រូវបានកំណត់ជាមុនថា</w:t>
      </w:r>
      <w:r>
        <w:rPr>
          <w:rFonts w:ascii="Times New Roman" w:hAnsi="Times New Roman" w:eastAsia="Times New Roman" w:cs="Times New Roman"/>
        </w:rPr>
        <w:t xml:space="preserve"> </w:t>
      </w:r>
      <w:r>
        <w:rPr>
          <w:rFonts w:ascii="Leelawadee UI" w:hAnsi="Leelawadee UI" w:eastAsia="Leelawadee UI" w:cs="Leelawadee UI"/>
        </w:rPr>
        <w:t>នឹងផ្លាស់ប្តូរពីកូនចៀមទៅជានាគ។</w:t>
      </w:r>
    </w:p>
    <w:p>
      <w:pPr>
        <w:pStyle w:val="ArticleBody"/>
        <w:jc w:val="left"/>
      </w:pPr>
      <w:r>
        <w:rPr>
          <w:rFonts w:ascii="Times New Roman" w:hAnsi="Times New Roman" w:eastAsia="Times New Roman" w:cs="Times New Roman"/>
        </w:rPr>
        <w:t>Nebukadnesar, pada akhir “tujuh masa”-nya, melambangkan mata rantai yang mengenal pasti kerajaannya yang harfiah, Babilon, sebagai lambang Babilon moden pada zaman akhir, yang terdiri daripada naga, binatang itu, dan nabi palsu. Dia juga melambangkan tiga entiti nubuatan yang digambarkan oleh binatang dari bumi yang mempunyai dua tanduk, yang berubah daripada seekor anak domba menjadi seekor naga sepanjang tujuh puluh tahun simbolik ketika pelacur Tirus dilupakan. Sungguh mendalam bahawa kerajaannya yang harfiah itulah juga kerajaan yang menjadi pralambang bagi kerajaan yang memerintah selama tujuh puluh tahun simbolik.</w:t>
      </w:r>
    </w:p>
    <w:p>
      <w:pPr>
        <w:pStyle w:val="ArticleBody"/>
        <w:jc w:val="left"/>
      </w:pPr>
      <w:r>
        <w:rPr>
          <w:rFonts w:ascii="Times New Roman" w:hAnsi="Times New Roman" w:eastAsia="Times New Roman" w:cs="Times New Roman"/>
        </w:rPr>
        <w:t>Simbolisme Nebukadnezar dalam pasal empat harus diterapkan di atas pasal satu. Apabila penerapan itu dilakukan, hal itu menyatukan tonggak-tonggak sejarah Millerite, dan meneguhkan beberapa kebenaran dari penglihatan Sungai Ulai yang dimeteraibukakan pada waktu itu. Dasar dan pilar sentral gerakan Millerite adalah pertanyaan dan jawaban dalam Daniel pasal delapan, ayat tiga belas dan empat belas. Pertanyaannya adalah, “Berapa lamakah penglihatan tentang korban sehari-hari, dan pelanggaran yang membinasakan, yang menyebabkan baik tempat kudus maupun bala tentara diinjak-injak?”</w:t>
      </w:r>
    </w:p>
    <w:p>
      <w:pPr>
        <w:pStyle w:val="ArticleBody"/>
        <w:jc w:val="left"/>
      </w:pPr>
      <w:r>
        <w:rPr>
          <w:rFonts w:ascii="Times New Roman" w:hAnsi="Times New Roman" w:eastAsia="Times New Roman" w:cs="Times New Roman"/>
        </w:rPr>
        <w:t>Dalam ratusan, bahkan mungkin ribuan, kata tambahan dalam Alkitab, hanya kata tambahan “pengorbanan” sajalah yang oleh ilham dinyatakan bukan termasuk dalam teks. Apabila kata itu disingkirkan dengan tepat, maka menjadi jelas bahwa “yang sehari-hari dan pelanggaran” adalah dua kuasa pembinasa yang berbeda. Sister White secara khusus menyatakan bahwa kata “pengorbanan” telah ditambahkan oleh hikmat manusia dan tidak berlaku bagi teks itu, dan dalam petikan yang sama ia juga menyatakan bahwa kaum Millerit benar dalam mengenali “yang sehari-hari” sebagai kekafiran. Istilah-istilah tata bahasa dalam pertanyaan ayat tiga belas telah diidentifikasi dengan saksama oleh Kristus melalui tulisan-tulisan Sister White, dan apabila diatur oleh teks-teks itu serta petunjuk-petunjuk ilham yang ditambahkan, pertanyaannya ialah, “Sampai berapa lama penglihatan itu mengenai dua kuasa pembinasa, yaitu kekafiran dan kepausan, yang akan menginjak-injak baik tempat kudus maupun umat Allah?”</w:t>
      </w:r>
    </w:p>
    <w:p>
      <w:pPr>
        <w:pStyle w:val="ArticleBody"/>
        <w:jc w:val="left"/>
      </w:pPr>
      <w:r>
        <w:rPr>
          <w:rFonts w:ascii="Times New Roman" w:hAnsi="Times New Roman" w:eastAsia="Times New Roman" w:cs="Times New Roman"/>
        </w:rPr>
        <w:t>Olwo, lona Nebhukadnesa nge li kumfōng “wikhati wa kugcina,” nga-1798, ufanekisela umuntfu lophendvukile, ngako-ke umele “labahlakaniphile” labebatawukucondza insika lenkhulu nesisekelo se-Adventism. Kuphendvuka kwakhe kukhomba “labahlakaniphile” labacondza “kwandza kwelwati” lokwavulwa ngaleso sikhatsi, kodvwa kufanekisa kwakhe kwetesiprofetho ngco kukhombisa umlando lowuyinhloko yembuto lotsi, “kuyawuba sikhatsi lesingakanani umbono wemandla ekuchitsa webuphekula nepapalism lobewutawunyatsela bantfu baNkulunkulu (ibutho), nendzawo lengcwele yaNkulunkulu?” Njengemfanekiso we “ntfombi lehlakaniphile” lecondza “kwandza kwelwati,” umele William Miller, ngobe Miller ungumfanekiso walabo lababe “bahlakaniphile” emlandvweni lowacala nge “sikhatsi sekuphela,” nga-1798.</w:t>
      </w:r>
    </w:p>
    <w:p>
      <w:pPr>
        <w:pStyle w:val="ArticleBody"/>
        <w:jc w:val="left"/>
      </w:pPr>
      <w:r>
        <w:rPr>
          <w:rFonts w:ascii="Times New Roman" w:hAnsi="Times New Roman" w:eastAsia="Times New Roman" w:cs="Times New Roman"/>
        </w:rPr>
        <w:t>Nebuchadnezzar merupakan lambang waymark bagi “masa kesudahan”, dan apabila ditindihkan ke atas pasal satu, dia juga mewakili kedatangan malaikat pertama pada waktu itu, kerana dalam pasal empat, “jam” ketika Daniel menyampaikan kepada Nebuchadnezzar mesej amaran itu menandakan saat malaikat pertama tiba, dan itu ialah tahun 1798. “Jam” ketika penghakiman Nebuchadnezzar datang melambangkan “jam” permulaan penghakiman penyiasatan Tuhan pada 22 Oktober 1844. Waymark yang dihasilkan oleh perlambangan Nebuchadnezzar dalam pasal empat ialah 723 SM, 538, 1798 (masa kesudahan) dan 22 Oktober 1844.</w:t>
      </w:r>
    </w:p>
    <w:p>
      <w:pPr>
        <w:pStyle w:val="ArticleBody"/>
        <w:jc w:val="left"/>
      </w:pPr>
      <w:r>
        <w:rPr>
          <w:rFonts w:ascii="Times New Roman" w:hAnsi="Times New Roman" w:eastAsia="Times New Roman" w:cs="Times New Roman"/>
        </w:rPr>
        <w:t>Landmark-landmark sejarah Millerite dalam Daniel pasal satu bermula dengan Jehoiakim, yang merupakan simbol pemerkasaan pekabaran pertama yang telah tiba pada “masa kesudahan,” pada tahun 1798. Pemerkasaan pekabaran pertama, yang dilambangkan oleh Jehoiakim, menandai 11 Ogos 1840. Penaklukan Jehoiakim memulakan tujuh puluh tahun pemerintahan Babilon, yang berakhir dengan dekri Koresh. Pasal satu kitab Daniel mengenal pasti suatu proses pengujian tiga langkah, yang digambarkan sebagai ujian pemakanan, diikuti oleh ujian visual yang berakhir dengan ujian litmus. Ketiga-tiga ujian itu melambangkan 11 Ogos 1840, ketika malaikat perkasa yang tidak lain daripada pribadi Yesus Kristus, turun dari syurga dengan sebuah kitab kecil yang pada waktu itu umat Tuhan harus “makan”, sebagaimana Daniel dan ketiga-tiga pemuda pilihan itu memilih untuk memakan makanan sayur-sayuran, dan bukan makanan Babilon.</w:t>
      </w:r>
    </w:p>
    <w:p>
      <w:pPr>
        <w:pStyle w:val="ArticleBody"/>
        <w:jc w:val="left"/>
      </w:pPr>
      <w:r>
        <w:rPr>
          <w:rFonts w:ascii="Times New Roman" w:hAnsi="Times New Roman" w:eastAsia="Times New Roman" w:cs="Times New Roman"/>
        </w:rPr>
        <w:t>Teko ya bobeli ya tshebetšo yeo e be e emela ponagatšo ya go gana ga dikereke tša Boprotestanta molaetša wa Miller (molaetša wa morongwa wa pele), ge go be go ka bonagala phapano magareng ga mokgatlo wa Bamillerite le dikereke tša Boprotestanta tšeo ka nako yeo di ilego tša thoma karolo ya tšona ya boporofeta bjalo ka Boprotestanta bja bohlanogi. Phapano magareng ga dihlopha tšeo tše pedi e be e hlakile kudu go swana le ge nama ya Daniele le bagwera ba gagwe ba bararo e bonagala e le botse le go nona kudu ka ge ba be ba ja dijo tša legodimong, go e na le dijo tša Babilona. Phapano yeo e ile ya swaya bofelo bja ngwaga wa Baebele wa 1843 (Aprele 19, 1844), ge nako ya go diega ya seswantšho sa barwedi ba lesome e fihla.</w:t>
      </w:r>
    </w:p>
    <w:p>
      <w:pPr>
        <w:pStyle w:val="ArticleBody"/>
        <w:jc w:val="left"/>
      </w:pP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ᱞᱤᱴᱢᱟᱥ</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22 </w:t>
      </w:r>
      <w:r>
        <w:rPr>
          <w:rFonts w:ascii="Nirmala UI" w:hAnsi="Nirmala UI" w:eastAsia="Nirmala UI" w:cs="Nirmala UI"/>
        </w:rPr>
        <w:t>ᱚᱠᱴᱚᱵᱚᱨ</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w:t>
      </w:r>
      <w:r>
        <w:rPr>
          <w:rFonts w:ascii="Nirmala UI" w:hAnsi="Nirmala UI" w:eastAsia="Nirmala UI" w:cs="Nirmala UI"/>
        </w:rPr>
        <w:t>ᱜᱷᱚᱱᱴᱟ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ᱱᱮᱵᱩᱠᱟᱫᱱᱮᱡᱟᱨ</w:t>
      </w:r>
      <w:r>
        <w:rPr>
          <w:rFonts w:ascii="Times New Roman" w:hAnsi="Times New Roman" w:eastAsia="Times New Roman" w:cs="Times New Roman"/>
        </w:rPr>
        <w:t xml:space="preserve"> </w:t>
      </w:r>
      <w:r>
        <w:rPr>
          <w:rFonts w:ascii="Nirmala UI" w:hAnsi="Nirmala UI" w:eastAsia="Nirmala UI" w:cs="Nirmala UI"/>
        </w:rPr>
        <w:t>ᱱᱤᱡᱮ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ᱜᱚᱲᱚ</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ᱵᱟᱵᱤᱞᱚᱱᱤᱭᱟ</w:t>
      </w:r>
      <w:r>
        <w:rPr>
          <w:rFonts w:ascii="Times New Roman" w:hAnsi="Times New Roman" w:eastAsia="Times New Roman" w:cs="Times New Roman"/>
        </w:rPr>
        <w:t xml:space="preserve"> </w:t>
      </w:r>
      <w:r>
        <w:rPr>
          <w:rFonts w:ascii="Nirmala UI" w:hAnsi="Nirmala UI" w:eastAsia="Nirmala UI" w:cs="Nirmala UI"/>
        </w:rPr>
        <w:t>ᱧᱮᱱ</w:t>
      </w:r>
      <w:r>
        <w:rPr>
          <w:rFonts w:ascii="Times New Roman" w:hAnsi="Times New Roman" w:eastAsia="Times New Roman" w:cs="Times New Roman"/>
        </w:rPr>
        <w:t>-</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4, </w:t>
      </w:r>
      <w:r>
        <w:rPr>
          <w:rFonts w:ascii="Nirmala UI" w:hAnsi="Nirmala UI" w:eastAsia="Nirmala UI" w:cs="Nirmala UI"/>
        </w:rPr>
        <w:t>ᱚᱱᱚᱞ</w:t>
      </w:r>
      <w:r>
        <w:rPr>
          <w:rFonts w:ascii="Times New Roman" w:hAnsi="Times New Roman" w:eastAsia="Times New Roman" w:cs="Times New Roman"/>
        </w:rPr>
        <w:t xml:space="preserve"> 1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1798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ᱮᱛᱮ</w:t>
      </w:r>
      <w:r>
        <w:rPr>
          <w:rFonts w:ascii="Times New Roman" w:hAnsi="Times New Roman" w:eastAsia="Times New Roman" w:cs="Times New Roman"/>
        </w:rPr>
        <w:t xml:space="preserve"> </w:t>
      </w:r>
      <w:r>
        <w:rPr>
          <w:rFonts w:ascii="Nirmala UI" w:hAnsi="Nirmala UI" w:eastAsia="Nirmala UI" w:cs="Nirmala UI"/>
        </w:rPr>
        <w:t>ᱮᱦᱚᱯ</w:t>
      </w:r>
      <w:r>
        <w:rPr>
          <w:rFonts w:ascii="Times New Roman" w:hAnsi="Times New Roman" w:eastAsia="Times New Roman" w:cs="Times New Roman"/>
        </w:rPr>
        <w:t xml:space="preserve"> </w:t>
      </w:r>
      <w:r>
        <w:rPr>
          <w:rFonts w:ascii="Nirmala UI" w:hAnsi="Nirmala UI" w:eastAsia="Nirmala UI" w:cs="Nirmala UI"/>
        </w:rPr>
        <w:t>ᱢᱤᱞᱚᱨᱟᱭᱤᱴ</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ᱣᱮᱢᱟᱨᱠᱥ</w:t>
      </w:r>
      <w:r>
        <w:rPr>
          <w:rFonts w:ascii="Times New Roman" w:hAnsi="Times New Roman" w:eastAsia="Times New Roman" w:cs="Times New Roman"/>
        </w:rPr>
        <w:t xml:space="preserve"> </w:t>
      </w:r>
      <w:r>
        <w:rPr>
          <w:rFonts w:ascii="Nirmala UI" w:hAnsi="Nirmala UI" w:eastAsia="Nirmala UI" w:cs="Nirmala UI"/>
        </w:rPr>
        <w:t>ᱚᱰᱚᱠᱟ</w:t>
      </w:r>
      <w:r>
        <w:rPr>
          <w:rFonts w:ascii="Times New Roman" w:hAnsi="Times New Roman" w:eastAsia="Times New Roman" w:cs="Times New Roman"/>
        </w:rPr>
        <w:t xml:space="preserve">; 11 </w:t>
      </w:r>
      <w:r>
        <w:rPr>
          <w:rFonts w:ascii="Nirmala UI" w:hAnsi="Nirmala UI" w:eastAsia="Nirmala UI" w:cs="Nirmala UI"/>
        </w:rPr>
        <w:t>ᱚᱜᱚᱥᱴ</w:t>
      </w:r>
      <w:r>
        <w:rPr>
          <w:rFonts w:ascii="Times New Roman" w:hAnsi="Times New Roman" w:eastAsia="Times New Roman" w:cs="Times New Roman"/>
        </w:rPr>
        <w:t xml:space="preserve">, 1840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ᱥᱚᱠᱛᱤ</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19 </w:t>
      </w:r>
      <w:r>
        <w:rPr>
          <w:rFonts w:ascii="Nirmala UI" w:hAnsi="Nirmala UI" w:eastAsia="Nirmala UI" w:cs="Nirmala UI"/>
        </w:rPr>
        <w:t>ᱮᱯᱨᱤᱞ</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ᱱᱤᱨᱟᱥᱟ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22 </w:t>
      </w:r>
      <w:r>
        <w:rPr>
          <w:rFonts w:ascii="Nirmala UI" w:hAnsi="Nirmala UI" w:eastAsia="Nirmala UI" w:cs="Nirmala UI"/>
        </w:rPr>
        <w:t>ᱚᱠᱴᱚᱵᱚᱨ</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ᱱᱤᱨᱟᱥᱟ</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Selain mengenal pasti penanda-penanda khusus dalam sejarah Millerite, kedua-dua bab itu, apabila digabungkan “baris demi baris,” menggambarkan pekhabaran malaikat yang pertama, mengenal pasti dua kuasa pembinasa yang menjadi pokok ajaran asas tentang dua ribu tiga ratus hari, dan juga proses pengujian tiga langkah dalam Daniel dua belas yang sentiasa berlaku apabila kitab Daniel dibuka meterainya.</w:t>
      </w:r>
    </w:p>
    <w:p>
      <w:pPr>
        <w:pStyle w:val="ArticleBody"/>
        <w:jc w:val="left"/>
      </w:pPr>
      <w:r>
        <w:rPr>
          <w:rFonts w:ascii="Times New Roman" w:hAnsi="Times New Roman" w:eastAsia="Times New Roman" w:cs="Times New Roman"/>
        </w:rPr>
        <w:t>Mereka juga mengenal pasti bahawa Nebukadnezar, sebagai lambang orang bijaksana pada tahun 1798, bersama-sama dengan mimpinya yang kedua dalam fasal empat, melambangkan William Miller, yang gerakannya akan menjadi tanduk Protestan yang sejati. Pekerjaan William Miller, yang melambangkan kebenaran-kebenaran asas Adventisme, digambarkan pada dua loh Habakuk, dan Allah telah memimpin dalam penghasilan kedua-dua loh suci itu.</w:t>
      </w:r>
    </w:p>
    <w:p>
      <w:pPr>
        <w:pStyle w:val="ArticleBody"/>
        <w:jc w:val="left"/>
      </w:pPr>
      <w:r>
        <w:rPr>
          <w:rFonts w:ascii="Times New Roman" w:hAnsi="Times New Roman" w:eastAsia="Times New Roman" w:cs="Times New Roman"/>
        </w:rPr>
        <w:t>Go ne go na le dithuto tše mmalwa tša boporofeta tšeo Miller a sa kago a di bona ka nepo, ka gobane boemo bja gagwe bja go lebelela histori ya boporofeta bo be bo sa mo dumelele go lemoga gore go na le maatla a mararo a šwalalanyo; e sego bohetene feela (drakone), bopapa (sebata), eupša gape le Boprotestanta bjo bo tšwilego tumelong (moporofeta wa maaka). Ka tlhokomelo ya Modimo, kwešišo tšeo tša boporofeta tša Miller, tšeo di bego di lekanyeditšwe ke boemo bja gagwe historing, ga se tša emelwa godimo ga matlapa a mabedi a makgethwa a Habakuku.</w:t>
      </w:r>
    </w:p>
    <w:p>
      <w:pPr>
        <w:pStyle w:val="ArticleBody"/>
        <w:jc w:val="left"/>
      </w:pPr>
      <w:r>
        <w:rPr>
          <w:rFonts w:ascii="Times New Roman" w:hAnsi="Times New Roman" w:eastAsia="Times New Roman" w:cs="Times New Roman"/>
        </w:rPr>
        <w:t>Daniyel suura afur keessatti Nebukadnezaar abjuu isaa isa lammaffaa arge, kun abjuu lammaffaa William Miller bakka bu’a. Abjuuwwan lamaan iyyuu “yeroo torba” irratti xiyyeeffatu; abjuun Miller immoo hojii isaa isa bara 1863 irraa jalqabee fudhatama dhabuun eegale, kan hanga Iyya Barmasaa Halkan-Gidduutti hammaachaa deemu adda baasa. Abjuuwwan lamaan iyyuu yeroo bittinnaa’inaa tokko booda mootummaa deebi’ee dhaabameen xumuramu. Kanaaf, mul’ata laga Ulaay isa bara 1798 keessatti baname kallattiidhaan ilaaluun keenya dura, abjuu lammaffaa Miller ni ilaalla.</w:t>
      </w:r>
    </w:p>
    <w:p>
      <w:pPr>
        <w:pStyle w:val="ArticleScripture"/>
        <w:jc w:val="left"/>
      </w:pPr>
      <w:r>
        <w:rPr>
          <w:rFonts w:ascii="Times New Roman" w:hAnsi="Times New Roman" w:eastAsia="Times New Roman" w:cs="Times New Roman"/>
        </w:rPr>
        <w:t>“Saya bermimpi bahwa Allah, dengan tangan yang tidak kelihatan, mengirim kepada saya sebuah peti kecil yang dibuat dengan sangat indah, kira-kira sepanjang sepuluh inci dan enam inci persegi, terbuat dari kayu eboni dengan tatah-mutiara yang ditanam dengan halus. Pada peti itu terpasang sebuah kunci. Saya segera mengambil kunci itu dan membuka peti tersebut; maka, dengan takjub dan heran, saya mendapati bahwa peti itu penuh berisi segala macam dan ukuran permata, berlian, batu-batu mulia, serta uang emas dan perak dari setiap ukuran dan nilai, tertata indah pada tempatnya masing-masing di dalam peti itu; dan dalam susunan demikian semuanya memantulkan cahaya dan kemuliaan yang hanya dapat disamai oleh matahari.</w:t>
      </w:r>
    </w:p>
    <w:p>
      <w:pPr>
        <w:pStyle w:val="ArticleScripture"/>
        <w:jc w:val="left"/>
      </w:pPr>
      <w:r>
        <w:rPr>
          <w:rFonts w:ascii="Times New Roman" w:hAnsi="Times New Roman" w:eastAsia="Times New Roman" w:cs="Times New Roman"/>
        </w:rPr>
        <w:t>“Saya berpendapat bahawa bukanlah kewajipan saya untuk menikmati pemandangan yang menakjubkan ini seorang diri, walaupun hati saya sangat bersukacita kerana kecemerlangan, keindahan, dan nilainya kandungannya. Oleh itu saya meletakkannya di atas sebuah meja tengah di bilik saya dan menyebarkan khabar bahawa semua yang berhasrat boleh datang dan melihat pemandangan yang paling mulia dan paling gemilang yang pernah dilihat oleh manusia dalam kehidupan ini.</w:t>
      </w:r>
    </w:p>
    <w:p>
      <w:pPr>
        <w:pStyle w:val="ArticleScripture"/>
        <w:jc w:val="left"/>
      </w:pPr>
      <w:r>
        <w:rPr>
          <w:rFonts w:ascii="Times New Roman" w:hAnsi="Times New Roman" w:eastAsia="Times New Roman" w:cs="Times New Roman"/>
        </w:rPr>
        <w:t>“Orang ramai mula datang, pada mulanya hanya beberapa orang, tetapi kemudian bertambah menjadi suatu kerumunan. Ketika mereka mula-mula memandang ke dalam peti itu, mereka akan merasa hairan dan bersorak kegirangan. Tetapi apabila para penonton semakin bertambah, masing-masing mula mengusik permata-permata itu, mengeluarkannya dari peti dan menyerakkannya di atas meja. Aku mula berfikir bahawa pemiliknya akan menuntut kembali peti dan permata-permata itu dari tanganku; dan jika aku membiarkan semuanya berselerak, aku tidak akan pernah dapat meletakkannya kembali pada tempatnya di dalam peti seperti sebelumnya; dan aku merasa bahawa aku tidak akan pernah sanggup memikul pertanggungjawaban itu, kerana hal itu akan sangat besar. Lalu aku mula memohon kepada orang ramai itu supaya jangan menyentuhnya, dan jangan mengeluarkannya dari peti; tetapi semakin aku memohon, semakin mereka menyerakkannya; dan sekarang mereka tampaknya menyerakkannya ke seluruh bilik, di atas lantai dan di atas setiap perabot di dalam bilik itu.</w:t>
      </w:r>
    </w:p>
    <w:p>
      <w:pPr>
        <w:pStyle w:val="ArticleScripture"/>
        <w:jc w:val="left"/>
      </w:pPr>
      <w:r>
        <w:rPr>
          <w:rFonts w:ascii="Times New Roman" w:hAnsi="Times New Roman" w:eastAsia="Times New Roman" w:cs="Times New Roman"/>
        </w:rPr>
        <w:t>“A ba morago ka bona gore mo gare ga mabenyabenyane a mmatota le madi a tshipi a mmatota ba ne ba gasitse bontsi jo bo sa balweng jwa mabenyabenyane a maaka le madi a tshipi a maaka. Ka galefa thata ka ntlha ya boitshwaro jwa bone jo bo nyatsegang le go tlhoka tebogo ga bone, mme ka ba kgalemela le go ba kgala ka ntlha ya seno; mme fa ke ntse ke ba kgalemela, ba ne ba ntse ba gasa mabenyabenyane a maaka le madi a tshipi a maaka mo gare ga a mmatota.”</w:t>
      </w:r>
    </w:p>
    <w:p>
      <w:pPr>
        <w:pStyle w:val="ArticleScripture"/>
        <w:jc w:val="left"/>
      </w:pPr>
      <w:r>
        <w:rPr>
          <w:rFonts w:ascii="Times New Roman" w:hAnsi="Times New Roman" w:eastAsia="Times New Roman" w:cs="Times New Roman"/>
        </w:rPr>
        <w:t>“Ahenkaw no abu me wɔ me nipadua mu kra mu, na mifii ase de nipadua ahoɔden pusu wɔn fii dan no mu; na bere a na merepusu baako no refi no, baasa foforo hyɛne mu de efĩ ne nnua mpetew ne anwea ne sumsum nyinaa brɛhyɛ mu, kosii sɛ wɔkataa nokware aboɔden abo, ahuhudeɛ abo, ne sika no nyinaa so, na eyi maa wɔannyina adi bio mma aniwa nhu wɔn. Wɔsan tetew me adaka no mu mmeremmere na wɔhwete guu sumsum no mu. Misusuwii sɛ obiara nhwɛ me awerɛhow anaa me bo fuw no. Mebaa abasamtu ne koma-bubu mu koraa, na metenaa ase sui.”</w:t>
      </w:r>
    </w:p>
    <w:p>
      <w:pPr>
        <w:pStyle w:val="ArticleScripture"/>
        <w:jc w:val="left"/>
      </w:pPr>
      <w:r>
        <w:rPr>
          <w:rFonts w:ascii="Times New Roman" w:hAnsi="Times New Roman" w:eastAsia="Times New Roman" w:cs="Times New Roman"/>
        </w:rPr>
        <w:t>“Saså medan jeg gret og sørgde over mitt store tap og det ansvar som kvilte på meg, kom eg Gud i hug, og bad inderleg om at han ville senda meg hjelp. Straks vart døra opna, og ein mann kom inn i rommet, medan alle dei andre gjekk ut; og han, som heldt ein skurekost i handa, opna vindauga og tok til å feia skit og rask ut or rommet.</w:t>
      </w:r>
    </w:p>
    <w:p>
      <w:pPr>
        <w:pStyle w:val="ArticleScripture"/>
        <w:jc w:val="left"/>
      </w:pPr>
      <w:r>
        <w:rPr>
          <w:rFonts w:ascii="Times New Roman" w:hAnsi="Times New Roman" w:eastAsia="Times New Roman" w:cs="Times New Roman"/>
        </w:rPr>
        <w:t>“Ndzi n’wi kombelerile leswaku a tshika, hikuva a ku ri ni swiambalo swa nkoka leswi hangalakeke exikarhi ka marhumbi.</w:t>
      </w:r>
    </w:p>
    <w:p>
      <w:pPr>
        <w:pStyle w:val="ArticleScripture"/>
        <w:jc w:val="left"/>
      </w:pPr>
      <w:r>
        <w:rPr>
          <w:rFonts w:ascii="Times New Roman" w:hAnsi="Times New Roman" w:eastAsia="Times New Roman" w:cs="Times New Roman"/>
        </w:rPr>
        <w:t>“Dia memberitahu aku supaya ‘jangan takut,’ kerana dia akan ‘menjaga mereka.’”</w:t>
      </w:r>
    </w:p>
    <w:p>
      <w:pPr>
        <w:pStyle w:val="ArticleScripture"/>
        <w:jc w:val="left"/>
      </w:pPr>
      <w:r>
        <w:rPr>
          <w:rFonts w:ascii="Times New Roman" w:hAnsi="Times New Roman" w:eastAsia="Times New Roman" w:cs="Times New Roman"/>
        </w:rPr>
        <w:t>“Ku chin, katîk ka a hngak hna le leivui hna, thil hlu lo hna le tangka taktak lo hna a hruak lai ah, cu hna zong kha mei ti bangin an thang i, thlalangka in an chuak, cun thli nih a phorh dih hna. Cuka ahcun hna thawngin ka mit ka hnarh rei te; ka mit ka auh tikah, hngak hna cu a dih dih cang. Thil hlu taktak hna, diamond hna, sui le ngun tangka hna cu khan inn chung pumpi ah tam tukin an lei hrawm ko.”</w:t>
      </w:r>
    </w:p>
    <w:p>
      <w:pPr>
        <w:pStyle w:val="ArticleScripture"/>
        <w:jc w:val="left"/>
      </w:pPr>
      <w:r>
        <w:rPr>
          <w:rFonts w:ascii="Times New Roman" w:hAnsi="Times New Roman" w:eastAsia="Times New Roman" w:cs="Times New Roman"/>
        </w:rPr>
        <w:t>Lalu ia meletakkan di atas meja sebuah peti, jauh lebih besar dan lebih indah daripada yang terdahulu, lalu mengumpulkan permata-permata, berlian-berlian, dan uang-uang logam itu dengan segenggam demi segenggam, dan melemparkannya ke dalam peti itu, sampai tidak ada satu pun yang tertinggal, meskipun beberapa dari berlian itu tidak lebih besar daripada ujung sebuah peniti.</w:t>
      </w:r>
    </w:p>
    <w:p>
      <w:pPr>
        <w:pStyle w:val="ArticleScripture"/>
        <w:jc w:val="left"/>
      </w:pPr>
      <w:r>
        <w:rPr>
          <w:rFonts w:ascii="Times New Roman" w:hAnsi="Times New Roman" w:eastAsia="Times New Roman" w:cs="Times New Roman"/>
        </w:rPr>
        <w:t>“O be a bitsa mi puei ko, ‘Ra la hmu rawh.’”</w:t>
      </w:r>
    </w:p>
    <w:p>
      <w:pPr>
        <w:pStyle w:val="ArticleScripture"/>
        <w:jc w:val="left"/>
      </w:pPr>
      <w:r>
        <w:rPr>
          <w:rFonts w:ascii="Times New Roman" w:hAnsi="Times New Roman" w:eastAsia="Times New Roman" w:cs="Times New Roman"/>
        </w:rPr>
        <w:t>“Ndzi langute endzeni ka bokisi, kambe mahlo ya mina ma phameriwile hi leswi ndzi swi voneke. A ma voninga hi ku vangama loku nga hundza ka khume ku tlula loku a ma ri na kona eku sunguleni. Ndzi anakanye leswaku a ma kukuriwile hi sava hi milenge ya vanhu lavo homboloka lava va ma hangalaseke va tlhela va ma kandziyela entshurini. A ma lunghisiwile hi ku landzelana lokunene endzeni ka bokisi, xin’wana ni xin’wana exivandleni xa xona, ku nga ri na xikombiso xo vonaka xa swikitsikitsi swa munhu loyi a ma cukumeteke endzeni. Ndzi huwelerile hi ntsako lowukulu, kutani ku huwelerela koloko ku ndzi pfuxile.” Early Writings, 81–83.</w:t>
      </w:r>
    </w:p>
    <w:p>
      <w:pPr>
        <w:pStyle w:val="ArticleBody"/>
        <w:jc w:val="left"/>
      </w:pPr>
      <w:r>
        <w:rPr>
          <w:rFonts w:ascii="Times New Roman" w:hAnsi="Times New Roman" w:eastAsia="Times New Roman" w:cs="Times New Roman"/>
        </w:rPr>
        <w:t>Re tla tšohla toro ea Miller sehloohong se latelang.</w:t>
      </w:r>
    </w:p>
    <w:p>
      <w:pPr>
        <w:pStyle w:val="ArticleBody"/>
        <w:jc w:val="left"/>
      </w:pPr>
      <w:r>
        <w:rPr>
          <w:rFonts w:ascii="Times New Roman" w:hAnsi="Times New Roman" w:eastAsia="Times New Roman" w:cs="Times New Roman"/>
        </w:rPr>
        <w:t>Se latelang ke matseno a toro ya bobedi ya ga William Miller, a kwadilweng ke James White fa a ne a gatisa toro ya ga Miller mo go Advent Herald.</w:t>
      </w:r>
    </w:p>
    <w:p>
      <w:pPr>
        <w:pStyle w:val="ArticleScripture"/>
        <w:jc w:val="left"/>
      </w:pPr>
      <w:r>
        <w:rPr>
          <w:rFonts w:ascii="Times New Roman" w:hAnsi="Times New Roman" w:eastAsia="Times New Roman" w:cs="Times New Roman"/>
        </w:rPr>
        <w:t>“Litoro tše di latelago di ile tša phatlalatšwa go Advent Herald, go feta mengwaga e mebedi ye e fetilego. Ka nako yeo ke ile ka bona gore di be di laetša ka go hlaka maitemogelo a rena a fetilego a go Tla ga Bobedi, le gore Modimo o file toro ye bakeng sa mohola wa mohlape wo o gašanego.</w:t>
      </w:r>
    </w:p>
    <w:p>
      <w:pPr>
        <w:pStyle w:val="ArticleScripture"/>
        <w:jc w:val="left"/>
      </w:pPr>
      <w:r>
        <w:rPr>
          <w:rFonts w:ascii="Times New Roman" w:hAnsi="Times New Roman" w:eastAsia="Times New Roman" w:cs="Times New Roman"/>
        </w:rPr>
        <w:t>“Nkati ya bilembo ya kobɛlɛma ya penepene ya mokolo monene mpe ya nsɔmɔ ya Nkolo, Nzambe atiaki bandɔtɔ. Tala Yoele 2:28–31; Misala 2:17–20. Bandɔtɔ ekoki koya na banzela misato; ya liboso, ‘na ebele ya misala.’ Tala Mosakoli 5:3. Ya mibale, baoyo bazali na nse ya molimo mabe mpe ya bokosi ya Satana, bakoki kozala na bandɔtɔ na nzela ya nguya na ye. Tala Kolimbola Mibeko 8:1–5; Yilimia 23:25–28; 27:9; 29:8; Zakaria 10:2; Yuda 8. Mpe ya misato, Nzambe atángisaki ntango nyonso, mpe azali naino kotángisa bato na ye mwa mingi to mwa moke na nzela ya bandɔtɔ, oyo eyaka na mosala ya baanzelu mpe ya Molimo Mosantu. Baoyo batelemi na pole polele ya solo bakoyeba ntango Nzambe apesi bango ndɔtɔ; mpe bato ya ndenge wana bakokosama te mpe bakobungisama nzela te na bandɔtɔ ya lokuta.”</w:t>
      </w:r>
    </w:p>
    <w:p>
      <w:pPr>
        <w:pStyle w:val="ArticleScripture"/>
        <w:jc w:val="left"/>
      </w:pPr>
      <w:r>
        <w:rPr>
          <w:rFonts w:ascii="Times New Roman" w:hAnsi="Times New Roman" w:eastAsia="Times New Roman" w:cs="Times New Roman"/>
        </w:rPr>
        <w:t>“‘Mangkha nangna eigi waheising taba yiu; nakhoigi marakta maiba ama leirabadi, Eikhoi Mapu-na maming eigi mathakta ama khudamda pirakkani, amasung eigi wa nattana mangonda khongchatkani.’ Numbers 12:6. Jacob-na hairak-i, ‘Mapu gi swarga-dutna eigi maphamda mangonda khongchatpa ama da wari hairak-i.’ Genesis 31:2. ‘Aduga numitki nungsit-ta Laban, Syria-gi mi aduda Ishwar-na khongchatpa ama da lak-i.’ Genesis 31:24. Joseph-ki mangonda khongchatpasing paba yiu, [Genesis 37:5–9], aduga makhoigi Egypt-ta mapung phana mapan-phal oirakpa-gi nungairaba wari adu paba yiu. ‘Gibeon-da numitki nungsit-ta Mapu-na Solomon-da khongchatpa ama da uhan-i.’ 1 Kings 3:5. Daniel-gi ani suba chapter-ki achaoba maru oiba murti adu khongchatpa ama da piba phang-i, aduga taret suba chapter-ki mari foursinggi sannabasing, aduga adu-adi su. Herod-na angang Saviour adu manghallabani haiba matamda Joseph-da Egypt-ta chattuna chenna leinaba khongchatpa ama da chetna piba phang-i. Matthew 2:13.</w:t>
      </w:r>
    </w:p>
    <w:p>
      <w:pPr>
        <w:pStyle w:val="ArticleScripture"/>
        <w:jc w:val="left"/>
      </w:pPr>
      <w:r>
        <w:rPr>
          <w:rFonts w:ascii="Times New Roman" w:hAnsi="Times New Roman" w:eastAsia="Times New Roman" w:cs="Times New Roman"/>
        </w:rPr>
        <w:t>“‘Мөн ЭЦСИЙН ӨДРҮҮДЭД, гэж Бурхан айлдаж байна, Би Өөрийн Сүнснээс бүх махбод дээр асгана; та нарын хөвгүүд, охид эш үзүүлж, та нарын залуус үзэгдэл үзэж, та нарын хөгшид зүүд зүүдэлнэ.’ Үйлс 2:17.</w:t>
      </w:r>
    </w:p>
    <w:p>
      <w:pPr>
        <w:pStyle w:val="ArticleScripture"/>
        <w:jc w:val="left"/>
      </w:pPr>
      <w:r>
        <w:rPr>
          <w:rFonts w:ascii="Times New Roman" w:hAnsi="Times New Roman" w:eastAsia="Times New Roman" w:cs="Times New Roman"/>
        </w:rPr>
        <w:t>“Seipone sa boprofeta, ka ditoro le dipono, mo ke maungo a Mowa o o Boitshepo, mme mo metlheng ya bofelo se tshwanetse go bonadiwa ka mo go lekaneng gore se dire sesupo. Ke sengwe sa dineo tsa kereke ya efangele.”</w:t>
      </w:r>
    </w:p>
    <w:p>
      <w:pPr>
        <w:pStyle w:val="ArticleScripture"/>
        <w:jc w:val="left"/>
      </w:pPr>
      <w:r>
        <w:rPr>
          <w:rFonts w:ascii="Times New Roman" w:hAnsi="Times New Roman" w:eastAsia="Times New Roman" w:cs="Times New Roman"/>
        </w:rPr>
        <w:t>“‘Beno O ne a neela ba bangwe go nna baaposetoloi; ba bangwe BAPOROFETI; ba bangwe baefangele; ba bangwe badisa le barutiši; Gore bakgethwa ba phethagatšwe, bakeng sa modiro wa bodiredi, bakeng sa go agwa ga mmele wa Kriste.’ Baefeso 4:11–12.</w:t>
      </w:r>
    </w:p>
    <w:p>
      <w:pPr>
        <w:pStyle w:val="ArticleScripture"/>
        <w:jc w:val="left"/>
      </w:pPr>
      <w:r>
        <w:rPr>
          <w:rFonts w:ascii="Times New Roman" w:hAnsi="Times New Roman" w:eastAsia="Times New Roman" w:cs="Times New Roman"/>
        </w:rPr>
        <w:t>“‘U Nlunga u vekile van'wana ebandleni, xo sungula vaapostola, xa vumbirhi VAPOROFETA,’ ni swin'wana. 1 Vakorinto 12:28. ‘Mi nga sole VUPOROFETA.’ 1 Vatesalonika 5:20. Vonani na Mintirho 13:1; 21:9; Varhoma 7:6; 1 Vakorinto 14:1, 24, 39. Vaporofeta kumbe vuporofeta i swa ku aka kereke ya Kriste; naswona a ku na vumbhoni lebyi nga humesiwaka eka rito ra Xikwembu lebyi kombisaka leswaku a swi fanele swi hela vaevhangelista, vadyisi ni vadyondzisi va nga si hela. Kambe mukaneti u ri, ‘Ku ve ni swivono ni milorho ya mavunwa yo tala swinene lerova a ndzi nge vi na ku tshembela eka nchumu wihi na wihi wa muxaka wolowo.’ I ntiyiso leswaku Sathana u ni leswi a swi endlaka swo tekelela ntiyiso. Minkarhi hinkwayo u vile ni vaporofeta va mavunwa, naswona hakunene hi nga va langutela sweswi enkarhini lowu wa yena wo hetelela wa ku kanganyisa ni wa ku hlula. Lava bakanyaka ku paluxa ko hlawuleka ka muxaka lowo hikuva ku ri ni leswi swi tekelelaka ntiyiso, va nga tlhela va ya emahlweni hi mfanelo leyi fanaka va kaneta leswaku Xikwembu xi tshama xi tikombile eka munhu hi norho kumbe hi xivono, hikuva leswi swi tekelelaka ntiyiso minkarhi hinkwayo swi ve kona.”</w:t>
      </w:r>
    </w:p>
    <w:p>
      <w:pPr>
        <w:pStyle w:val="ArticleScripture"/>
        <w:jc w:val="left"/>
      </w:pPr>
      <w:r>
        <w:rPr>
          <w:rFonts w:ascii="Times New Roman" w:hAnsi="Times New Roman" w:eastAsia="Times New Roman" w:cs="Times New Roman"/>
        </w:rPr>
        <w:t>“Mimpih deh penglihatan-penglihatan de medium mula liwat Tuhan pe wahyu katong manusia. Lewat medium ini Dia su bicara deng para nabi; Dia su taruh karunia nubuat di antara karunia-karunia jemaat Injil, deng su golongkan mimpi deng penglihatan-penglihatan sama deng tanda-tanda laeng dari ‘HARI-HARI TERAKHIR.’ Amin.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နဟ်ငါ့အလှနက်</w:t>
      </w:r>
      <w:r>
        <w:rPr>
          <w:rFonts w:ascii="Times New Roman" w:hAnsi="Times New Roman" w:eastAsia="Times New Roman" w:cs="Times New Roman"/>
        </w:rPr>
        <w:t xml:space="preserve"> </w:t>
      </w:r>
      <w:r>
        <w:rPr>
          <w:rFonts w:ascii="Myanmar Text" w:hAnsi="Myanmar Text" w:eastAsia="Myanmar Text" w:cs="Myanmar Text"/>
        </w:rPr>
        <w:t>စကားလန်ကာအိုစၟဝ်ညးတံဟာဂှ်၊</w:t>
      </w:r>
      <w:r>
        <w:rPr>
          <w:rFonts w:ascii="Times New Roman" w:hAnsi="Times New Roman" w:eastAsia="Times New Roman" w:cs="Times New Roman"/>
        </w:rPr>
        <w:t xml:space="preserve"> </w:t>
      </w:r>
      <w:r>
        <w:rPr>
          <w:rFonts w:ascii="Myanmar Text" w:hAnsi="Myanmar Text" w:eastAsia="Myanmar Text" w:cs="Myanmar Text"/>
        </w:rPr>
        <w:t>ပ္ဍဲကျာ်လိက်ပရေင်ကမၠောန်တံအတိုင်း</w:t>
      </w:r>
      <w:r>
        <w:rPr>
          <w:rFonts w:ascii="Times New Roman" w:hAnsi="Times New Roman" w:eastAsia="Times New Roman" w:cs="Times New Roman"/>
        </w:rPr>
        <w:t xml:space="preserve"> </w:t>
      </w:r>
      <w:r>
        <w:rPr>
          <w:rFonts w:ascii="Myanmar Text" w:hAnsi="Myanmar Text" w:eastAsia="Myanmar Text" w:cs="Myanmar Text"/>
        </w:rPr>
        <w:t>ရုဲဒှ်ဒုဟ်ကနောဝ်တံကို</w:t>
      </w:r>
      <w:r>
        <w:rPr>
          <w:rFonts w:ascii="Times New Roman" w:hAnsi="Times New Roman" w:eastAsia="Times New Roman" w:cs="Times New Roman"/>
        </w:rPr>
        <w:t xml:space="preserve"> </w:t>
      </w:r>
      <w:r>
        <w:rPr>
          <w:rFonts w:ascii="Myanmar Text" w:hAnsi="Myanmar Text" w:eastAsia="Myanmar Text" w:cs="Myanmar Text"/>
        </w:rPr>
        <w:t>ပၠန်ထုတ်ကာ၊</w:t>
      </w:r>
      <w:r>
        <w:rPr>
          <w:rFonts w:ascii="Times New Roman" w:hAnsi="Times New Roman" w:eastAsia="Times New Roman" w:cs="Times New Roman"/>
        </w:rPr>
        <w:t xml:space="preserve"> </w:t>
      </w:r>
      <w:r>
        <w:rPr>
          <w:rFonts w:ascii="Myanmar Text" w:hAnsi="Myanmar Text" w:eastAsia="Myanmar Text" w:cs="Myanmar Text"/>
        </w:rPr>
        <w:t>အကြံဏာတ်ဉာဏ်ဂွံနွံသော</w:t>
      </w:r>
      <w:r>
        <w:rPr>
          <w:rFonts w:ascii="Times New Roman" w:hAnsi="Times New Roman" w:eastAsia="Times New Roman" w:cs="Times New Roman"/>
        </w:rPr>
        <w:t xml:space="preserve"> </w:t>
      </w:r>
      <w:r>
        <w:rPr>
          <w:rFonts w:ascii="Myanmar Text" w:hAnsi="Myanmar Text" w:eastAsia="Myanmar Text" w:cs="Myanmar Text"/>
        </w:rPr>
        <w:t>ညးဖတ်တၟံအာဂှ်</w:t>
      </w:r>
      <w:r>
        <w:rPr>
          <w:rFonts w:ascii="Times New Roman" w:hAnsi="Times New Roman" w:eastAsia="Times New Roman" w:cs="Times New Roman"/>
        </w:rPr>
        <w:t xml:space="preserve"> </w:t>
      </w:r>
      <w:r>
        <w:rPr>
          <w:rFonts w:ascii="Myanmar Text" w:hAnsi="Myanmar Text" w:eastAsia="Myanmar Text" w:cs="Myanmar Text"/>
        </w:rPr>
        <w:t>သ္ပစၟတ်သမ္တီအပ္ဍဲအရာမိက်ဂွံတင်ပြဗွဲမကြဴအံင်ရော။</w:t>
      </w:r>
      <w:r>
        <w:rPr>
          <w:rFonts w:ascii="Times New Roman" w:hAnsi="Times New Roman" w:eastAsia="Times New Roman" w:cs="Times New Roman"/>
        </w:rPr>
        <w:t>”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la Danieli - Nambala Makumi Ghatatu na Chitatu ndi Chinkhondi na Chimoza</dc:title>
  <dc:subject>Ubuporofeti bw’Igereranyo cya Nebukadinezari: Guhishura Ibimenyetso Nyaburanga by’amateka y’Umutwe w’Abamillerite n’Iyerekwa Ryashyizweho Ikimenyetso ry’Umugezi wa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