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Nombor Tiga Puluh Lapan</w:t>
      </w:r>
    </w:p>
    <w:p>
      <w:pPr>
        <w:pStyle w:val="ArticleSubtitle"/>
        <w:jc w:val="left"/>
      </w:pPr>
      <w:r>
        <w:rPr>
          <w:rFonts w:ascii="Arial" w:hAnsi="Arial" w:eastAsia="Arial" w:cs="Arial"/>
        </w:rPr>
        <w:t>Menyingkap Permata: Mimpi Nubuatan William Miller dan Pemulihan Kebenaran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2024-01-02</w:t>
      </w:r>
    </w:p>
    <w:p>
      <w:pPr>
        <w:pStyle w:val="ArticleBody"/>
        <w:jc w:val="left"/>
      </w:pPr>
      <w:r>
        <w:rPr>
          <w:rFonts w:ascii="Times New Roman" w:hAnsi="Times New Roman" w:eastAsia="Times New Roman" w:cs="Times New Roman"/>
        </w:rPr>
        <w:t>Dalam mimpi Miller, sebuah peti dikirimkan kepadanya oleh tangan yang tak kelihatan. Dalam mimpinya ia dibimbing untuk memahami ukuran peti itu sebagai “enam persegi” kali “sepuluh inci.” Sepuluh dikalikan dengan enam kuasa dua sama dengan tiga ratus enam puluh, yang melambangkan hari-hari dalam satu tahun nubuatan. Kepada Miller diberikan sebuah peti yang berisi pekabaran yang harus ia beritakan, dan pekabaran yang harus ia beritakan itu didasarkan pada prinsip bahwa satu hari dalam nubuatan Alkitab melambangkan satu tahun. Peti itu adalah Alkitab, dan bagi Miller Alkitab harus dipandang dalam dimensi prinsip “sehari-ganti-setahun” dalam nubuatan Alkitab.</w:t>
      </w:r>
    </w:p>
    <w:p>
      <w:pPr>
        <w:pStyle w:val="ArticleScripture"/>
        <w:jc w:val="left"/>
      </w:pPr>
      <w:r>
        <w:rPr>
          <w:rFonts w:ascii="Times New Roman" w:hAnsi="Times New Roman" w:eastAsia="Times New Roman" w:cs="Times New Roman"/>
        </w:rPr>
        <w:t>“Dikaitkan dengan Firman Allah ada suatu kunci yang membuka peti berharga itu, bagi kepuasan dan kegembiraan kita. Saya merasa bersyukur untuk setiap berkas cahaya. Pada masa depan, pengalaman-pengalaman yang sekarang bagi kita sangat misterius akan dijelaskan. Beberapa pengalaman mungkin tidak akan pernah kita pahami sepenuhnya sampai yang fana ini mengenakan ketidakfanaan.” Manuscript Releases, volume 17, 261.</w:t>
      </w:r>
    </w:p>
    <w:p>
      <w:pPr>
        <w:pStyle w:val="ArticleBody"/>
        <w:jc w:val="left"/>
      </w:pPr>
      <w:r>
        <w:rPr>
          <w:rFonts w:ascii="Times New Roman" w:hAnsi="Times New Roman" w:eastAsia="Times New Roman" w:cs="Times New Roman"/>
        </w:rPr>
        <w:t>Go ne go e-na le “senotlelo” se se neng se kgomaretse lebokosong la diphiri mo torong ya ga Miller, se se neng se emela mokgwa o Miller a neng a eteletswe pele go o dirisa.</w:t>
      </w:r>
    </w:p>
    <w:p>
      <w:pPr>
        <w:pStyle w:val="ArticleScripture"/>
        <w:jc w:val="left"/>
      </w:pPr>
      <w:r>
        <w:rPr>
          <w:rFonts w:ascii="Times New Roman" w:hAnsi="Times New Roman" w:eastAsia="Times New Roman" w:cs="Times New Roman"/>
        </w:rPr>
        <w:t>“Ba ba tšoarehileng ho boleleng molaetsa oa lengeloi la boraro ba phenyekolla Mangolo ka morero o tšoanang le oo Ntate Miller a ileng a o amohela. Bukeng e nyenyane e bitsoang Views of the Prophecies and Prophetic Chronology, Ntate Miller o fana ka melao e latelang e bonolo, empa e bohlale le ea bohlokoa, bakeng sa thuto le tlhaloso ea Bibele:—”</w:t>
      </w:r>
    </w:p>
    <w:p>
      <w:pPr>
        <w:pStyle w:val="ArticleScripture"/>
        <w:jc w:val="left"/>
      </w:pPr>
      <w:r>
        <w:rPr>
          <w:rFonts w:ascii="Times New Roman" w:hAnsi="Times New Roman" w:eastAsia="Times New Roman" w:cs="Times New Roman"/>
        </w:rPr>
        <w:t>“[Melao ya ntlha go ya go ya botlhano e nopotswe.]”</w:t>
      </w:r>
    </w:p>
    <w:p>
      <w:pPr>
        <w:pStyle w:val="ArticleScripture"/>
        <w:jc w:val="left"/>
      </w:pPr>
      <w:r>
        <w:rPr>
          <w:rFonts w:ascii="Times New Roman" w:hAnsi="Times New Roman" w:eastAsia="Times New Roman" w:cs="Times New Roman"/>
        </w:rPr>
        <w:t>“Ning hapo juu ni sehemu ya kanuni hizi; na katika utafiti wetu wa Biblia sote tutafanya vema kuyazingatia kanuni zilizowekwa.” Review and Herald, Novemba 25, 1884.</w:t>
      </w:r>
    </w:p>
    <w:p>
      <w:pPr>
        <w:pStyle w:val="ArticleBody"/>
        <w:jc w:val="left"/>
      </w:pPr>
      <w:r>
        <w:rPr>
          <w:rFonts w:ascii="Times New Roman" w:hAnsi="Times New Roman" w:eastAsia="Times New Roman" w:cs="Times New Roman"/>
        </w:rPr>
        <w:t>Apabila Miller membuka peti itu, dia mendapati “segala jenis dan pelbagai saiz permata, intan, batu-batu berharga, serta syiling emas dan perak dari setiap ukuran dan nilai, tersusun indah pada tempatnya masing-masing di dalam peti itu; dan demikian tersusunnya semuanya itu memantulkan suatu cahaya dan kemuliaan yang hanya dapat disamakan dengan matahari.” Miller menemukan permata-permata kebenaran yang membentuk kebenaran-kebenaran asas Adventisme. Kebenaran-kebenaran yang ditemuinya itu “tersusun” dalam tertib yang sempurna dan memantulkan cahaya matahari.</w:t>
      </w:r>
    </w:p>
    <w:p>
      <w:pPr>
        <w:pStyle w:val="ArticleBody"/>
        <w:jc w:val="left"/>
      </w:pPr>
      <w:r>
        <w:rPr>
          <w:rFonts w:ascii="Times New Roman" w:hAnsi="Times New Roman" w:eastAsia="Times New Roman" w:cs="Times New Roman"/>
        </w:rPr>
        <w:t>Миллер затем положил истины «на центральный стол» и призвал всех: «придите и посмотрите». «Придите и посмотрите» — это символ, заимствованный из открытия печатей в книге Откровение, и Миллер представляет мудрых, которые разумеют весть Даниила, распечатанную в 1798 году. Истины, которые Миллер положил на стол, были распечатанными истинами из книги Даниила, распечатанными Львом от колена Иудина, и предназначались для испытания поколения, жившего в то время, когда они были распечатаны. По этой причине четыре зверя из Откровения, связанные с первыми четырьмя печатями, и Миллер взывали к тому поколению: «придите и посмотрите».</w:t>
      </w:r>
    </w:p>
    <w:p>
      <w:pPr>
        <w:pStyle w:val="ArticleScripture"/>
        <w:jc w:val="left"/>
      </w:pPr>
      <w:r>
        <w:rPr>
          <w:rFonts w:ascii="Times New Roman" w:hAnsi="Times New Roman" w:eastAsia="Times New Roman" w:cs="Times New Roman"/>
        </w:rPr>
        <w:t>Ary hitako, rehefa nosokafan’ny Zanak’ondry ny anankiray tamin’ny tombo-kase, dia reko, toy ny fikotroky ny kotrokorana, ny anankiray tamin’ny zava-manana aina efatra nanao hoe: Avia ka jereo. Ary hitako, ka indro, nisy soavaly fotsy; ary izay nipetraka teo amboniny dia nanana tsipìka; ary nomena satroboninahitra izy; dia nivoaka izy naharesy sady mbola haharesy. Ary rehefa nosokafany ny tombo-kase faharoa, dia reko ny zava-manana aina faharoa nanao hoe: Avia ka jereo. Dia nivoaka ny soavaly hafa iray izay mena; ary nomena fahefana izay nipetraka teo amboniny hanala ny fiadanana amin’ny tany, mba hifamonoan’ny olona; ary nomena sabatra lehibe izy. Ary rehefa nosokafany ny tombo-kase fahatelo, dia reko ny zava-manana aina fahatelo nanao hoe: Avia ka jereo. Ary nijery aho, ka indro, nisy soavaly mainty; ary izay nipetraka teo amboniny dia nanana mizana teny an-tanany. Ary reko nisy feo teo afovoan’ny zava-manana aina efatra nanao hoe: Vary iray famarana iray denaria, ary hordea famarana telo iray denaria; fa aza manimba ny diloilo sy ny divay. Ary rehefa nosokafany ny tombo-kase fahefatra, dia reko ny feon’ny zava-manana aina fahefatra nanao hoe: Avia ka jereo. Ary nijery aho, ka indro, nisy soavaly hatsatra; ary ny anaran’izay nipetraka teo amboniny dia Fahafatesana, ary ny Helo nanaraka azy. Ary nomena fahefana taminy ny ampahatelon’ny tany, hamono amin’ny sabatra sy amin’ny mosary sy amin’ny fahafatesana ary amin’ny bibidia etỳ an-tany. Apokalypsy 6:1–8.</w:t>
      </w:r>
    </w:p>
    <w:p>
      <w:pPr>
        <w:pStyle w:val="ArticleBody"/>
        <w:jc w:val="left"/>
      </w:pPr>
      <w:r>
        <w:rPr>
          <w:rFonts w:ascii="Times New Roman" w:hAnsi="Times New Roman" w:eastAsia="Times New Roman" w:cs="Times New Roman"/>
        </w:rPr>
        <w:t>Kese Kristus, ya emelwako nga Mpologoma ow’omu kika kya Yuda, eyabikkula ekitabo ekyali kisibiddwa n’obubonero musanvu mu kitabo ky’Okubikkulirwa, era Mpologoma ow’omu kika kya Yuda ye yabikkula amayinja ag’omuwendo Miller ge yateeka ku mmeeza, n’alyoka alangirira eri bonna nti, “mujje mulabe.”</w:t>
      </w:r>
    </w:p>
    <w:p>
      <w:pPr>
        <w:pStyle w:val="ArticleBody"/>
        <w:jc w:val="left"/>
      </w:pPr>
      <w:r>
        <w:rPr>
          <w:rFonts w:ascii="Times New Roman" w:hAnsi="Times New Roman" w:eastAsia="Times New Roman" w:cs="Times New Roman"/>
        </w:rPr>
        <w:t>Kebenaran-kebenaran yang ditemukannya itu digambarkan secara jelas pada carta perintis 1843, yang menurut Sister White telah dipimpin oleh tangan Tuhan, iaitu tangan yang tidak kelihatan yang sama yang telah membawa kepada Miller peti yang penuh dengan permata. Tiga ratus carta yang dihasilkan pada tahun 1842 merupakan penggenapan perintah Habakuk untuk menuliskan penglihatan itu dan menjelaskannya pada loh-loh. Meja Miller di tengah biliknya melambangkan tiga ratus carta (loh) yang dibawa oleh para utusan Millerite kepada dunia pada tahun 1842 dan 1843. Carta itu, bersama-sama dengan carta perintis 1850, ialah “loh-loh” dalam Habakuk pasal dua.</w:t>
      </w:r>
    </w:p>
    <w:p>
      <w:pPr>
        <w:pStyle w:val="ArticleScripture"/>
        <w:jc w:val="left"/>
      </w:pPr>
      <w:r>
        <w:rPr>
          <w:rFonts w:ascii="Times New Roman" w:hAnsi="Times New Roman" w:eastAsia="Times New Roman" w:cs="Times New Roman"/>
        </w:rPr>
        <w:t>“Anggikatan pabanar saluhut partuturon dohot surat-surat ni Parousia Paduahon, uju marojak di ‘haporseaon na asli,’ ai pamedar ni bagan i ma sada panguhumi ni Habakkuk 2:2, 3. Molo bagan i ma sada jea ni nubuatan (jala angka na manolaknya manadingkon haporseaon na asli), jadi tarida ma ia 457 SM i do taon na sian i dihitung angka 2300 ari. Ringkot do asa 1843 i ma na parjolo dipublikasihon so that ‘paningkiran’ i ‘marlambat,’ manang asa adong sada tingki pamarlambat, di bagasan dia rombongan angka parumaen i ingkon tundol jala modom di jea bolon ni parmasaon, andorang so dibangkitkon nasida marhite Panggora Tengah Borngin.” James White, Second Advent Review and Sabbath Herald, Volume 1, Number 2.</w:t>
      </w:r>
    </w:p>
    <w:p>
      <w:pPr>
        <w:pStyle w:val="ArticleBody"/>
        <w:jc w:val="left"/>
      </w:pPr>
      <w:r>
        <w:rPr>
          <w:rFonts w:ascii="Nirmala UI" w:hAnsi="Nirmala UI" w:eastAsia="Nirmala UI" w:cs="Nirmala UI"/>
        </w:rPr>
        <w:t>ആ</w:t>
      </w:r>
      <w:r>
        <w:rPr>
          <w:rFonts w:ascii="Times New Roman" w:hAnsi="Times New Roman" w:eastAsia="Times New Roman" w:cs="Times New Roman"/>
        </w:rPr>
        <w:t xml:space="preserve"> </w:t>
      </w:r>
      <w:r>
        <w:rPr>
          <w:rFonts w:ascii="Nirmala UI" w:hAnsi="Nirmala UI" w:eastAsia="Nirmala UI" w:cs="Nirmala UI"/>
        </w:rPr>
        <w:t>സന്ദേശത്തോടു</w:t>
      </w:r>
      <w:r>
        <w:rPr>
          <w:rFonts w:ascii="Times New Roman" w:hAnsi="Times New Roman" w:eastAsia="Times New Roman" w:cs="Times New Roman"/>
        </w:rPr>
        <w:t xml:space="preserve"> </w:t>
      </w:r>
      <w:r>
        <w:rPr>
          <w:rFonts w:ascii="Nirmala UI" w:hAnsi="Nirmala UI" w:eastAsia="Nirmala UI" w:cs="Nirmala UI"/>
        </w:rPr>
        <w:t>പ്രതികരിക്കുവാൻ</w:t>
      </w:r>
      <w:r>
        <w:rPr>
          <w:rFonts w:ascii="Times New Roman" w:hAnsi="Times New Roman" w:eastAsia="Times New Roman" w:cs="Times New Roman"/>
        </w:rPr>
        <w:t xml:space="preserve"> </w:t>
      </w:r>
      <w:r>
        <w:rPr>
          <w:rFonts w:ascii="Nirmala UI" w:hAnsi="Nirmala UI" w:eastAsia="Nirmala UI" w:cs="Nirmala UI"/>
        </w:rPr>
        <w:t>ആരംഭിച്ച</w:t>
      </w:r>
      <w:r>
        <w:rPr>
          <w:rFonts w:ascii="Times New Roman" w:hAnsi="Times New Roman" w:eastAsia="Times New Roman" w:cs="Times New Roman"/>
        </w:rPr>
        <w:t xml:space="preserve"> </w:t>
      </w:r>
      <w:r>
        <w:rPr>
          <w:rFonts w:ascii="Nirmala UI" w:hAnsi="Nirmala UI" w:eastAsia="Nirmala UI" w:cs="Nirmala UI"/>
        </w:rPr>
        <w:t>ജനങ്ങൾ</w:t>
      </w:r>
      <w:r>
        <w:rPr>
          <w:rFonts w:ascii="Times New Roman" w:hAnsi="Times New Roman" w:eastAsia="Times New Roman" w:cs="Times New Roman"/>
        </w:rPr>
        <w:t xml:space="preserve"> (</w:t>
      </w:r>
      <w:r>
        <w:rPr>
          <w:rFonts w:ascii="Nirmala UI" w:hAnsi="Nirmala UI" w:eastAsia="Nirmala UI" w:cs="Nirmala UI"/>
        </w:rPr>
        <w:t>രത്നങ്ങൾ</w:t>
      </w:r>
      <w:r>
        <w:rPr>
          <w:rFonts w:ascii="Times New Roman" w:hAnsi="Times New Roman" w:eastAsia="Times New Roman" w:cs="Times New Roman"/>
        </w:rPr>
        <w:t xml:space="preserve">), </w:t>
      </w:r>
      <w:r>
        <w:rPr>
          <w:rFonts w:ascii="Nirmala UI" w:hAnsi="Nirmala UI" w:eastAsia="Nirmala UI" w:cs="Nirmala UI"/>
        </w:rPr>
        <w:t>പിന്നീട്</w:t>
      </w:r>
      <w:r>
        <w:rPr>
          <w:rFonts w:ascii="Times New Roman" w:hAnsi="Times New Roman" w:eastAsia="Times New Roman" w:cs="Times New Roman"/>
        </w:rPr>
        <w:t xml:space="preserve"> </w:t>
      </w:r>
      <w:r>
        <w:rPr>
          <w:rFonts w:ascii="Nirmala UI" w:hAnsi="Nirmala UI" w:eastAsia="Nirmala UI" w:cs="Nirmala UI"/>
        </w:rPr>
        <w:t>ഹബക്കൂക്കിന്റെ</w:t>
      </w:r>
      <w:r>
        <w:rPr>
          <w:rFonts w:ascii="Times New Roman" w:hAnsi="Times New Roman" w:eastAsia="Times New Roman" w:cs="Times New Roman"/>
        </w:rPr>
        <w:t xml:space="preserve"> </w:t>
      </w:r>
      <w:r>
        <w:rPr>
          <w:rFonts w:ascii="Nirmala UI" w:hAnsi="Nirmala UI" w:eastAsia="Nirmala UI" w:cs="Nirmala UI"/>
        </w:rPr>
        <w:t>പലകയിൽ</w:t>
      </w:r>
      <w:r>
        <w:rPr>
          <w:rFonts w:ascii="Times New Roman" w:hAnsi="Times New Roman" w:eastAsia="Times New Roman" w:cs="Times New Roman"/>
        </w:rPr>
        <w:t xml:space="preserve"> </w:t>
      </w:r>
      <w:r>
        <w:rPr>
          <w:rFonts w:ascii="Nirmala UI" w:hAnsi="Nirmala UI" w:eastAsia="Nirmala UI" w:cs="Nirmala UI"/>
        </w:rPr>
        <w:t>പ്രതിനിധീകരിക്കപ്പെട്ടതുപോലെ</w:t>
      </w:r>
      <w:r>
        <w:rPr>
          <w:rFonts w:ascii="Times New Roman" w:hAnsi="Times New Roman" w:eastAsia="Times New Roman" w:cs="Times New Roman"/>
        </w:rPr>
        <w:t xml:space="preserve">, </w:t>
      </w:r>
      <w:r>
        <w:rPr>
          <w:rFonts w:ascii="Nirmala UI" w:hAnsi="Nirmala UI" w:eastAsia="Nirmala UI" w:cs="Nirmala UI"/>
        </w:rPr>
        <w:t>ആദിയിൽ</w:t>
      </w:r>
      <w:r>
        <w:rPr>
          <w:rFonts w:ascii="Times New Roman" w:hAnsi="Times New Roman" w:eastAsia="Times New Roman" w:cs="Times New Roman"/>
        </w:rPr>
        <w:t xml:space="preserve"> </w:t>
      </w:r>
      <w:r>
        <w:rPr>
          <w:rFonts w:ascii="Nirmala UI" w:hAnsi="Nirmala UI" w:eastAsia="Nirmala UI" w:cs="Nirmala UI"/>
        </w:rPr>
        <w:t>കുറച്ചുപേരായിരുന്നു</w:t>
      </w:r>
      <w:r>
        <w:rPr>
          <w:rFonts w:ascii="Times New Roman" w:hAnsi="Times New Roman" w:eastAsia="Times New Roman" w:cs="Times New Roman"/>
        </w:rPr>
        <w:t xml:space="preserve">; </w:t>
      </w:r>
      <w:r>
        <w:rPr>
          <w:rFonts w:ascii="Nirmala UI" w:hAnsi="Nirmala UI" w:eastAsia="Nirmala UI" w:cs="Nirmala UI"/>
        </w:rPr>
        <w:t>എന്നാൽ</w:t>
      </w:r>
      <w:r>
        <w:rPr>
          <w:rFonts w:ascii="Times New Roman" w:hAnsi="Times New Roman" w:eastAsia="Times New Roman" w:cs="Times New Roman"/>
        </w:rPr>
        <w:t xml:space="preserve"> 1840 </w:t>
      </w:r>
      <w:r>
        <w:rPr>
          <w:rFonts w:ascii="Nirmala UI" w:hAnsi="Nirmala UI" w:eastAsia="Nirmala UI" w:cs="Nirmala UI"/>
        </w:rPr>
        <w:t>ആഗസ്റ്റ്</w:t>
      </w:r>
      <w:r>
        <w:rPr>
          <w:rFonts w:ascii="Times New Roman" w:hAnsi="Times New Roman" w:eastAsia="Times New Roman" w:cs="Times New Roman"/>
        </w:rPr>
        <w:t xml:space="preserve"> 11-</w:t>
      </w:r>
      <w:r>
        <w:rPr>
          <w:rFonts w:ascii="Nirmala UI" w:hAnsi="Nirmala UI" w:eastAsia="Nirmala UI" w:cs="Nirmala UI"/>
        </w:rPr>
        <w:t>ന്</w:t>
      </w:r>
      <w:r>
        <w:rPr>
          <w:rFonts w:ascii="Times New Roman" w:hAnsi="Times New Roman" w:eastAsia="Times New Roman" w:cs="Times New Roman"/>
        </w:rPr>
        <w:t xml:space="preserve"> </w:t>
      </w:r>
      <w:r>
        <w:rPr>
          <w:rFonts w:ascii="Nirmala UI" w:hAnsi="Nirmala UI" w:eastAsia="Nirmala UI" w:cs="Nirmala UI"/>
        </w:rPr>
        <w:t>ദിനം</w:t>
      </w:r>
      <w:r>
        <w:rPr>
          <w:rFonts w:ascii="Times New Roman" w:hAnsi="Times New Roman" w:eastAsia="Times New Roman" w:cs="Times New Roman"/>
        </w:rPr>
        <w:t>-</w:t>
      </w:r>
      <w:r>
        <w:rPr>
          <w:rFonts w:ascii="Nirmala UI" w:hAnsi="Nirmala UI" w:eastAsia="Nirmala UI" w:cs="Nirmala UI"/>
        </w:rPr>
        <w:t>വർഷം</w:t>
      </w:r>
      <w:r>
        <w:rPr>
          <w:rFonts w:ascii="Times New Roman" w:hAnsi="Times New Roman" w:eastAsia="Times New Roman" w:cs="Times New Roman"/>
        </w:rPr>
        <w:t xml:space="preserve"> </w:t>
      </w:r>
      <w:r>
        <w:rPr>
          <w:rFonts w:ascii="Nirmala UI" w:hAnsi="Nirmala UI" w:eastAsia="Nirmala UI" w:cs="Nirmala UI"/>
        </w:rPr>
        <w:t>എന്ന</w:t>
      </w:r>
      <w:r>
        <w:rPr>
          <w:rFonts w:ascii="Times New Roman" w:hAnsi="Times New Roman" w:eastAsia="Times New Roman" w:cs="Times New Roman"/>
        </w:rPr>
        <w:t xml:space="preserve"> </w:t>
      </w:r>
      <w:r>
        <w:rPr>
          <w:rFonts w:ascii="Nirmala UI" w:hAnsi="Nirmala UI" w:eastAsia="Nirmala UI" w:cs="Nirmala UI"/>
        </w:rPr>
        <w:t>സിദ്ധാന്തത്തിന്റെ</w:t>
      </w:r>
      <w:r>
        <w:rPr>
          <w:rFonts w:ascii="Times New Roman" w:hAnsi="Times New Roman" w:eastAsia="Times New Roman" w:cs="Times New Roman"/>
        </w:rPr>
        <w:t xml:space="preserve"> </w:t>
      </w:r>
      <w:r>
        <w:rPr>
          <w:rFonts w:ascii="Nirmala UI" w:hAnsi="Nirmala UI" w:eastAsia="Nirmala UI" w:cs="Nirmala UI"/>
        </w:rPr>
        <w:t>സ്ഥിരീകരണത്താൽ</w:t>
      </w:r>
      <w:r>
        <w:rPr>
          <w:rFonts w:ascii="Times New Roman" w:hAnsi="Times New Roman" w:eastAsia="Times New Roman" w:cs="Times New Roman"/>
        </w:rPr>
        <w:t xml:space="preserve">, </w:t>
      </w:r>
      <w:r>
        <w:rPr>
          <w:rFonts w:ascii="Nirmala UI" w:hAnsi="Nirmala UI" w:eastAsia="Nirmala UI" w:cs="Nirmala UI"/>
        </w:rPr>
        <w:t>ആ</w:t>
      </w:r>
      <w:r>
        <w:rPr>
          <w:rFonts w:ascii="Times New Roman" w:hAnsi="Times New Roman" w:eastAsia="Times New Roman" w:cs="Times New Roman"/>
        </w:rPr>
        <w:t xml:space="preserve"> </w:t>
      </w:r>
      <w:r>
        <w:rPr>
          <w:rFonts w:ascii="Nirmala UI" w:hAnsi="Nirmala UI" w:eastAsia="Nirmala UI" w:cs="Nirmala UI"/>
        </w:rPr>
        <w:t>ജനങ്ങൾ</w:t>
      </w:r>
      <w:r>
        <w:rPr>
          <w:rFonts w:ascii="Times New Roman" w:hAnsi="Times New Roman" w:eastAsia="Times New Roman" w:cs="Times New Roman"/>
        </w:rPr>
        <w:t xml:space="preserve"> “</w:t>
      </w:r>
      <w:r>
        <w:rPr>
          <w:rFonts w:ascii="Nirmala UI" w:hAnsi="Nirmala UI" w:eastAsia="Nirmala UI" w:cs="Nirmala UI"/>
        </w:rPr>
        <w:t>ഒരു</w:t>
      </w:r>
      <w:r>
        <w:rPr>
          <w:rFonts w:ascii="Times New Roman" w:hAnsi="Times New Roman" w:eastAsia="Times New Roman" w:cs="Times New Roman"/>
        </w:rPr>
        <w:t xml:space="preserve"> </w:t>
      </w:r>
      <w:r>
        <w:rPr>
          <w:rFonts w:ascii="Nirmala UI" w:hAnsi="Nirmala UI" w:eastAsia="Nirmala UI" w:cs="Nirmala UI"/>
        </w:rPr>
        <w:t>പുരുഷാരമായി</w:t>
      </w:r>
      <w:r>
        <w:rPr>
          <w:rFonts w:ascii="Times New Roman" w:hAnsi="Times New Roman" w:eastAsia="Times New Roman" w:cs="Times New Roman"/>
        </w:rPr>
        <w:t xml:space="preserve"> </w:t>
      </w:r>
      <w:r>
        <w:rPr>
          <w:rFonts w:ascii="Nirmala UI" w:hAnsi="Nirmala UI" w:eastAsia="Nirmala UI" w:cs="Nirmala UI"/>
        </w:rPr>
        <w:t>വർധിച്ചു</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“E re ne go lebantšwego ka sona, Turkey, ka baemedi ba yona, e ile ya amogela tšhireletšo ya mebušo e kopanego ya Yuropa, gomme ka tsela yeo ya ipea ka tlase ga taolo ya ditšhaba tša Bokreste. Tiragalo yeo e phethagaditše boporofeta ka nepagalo. Ge taba ye e tsebja, bontši bo ile bja kgodišega ka go nepagala ga melao ya tlhathollo ya boporofeta yeo e bego e amogetšwe ke Miller le badirišani ba gagwe, gomme mokgatlo wa go tla ga Morena wa hwetša tšhušumetšo e makatšago. Banna ba thuto le ba maemo ba ile ba ikopanya le Miller, bobedi ka go rera le ka go phatlalatša dikgopolo tša gagwe, gomme go tloga ka 1840 go fihla ka 1844 mošomo o ile wa katološwa ka lebelo.” The Great Controversy, 334, 335.</w:t>
      </w:r>
    </w:p>
    <w:p>
      <w:pPr>
        <w:pStyle w:val="ArticleBody"/>
        <w:jc w:val="left"/>
      </w:pPr>
      <w:r>
        <w:rPr>
          <w:rFonts w:ascii="Times New Roman" w:hAnsi="Times New Roman" w:eastAsia="Times New Roman" w:cs="Times New Roman"/>
        </w:rPr>
        <w:t>Kemudian orang ramai itu mula mengacau permata-permata itu. Pada ketika itu Miller akan mengenal pasti penyerakan permata-permata itu. Perkataan “menyerakkan” ialah salah satu lambang utama bagi “tujuh kali” dalam Imamat dua puluh enam, dan Miller menggunakan beberapa variasi perkataan “menyerakkan” sebanyak sepuluh kali dalam pembentangan mimpinya. “Sepuluh” ialah lambang suatu ujian, dan menandakan pemahaman yang tepat tentang makna simbolik permata-permata Miller yang “terserak” sebagai suatu ujian nubuat bagi mereka yang ke atasnya kesudahan dunia telah datang.</w:t>
      </w:r>
    </w:p>
    <w:p>
      <w:pPr>
        <w:pStyle w:val="ArticleBody"/>
        <w:jc w:val="left"/>
      </w:pPr>
      <w:r>
        <w:rPr>
          <w:rFonts w:ascii="Times New Roman" w:hAnsi="Times New Roman" w:eastAsia="Times New Roman" w:cs="Times New Roman"/>
        </w:rPr>
        <w:t>Penolakan terhadap permata “tujuh kali” merupakan permata pertama yang disisihkan oleh Adventisme Laodikia ketika mereka gagal dalam ujian “penyerakan” Musa, yang telah dikemukakan oleh Elia (Miller), pada tahun 1863. Sejak saat itu, permata-permata itu semakin tercerai-berai, bercampur dengan barang-barang palsu, dan pada akhirnya tertutup sepenuhnya. Penutupan permata-permata yang berharga itu pada akhirnya akan mencapai suatu titik di mana peti perhiasan itu (Alkitab) akan dihancurkan.</w:t>
      </w:r>
    </w:p>
    <w:p>
      <w:pPr>
        <w:pStyle w:val="ArticleBody"/>
        <w:jc w:val="left"/>
      </w:pPr>
      <w:r>
        <w:rPr>
          <w:rFonts w:ascii="Times New Roman" w:hAnsi="Times New Roman" w:eastAsia="Times New Roman" w:cs="Times New Roman"/>
        </w:rPr>
        <w:t>Dalam mimpi Miller terdapat suatu perbedaan yang jelas antara tujuh kali pertama kata “berserak” digunakan oleh Miller, dan tiga kali terakhir ia menggunakan kata itu. Setelah ia menyebut “berserak” “tujuh kali,” ia “menjadi sama sekali tawar hati dan putus asa, lalu duduk dan menangis.”</w:t>
      </w:r>
    </w:p>
    <w:p>
      <w:pPr>
        <w:pStyle w:val="ArticleBody"/>
        <w:jc w:val="left"/>
      </w:pPr>
      <w:r>
        <w:rPr>
          <w:rFonts w:ascii="Times New Roman" w:hAnsi="Times New Roman" w:eastAsia="Times New Roman" w:cs="Times New Roman"/>
        </w:rPr>
        <w:t>Ise me Christ, sɛ wɔgyina hɔ ma no sɛ Yuda abusua no Gyata no, fii ne dwuma a ɛne sɛ obebue nwoma a wɔde nsɔano ason asɔ ano no wɔ Adiyisɛm nwoma no mu no ase no, Yohane sui. Yohane ne Miller nyinaa sui bere a wɔtee ase sɛ wɔasie adaka no (Nyankopɔn Asɛm) de ahenboɔ a ɛyɛ atoro akata so.</w:t>
      </w:r>
    </w:p>
    <w:p>
      <w:pPr>
        <w:pStyle w:val="ArticleScripture"/>
        <w:jc w:val="left"/>
      </w:pP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ខ្ញុំបានឃើញ</w:t>
      </w:r>
      <w:r>
        <w:rPr>
          <w:rFonts w:ascii="Times New Roman" w:hAnsi="Times New Roman" w:eastAsia="Times New Roman" w:cs="Times New Roman"/>
        </w:rPr>
        <w:t xml:space="preserve"> </w:t>
      </w:r>
      <w:r>
        <w:rPr>
          <w:rFonts w:ascii="Leelawadee UI" w:hAnsi="Leelawadee UI" w:eastAsia="Leelawadee UI" w:cs="Leelawadee UI"/>
        </w:rPr>
        <w:t>ក្នុងព្រះហស្តស្តាំរបស់ព្រះអង្គ</w:t>
      </w:r>
      <w:r>
        <w:rPr>
          <w:rFonts w:ascii="Times New Roman" w:hAnsi="Times New Roman" w:eastAsia="Times New Roman" w:cs="Times New Roman"/>
        </w:rPr>
        <w:t xml:space="preserve"> </w:t>
      </w:r>
      <w:r>
        <w:rPr>
          <w:rFonts w:ascii="Leelawadee UI" w:hAnsi="Leelawadee UI" w:eastAsia="Leelawadee UI" w:cs="Leelawadee UI"/>
        </w:rPr>
        <w:t>ដែលគង់លើបល្ល័ង្ក</w:t>
      </w:r>
      <w:r>
        <w:rPr>
          <w:rFonts w:ascii="Times New Roman" w:hAnsi="Times New Roman" w:eastAsia="Times New Roman" w:cs="Times New Roman"/>
        </w:rPr>
        <w:t xml:space="preserve"> </w:t>
      </w:r>
      <w:r>
        <w:rPr>
          <w:rFonts w:ascii="Leelawadee UI" w:hAnsi="Leelawadee UI" w:eastAsia="Leelawadee UI" w:cs="Leelawadee UI"/>
        </w:rPr>
        <w:t>មានសៀវភៅមួយ</w:t>
      </w:r>
      <w:r>
        <w:rPr>
          <w:rFonts w:ascii="Times New Roman" w:hAnsi="Times New Roman" w:eastAsia="Times New Roman" w:cs="Times New Roman"/>
        </w:rPr>
        <w:t xml:space="preserve"> </w:t>
      </w:r>
      <w:r>
        <w:rPr>
          <w:rFonts w:ascii="Leelawadee UI" w:hAnsi="Leelawadee UI" w:eastAsia="Leelawadee UI" w:cs="Leelawadee UI"/>
        </w:rPr>
        <w:t>ដែលបានសរសេរនៅខាងក្នុង</w:t>
      </w:r>
      <w:r>
        <w:rPr>
          <w:rFonts w:ascii="Times New Roman" w:hAnsi="Times New Roman" w:eastAsia="Times New Roman" w:cs="Times New Roman"/>
        </w:rPr>
        <w:t xml:space="preserve"> </w:t>
      </w:r>
      <w:r>
        <w:rPr>
          <w:rFonts w:ascii="Leelawadee UI" w:hAnsi="Leelawadee UI" w:eastAsia="Leelawadee UI" w:cs="Leelawadee UI"/>
        </w:rPr>
        <w:t>និងខាងក្រោយ</w:t>
      </w:r>
      <w:r>
        <w:rPr>
          <w:rFonts w:ascii="Times New Roman" w:hAnsi="Times New Roman" w:eastAsia="Times New Roman" w:cs="Times New Roman"/>
        </w:rPr>
        <w:t xml:space="preserve"> </w:t>
      </w:r>
      <w:r>
        <w:rPr>
          <w:rFonts w:ascii="Leelawadee UI" w:hAnsi="Leelawadee UI" w:eastAsia="Leelawadee UI" w:cs="Leelawadee UI"/>
        </w:rPr>
        <w:t>ហើយបិទត្រាដោយត្រាប្រាំពីរ។</w:t>
      </w:r>
      <w:r>
        <w:rPr>
          <w:rFonts w:ascii="Times New Roman" w:hAnsi="Times New Roman" w:eastAsia="Times New Roman" w:cs="Times New Roman"/>
        </w:rPr>
        <w:t xml:space="preserve"> </w:t>
      </w:r>
      <w:r>
        <w:rPr>
          <w:rFonts w:ascii="Leelawadee UI" w:hAnsi="Leelawadee UI" w:eastAsia="Leelawadee UI" w:cs="Leelawadee UI"/>
        </w:rPr>
        <w:t>ហើយខ្ញុំបានឃើញទេវតាដ៏ខ្លាំងមួយ</w:t>
      </w:r>
      <w:r>
        <w:rPr>
          <w:rFonts w:ascii="Times New Roman" w:hAnsi="Times New Roman" w:eastAsia="Times New Roman" w:cs="Times New Roman"/>
        </w:rPr>
        <w:t xml:space="preserve"> </w:t>
      </w:r>
      <w:r>
        <w:rPr>
          <w:rFonts w:ascii="Leelawadee UI" w:hAnsi="Leelawadee UI" w:eastAsia="Leelawadee UI" w:cs="Leelawadee UI"/>
        </w:rPr>
        <w:t>ប្រកាសដោយសំឡេងយ៉ាងខ្លាំងថា៖</w:t>
      </w:r>
      <w:r>
        <w:rPr>
          <w:rFonts w:ascii="Times New Roman" w:hAnsi="Times New Roman" w:eastAsia="Times New Roman" w:cs="Times New Roman"/>
        </w:rPr>
        <w:t xml:space="preserve"> </w:t>
      </w:r>
      <w:r>
        <w:rPr>
          <w:rFonts w:ascii="Leelawadee UI" w:hAnsi="Leelawadee UI" w:eastAsia="Leelawadee UI" w:cs="Leelawadee UI"/>
        </w:rPr>
        <w:t>តើអ្នកណាសមគួរ</w:t>
      </w:r>
      <w:r>
        <w:rPr>
          <w:rFonts w:ascii="Times New Roman" w:hAnsi="Times New Roman" w:eastAsia="Times New Roman" w:cs="Times New Roman"/>
        </w:rPr>
        <w:t xml:space="preserve"> </w:t>
      </w:r>
      <w:r>
        <w:rPr>
          <w:rFonts w:ascii="Leelawadee UI" w:hAnsi="Leelawadee UI" w:eastAsia="Leelawadee UI" w:cs="Leelawadee UI"/>
        </w:rPr>
        <w:t>នឹងបើកសៀវភៅនេះ</w:t>
      </w:r>
      <w:r>
        <w:rPr>
          <w:rFonts w:ascii="Times New Roman" w:hAnsi="Times New Roman" w:eastAsia="Times New Roman" w:cs="Times New Roman"/>
        </w:rPr>
        <w:t xml:space="preserve"> </w:t>
      </w:r>
      <w:r>
        <w:rPr>
          <w:rFonts w:ascii="Leelawadee UI" w:hAnsi="Leelawadee UI" w:eastAsia="Leelawadee UI" w:cs="Leelawadee UI"/>
        </w:rPr>
        <w:t>ហើយដោះត្រារបស់វា</w:t>
      </w:r>
      <w:r>
        <w:rPr>
          <w:rFonts w:ascii="Times New Roman" w:hAnsi="Times New Roman" w:eastAsia="Times New Roman" w:cs="Times New Roman"/>
        </w:rPr>
        <w:t xml:space="preserve">? </w:t>
      </w:r>
      <w:r>
        <w:rPr>
          <w:rFonts w:ascii="Leelawadee UI" w:hAnsi="Leelawadee UI" w:eastAsia="Leelawadee UI" w:cs="Leelawadee UI"/>
        </w:rPr>
        <w:t>ហើយគ្មាននរណាម្នាក់</w:t>
      </w:r>
      <w:r>
        <w:rPr>
          <w:rFonts w:ascii="Times New Roman" w:hAnsi="Times New Roman" w:eastAsia="Times New Roman" w:cs="Times New Roman"/>
        </w:rPr>
        <w:t xml:space="preserve"> </w:t>
      </w:r>
      <w:r>
        <w:rPr>
          <w:rFonts w:ascii="Leelawadee UI" w:hAnsi="Leelawadee UI" w:eastAsia="Leelawadee UI" w:cs="Leelawadee UI"/>
        </w:rPr>
        <w:t>នៅស្ថានសួគ៌</w:t>
      </w:r>
      <w:r>
        <w:rPr>
          <w:rFonts w:ascii="Times New Roman" w:hAnsi="Times New Roman" w:eastAsia="Times New Roman" w:cs="Times New Roman"/>
        </w:rPr>
        <w:t xml:space="preserve"> </w:t>
      </w:r>
      <w:r>
        <w:rPr>
          <w:rFonts w:ascii="Leelawadee UI" w:hAnsi="Leelawadee UI" w:eastAsia="Leelawadee UI" w:cs="Leelawadee UI"/>
        </w:rPr>
        <w:t>ក៏នៅលើផែនដី</w:t>
      </w:r>
      <w:r>
        <w:rPr>
          <w:rFonts w:ascii="Times New Roman" w:hAnsi="Times New Roman" w:eastAsia="Times New Roman" w:cs="Times New Roman"/>
        </w:rPr>
        <w:t xml:space="preserve"> </w:t>
      </w:r>
      <w:r>
        <w:rPr>
          <w:rFonts w:ascii="Leelawadee UI" w:hAnsi="Leelawadee UI" w:eastAsia="Leelawadee UI" w:cs="Leelawadee UI"/>
        </w:rPr>
        <w:t>ឬនៅក្រោមផែនដី</w:t>
      </w:r>
      <w:r>
        <w:rPr>
          <w:rFonts w:ascii="Times New Roman" w:hAnsi="Times New Roman" w:eastAsia="Times New Roman" w:cs="Times New Roman"/>
        </w:rPr>
        <w:t xml:space="preserve"> </w:t>
      </w:r>
      <w:r>
        <w:rPr>
          <w:rFonts w:ascii="Leelawadee UI" w:hAnsi="Leelawadee UI" w:eastAsia="Leelawadee UI" w:cs="Leelawadee UI"/>
        </w:rPr>
        <w:t>អាចបើកសៀវភៅនោះ</w:t>
      </w:r>
      <w:r>
        <w:rPr>
          <w:rFonts w:ascii="Times New Roman" w:hAnsi="Times New Roman" w:eastAsia="Times New Roman" w:cs="Times New Roman"/>
        </w:rPr>
        <w:t xml:space="preserve"> </w:t>
      </w:r>
      <w:r>
        <w:rPr>
          <w:rFonts w:ascii="Leelawadee UI" w:hAnsi="Leelawadee UI" w:eastAsia="Leelawadee UI" w:cs="Leelawadee UI"/>
        </w:rPr>
        <w:t>ឬសូម្បីតែមើលទៅលើវាបានឡើយ។</w:t>
      </w:r>
      <w:r>
        <w:rPr>
          <w:rFonts w:ascii="Times New Roman" w:hAnsi="Times New Roman" w:eastAsia="Times New Roman" w:cs="Times New Roman"/>
        </w:rPr>
        <w:t xml:space="preserve"> </w:t>
      </w:r>
      <w:r>
        <w:rPr>
          <w:rFonts w:ascii="Leelawadee UI" w:hAnsi="Leelawadee UI" w:eastAsia="Leelawadee UI" w:cs="Leelawadee UI"/>
        </w:rPr>
        <w:t>ហើយខ្ញុំបានយំយ៉ាងខ្លាំង</w:t>
      </w:r>
      <w:r>
        <w:rPr>
          <w:rFonts w:ascii="Times New Roman" w:hAnsi="Times New Roman" w:eastAsia="Times New Roman" w:cs="Times New Roman"/>
        </w:rPr>
        <w:t xml:space="preserve"> </w:t>
      </w:r>
      <w:r>
        <w:rPr>
          <w:rFonts w:ascii="Leelawadee UI" w:hAnsi="Leelawadee UI" w:eastAsia="Leelawadee UI" w:cs="Leelawadee UI"/>
        </w:rPr>
        <w:t>ពីព្រោះគ្មាននរណាម្នាក់ត្រូវបានឃើញថាសមគួរ</w:t>
      </w:r>
      <w:r>
        <w:rPr>
          <w:rFonts w:ascii="Times New Roman" w:hAnsi="Times New Roman" w:eastAsia="Times New Roman" w:cs="Times New Roman"/>
        </w:rPr>
        <w:t xml:space="preserve"> </w:t>
      </w:r>
      <w:r>
        <w:rPr>
          <w:rFonts w:ascii="Leelawadee UI" w:hAnsi="Leelawadee UI" w:eastAsia="Leelawadee UI" w:cs="Leelawadee UI"/>
        </w:rPr>
        <w:t>នឹងបើក</w:t>
      </w:r>
      <w:r>
        <w:rPr>
          <w:rFonts w:ascii="Times New Roman" w:hAnsi="Times New Roman" w:eastAsia="Times New Roman" w:cs="Times New Roman"/>
        </w:rPr>
        <w:t xml:space="preserve"> </w:t>
      </w:r>
      <w:r>
        <w:rPr>
          <w:rFonts w:ascii="Leelawadee UI" w:hAnsi="Leelawadee UI" w:eastAsia="Leelawadee UI" w:cs="Leelawadee UI"/>
        </w:rPr>
        <w:t>និងអានសៀវភៅនោះ</w:t>
      </w:r>
      <w:r>
        <w:rPr>
          <w:rFonts w:ascii="Times New Roman" w:hAnsi="Times New Roman" w:eastAsia="Times New Roman" w:cs="Times New Roman"/>
        </w:rPr>
        <w:t xml:space="preserve"> </w:t>
      </w:r>
      <w:r>
        <w:rPr>
          <w:rFonts w:ascii="Leelawadee UI" w:hAnsi="Leelawadee UI" w:eastAsia="Leelawadee UI" w:cs="Leelawadee UI"/>
        </w:rPr>
        <w:t>ឬសូម្បីតែមើលទៅលើវាបានឡើយ។</w:t>
      </w:r>
      <w:r>
        <w:rPr>
          <w:rFonts w:ascii="Times New Roman" w:hAnsi="Times New Roman" w:eastAsia="Times New Roman" w:cs="Times New Roman"/>
        </w:rPr>
        <w:t xml:space="preserve"> </w:t>
      </w:r>
      <w:r>
        <w:rPr>
          <w:rFonts w:ascii="Leelawadee UI" w:hAnsi="Leelawadee UI" w:eastAsia="Leelawadee UI" w:cs="Leelawadee UI"/>
        </w:rPr>
        <w:t>តែអ្នកចាស់ទុំម្នាក់បាននិយាយមកកាន់ខ្ញុំថា៖</w:t>
      </w:r>
      <w:r>
        <w:rPr>
          <w:rFonts w:ascii="Times New Roman" w:hAnsi="Times New Roman" w:eastAsia="Times New Roman" w:cs="Times New Roman"/>
        </w:rPr>
        <w:t xml:space="preserve"> </w:t>
      </w:r>
      <w:r>
        <w:rPr>
          <w:rFonts w:ascii="Leelawadee UI" w:hAnsi="Leelawadee UI" w:eastAsia="Leelawadee UI" w:cs="Leelawadee UI"/>
        </w:rPr>
        <w:t>កុំយំឡើយ</w:t>
      </w:r>
      <w:r>
        <w:rPr>
          <w:rFonts w:ascii="Times New Roman" w:hAnsi="Times New Roman" w:eastAsia="Times New Roman" w:cs="Times New Roman"/>
        </w:rPr>
        <w:t xml:space="preserve">! </w:t>
      </w:r>
      <w:r>
        <w:rPr>
          <w:rFonts w:ascii="Leelawadee UI" w:hAnsi="Leelawadee UI" w:eastAsia="Leelawadee UI" w:cs="Leelawadee UI"/>
        </w:rPr>
        <w:t>មើលចុះ</w:t>
      </w:r>
      <w:r>
        <w:rPr>
          <w:rFonts w:ascii="Times New Roman" w:hAnsi="Times New Roman" w:eastAsia="Times New Roman" w:cs="Times New Roman"/>
        </w:rPr>
        <w:t xml:space="preserve"> </w:t>
      </w:r>
      <w:r>
        <w:rPr>
          <w:rFonts w:ascii="Leelawadee UI" w:hAnsi="Leelawadee UI" w:eastAsia="Leelawadee UI" w:cs="Leelawadee UI"/>
        </w:rPr>
        <w:t>សិង្ហនៃពូជយូដា</w:t>
      </w:r>
      <w:r>
        <w:rPr>
          <w:rFonts w:ascii="Times New Roman" w:hAnsi="Times New Roman" w:eastAsia="Times New Roman" w:cs="Times New Roman"/>
        </w:rPr>
        <w:t xml:space="preserve"> </w:t>
      </w:r>
      <w:r>
        <w:rPr>
          <w:rFonts w:ascii="Leelawadee UI" w:hAnsi="Leelawadee UI" w:eastAsia="Leelawadee UI" w:cs="Leelawadee UI"/>
        </w:rPr>
        <w:t>ឫសនៃដាវីឌ</w:t>
      </w:r>
      <w:r>
        <w:rPr>
          <w:rFonts w:ascii="Times New Roman" w:hAnsi="Times New Roman" w:eastAsia="Times New Roman" w:cs="Times New Roman"/>
        </w:rPr>
        <w:t xml:space="preserve"> </w:t>
      </w:r>
      <w:r>
        <w:rPr>
          <w:rFonts w:ascii="Leelawadee UI" w:hAnsi="Leelawadee UI" w:eastAsia="Leelawadee UI" w:cs="Leelawadee UI"/>
        </w:rPr>
        <w:t>បានឈ្នះហើយ</w:t>
      </w:r>
      <w:r>
        <w:rPr>
          <w:rFonts w:ascii="Times New Roman" w:hAnsi="Times New Roman" w:eastAsia="Times New Roman" w:cs="Times New Roman"/>
        </w:rPr>
        <w:t xml:space="preserve"> </w:t>
      </w:r>
      <w:r>
        <w:rPr>
          <w:rFonts w:ascii="Leelawadee UI" w:hAnsi="Leelawadee UI" w:eastAsia="Leelawadee UI" w:cs="Leelawadee UI"/>
        </w:rPr>
        <w:t>ដើម្បីបើកសៀវភៅនោះ</w:t>
      </w:r>
      <w:r>
        <w:rPr>
          <w:rFonts w:ascii="Times New Roman" w:hAnsi="Times New Roman" w:eastAsia="Times New Roman" w:cs="Times New Roman"/>
        </w:rPr>
        <w:t xml:space="preserve"> </w:t>
      </w:r>
      <w:r>
        <w:rPr>
          <w:rFonts w:ascii="Leelawadee UI" w:hAnsi="Leelawadee UI" w:eastAsia="Leelawadee UI" w:cs="Leelawadee UI"/>
        </w:rPr>
        <w:t>និងដោះត្រាទាំងប្រាំពីររបស់វា។</w:t>
      </w:r>
      <w:r>
        <w:rPr>
          <w:rFonts w:ascii="Times New Roman" w:hAnsi="Times New Roman" w:eastAsia="Times New Roman" w:cs="Times New Roman"/>
        </w:rPr>
        <w:t xml:space="preserve"> </w:t>
      </w:r>
      <w:r>
        <w:rPr>
          <w:rFonts w:ascii="Leelawadee UI" w:hAnsi="Leelawadee UI" w:eastAsia="Leelawadee UI" w:cs="Leelawadee UI"/>
        </w:rPr>
        <w:t>វិវរណៈ</w:t>
      </w:r>
      <w:r>
        <w:rPr>
          <w:rFonts w:ascii="Times New Roman" w:hAnsi="Times New Roman" w:eastAsia="Times New Roman" w:cs="Times New Roman"/>
        </w:rPr>
        <w:t xml:space="preserve"> </w:t>
      </w:r>
      <w:r>
        <w:rPr>
          <w:rFonts w:ascii="Leelawadee UI" w:hAnsi="Leelawadee UI" w:eastAsia="Leelawadee UI" w:cs="Leelawadee UI"/>
        </w:rPr>
        <w:t>៥៖១</w:t>
      </w:r>
      <w:r>
        <w:rPr>
          <w:rFonts w:ascii="Times New Roman" w:hAnsi="Times New Roman" w:eastAsia="Times New Roman" w:cs="Times New Roman"/>
        </w:rPr>
        <w:t>–</w:t>
      </w:r>
      <w:r>
        <w:rPr>
          <w:rFonts w:ascii="Leelawadee UI" w:hAnsi="Leelawadee UI" w:eastAsia="Leelawadee UI" w:cs="Leelawadee UI"/>
        </w:rPr>
        <w:t>៥។</w:t>
      </w:r>
    </w:p>
    <w:p>
      <w:pPr>
        <w:pStyle w:val="ArticleBody"/>
        <w:jc w:val="left"/>
      </w:pPr>
      <w:r>
        <w:rPr>
          <w:rFonts w:ascii="Times New Roman" w:hAnsi="Times New Roman" w:eastAsia="Times New Roman" w:cs="Times New Roman"/>
        </w:rPr>
        <w:t>Apabila penolakan yang semakin memuncak terhadap permata-permata yang ditemukan oleh Miller dan dipersembahkannya kepada dunia telah mencapai tahap di mana Alkitab (peti itu) dimusnahkan, maka Miller pun menangis.</w:t>
      </w:r>
    </w:p>
    <w:p>
      <w:pPr>
        <w:pStyle w:val="ArticleScripture"/>
        <w:jc w:val="left"/>
      </w:pPr>
      <w:r>
        <w:rPr>
          <w:rFonts w:ascii="Times New Roman" w:hAnsi="Times New Roman" w:eastAsia="Times New Roman" w:cs="Times New Roman"/>
        </w:rPr>
        <w:t>“Kemudian aku melihat bahawa di antara permata asli dan syiling tulen itu mereka telah menaburkan sejumlah yang tidak terhitung banyaknya permata palsu dan syiling tiruan. Aku sangat murka terhadap kelakuan mereka yang hina dan tidak tahu berterima kasih, lalu menegur dan mencela mereka kerana hal itu; tetapi semakin aku menegur, semakin mereka menaburkan permata palsu dan syiling tiruan itu di antara yang asli.</w:t>
      </w:r>
    </w:p>
    <w:p>
      <w:pPr>
        <w:pStyle w:val="ArticleScripture"/>
        <w:jc w:val="left"/>
      </w:pPr>
      <w:r>
        <w:rPr>
          <w:rFonts w:ascii="Times New Roman" w:hAnsi="Times New Roman" w:eastAsia="Times New Roman" w:cs="Times New Roman"/>
        </w:rPr>
        <w:t>“Ndzi tsakile ngopfu embilwini ya mina ya nyama kutani ndzi sungula ku tirhisa matimba ya nyama leswaku ndzi va hlongola endlwini; kambe loko ndzi ri karhi ndzi humesa un’we, vanharhu van’wana a va nghena kutani va tisa thyaka ni swipandzwana swa mapulanga ni misava ni mixaka hinkwayo ya leswi lahliwaka, ku fikela loko va funengetile maribye hinkwawo ya ntiyiso, timayimani ni timali, leswi hinkwaswo a swi nga ha vonaki. Nakambe va handzule bokisi ra mina ra nkoka va ri handzula hi swiphemu kutani va ri hangalasa exikarhi ka thyaka. A ndzi ehleketa leswaku a ku na munhu loyi a a tekela enhlokweni gome ra mina kumbe vukarhi bya mina. Ndzi hele matimba hi ku helela naswona ndzi karhatekile embilwini, kutani ndzi tshama ehansi ndzi rila.”</w:t>
      </w:r>
    </w:p>
    <w:p>
      <w:pPr>
        <w:pStyle w:val="ArticleBody"/>
        <w:jc w:val="left"/>
      </w:pPr>
      <w:r>
        <w:rPr>
          <w:rFonts w:ascii="Times New Roman" w:hAnsi="Times New Roman" w:eastAsia="Times New Roman" w:cs="Times New Roman"/>
        </w:rPr>
        <w:t>Pada titik ini dalam mimpinya, kata “berserak” telah digunakan “tujuh kali.” Tiga kemunculan terakhir berbeda dari tujuh yang pertama, sehingga menempatkan suatu tanda tangan nubuatan atas ketujuh penyerakan itu sebagai lambang dari “tujuh masa” dalam Imamat dua puluh enam. Mimpi kedua Miller, sebagaimana mimpi kedua Nebukadnezar, secara simbolis mengidentifikasi “tujuh masa.”</w:t>
      </w:r>
    </w:p>
    <w:p>
      <w:pPr>
        <w:pStyle w:val="ArticleBody"/>
        <w:jc w:val="left"/>
      </w:pPr>
      <w:r>
        <w:rPr>
          <w:rFonts w:ascii="Times New Roman" w:hAnsi="Times New Roman" w:eastAsia="Times New Roman" w:cs="Times New Roman"/>
        </w:rPr>
        <w:t>Sama seperti Yohanes dalam Wahyu pasal lima, ketika Miller menangis, manusia berus kotoran itu (Singa dari suku Yehuda), lalu “membuka sebuah pintu” dan masuk ke dalam bilik itu. Gambaran visual tentang Bapa yang memegang kitab yang dimeteraikan dengan tujuh meterai, yang tidak dapat dibuka oleh siapa pun, dan yang telah menyebabkan Yohanes menangis, bermula pada ayat satu pasal empat.</w:t>
      </w:r>
    </w:p>
    <w:p>
      <w:pPr>
        <w:pStyle w:val="ArticleScripture"/>
        <w:jc w:val="left"/>
      </w:pPr>
      <w:r>
        <w:rPr>
          <w:rFonts w:ascii="Times New Roman" w:hAnsi="Times New Roman" w:eastAsia="Times New Roman" w:cs="Times New Roman"/>
        </w:rPr>
        <w:t>Kemudian aku memandang, dan sesungguhnya, sebuah pintu terbuka di sorga; dan suara yang pertama yang kudengar adalah seperti bunyi sangkakala yang berkata-kata kepadaku, katanya: Naiklah ke mari, dan Aku akan menunjukkan kepadamu apa yang harus terjadi sesudah ini. Wahyu 4:1.</w:t>
      </w:r>
    </w:p>
    <w:p>
      <w:pPr>
        <w:pStyle w:val="ArticleBody"/>
        <w:jc w:val="left"/>
      </w:pPr>
      <w:r>
        <w:rPr>
          <w:rFonts w:ascii="Times New Roman" w:hAnsi="Times New Roman" w:eastAsia="Times New Roman" w:cs="Times New Roman"/>
        </w:rPr>
        <w:t>Miller menangis lalu melihat sebuah pintu terbuka. “Sementara aku demikian menangis dan berkabung atas kerugianku yang besar dan pertanggungjawabanku, aku mengingat Allah, dan dengan sungguh-sungguh berdoa agar Ia mengirimkan pertolongan kepadaku. Segera pintu itu terbuka, dan seorang laki-laki masuk ke dalam ruangan, lalu semua orang meninggalkannya; dan ia, dengan memegang sebuah sikat debu di tangannya, membuka jendela-jendela, dan mulai menyapu debu dan sampah dari ruangan itu.” Singa dari suku Yehuda dan orang yang memegang sikat debu itu datang pada saat sebuah pintu dibukakan, ketika Yohanes dan Miller menangis. Terbukanya sebuah pintu adalah lambang suatu perubahan dispensasi.</w:t>
      </w:r>
    </w:p>
    <w:p>
      <w:pPr>
        <w:pStyle w:val="ArticleBody"/>
        <w:jc w:val="left"/>
      </w:pPr>
      <w:r>
        <w:rPr>
          <w:rFonts w:ascii="Times New Roman" w:hAnsi="Times New Roman" w:eastAsia="Times New Roman" w:cs="Times New Roman"/>
        </w:rPr>
        <w:t>Dengan Miller, dia menangis dan sebuah pintu dibukakan, tetapi dia juga berdoa. “Aku menjadi sangat tawar hati dan patah semangat, lalu duduk dan menangis. Sementara aku demikian menangis dan meratapi kerugianku yang besar serta pertanggungjawabanku, aku teringat akan Allah, dan dengan sungguh-sungguh berdoa agar Ia mengirimkan pertolongan kepadaku. Seketika itu juga pintu terbuka, dan seorang laki-laki masuk ke dalam ruangan itu, lalu semua orang meninggalkannya; dan ia, dengan sebuah sikat debu di tangannya, membuka jendela-jendela, dan mulai menyapu debu dan sampah dari ruangan itu.”</w:t>
      </w:r>
    </w:p>
    <w:p>
      <w:pPr>
        <w:pStyle w:val="ArticleBody"/>
        <w:jc w:val="left"/>
      </w:pPr>
      <w:r>
        <w:rPr>
          <w:rFonts w:ascii="Leelawadee UI" w:hAnsi="Leelawadee UI" w:eastAsia="Leelawadee UI" w:cs="Leelawadee UI"/>
        </w:rPr>
        <w:t>ຄຳອະທິຖານທີ່ເປັນໝຸດໝາຍໃນປະຫວັດສາດຂອງວັນສຸດທ້າຍ</w:t>
      </w:r>
      <w:r>
        <w:rPr>
          <w:rFonts w:ascii="Times New Roman" w:hAnsi="Times New Roman" w:eastAsia="Times New Roman" w:cs="Times New Roman"/>
        </w:rPr>
        <w:t xml:space="preserve"> </w:t>
      </w:r>
      <w:r>
        <w:rPr>
          <w:rFonts w:ascii="Leelawadee UI" w:hAnsi="Leelawadee UI" w:eastAsia="Leelawadee UI" w:cs="Leelawadee UI"/>
        </w:rPr>
        <w:t>ແມ່ນຄຳອະທິຖານທີ່ຖືກໝາຍໄວ້ໂດຍດານີເອນແລະຜູ້ມີກຽດທັງສາມໃນບົດທີສອງ</w:t>
      </w:r>
      <w:r>
        <w:rPr>
          <w:rFonts w:ascii="Times New Roman" w:hAnsi="Times New Roman" w:eastAsia="Times New Roman" w:cs="Times New Roman"/>
        </w:rPr>
        <w:t xml:space="preserve"> </w:t>
      </w:r>
      <w:r>
        <w:rPr>
          <w:rFonts w:ascii="Leelawadee UI" w:hAnsi="Leelawadee UI" w:eastAsia="Leelawadee UI" w:cs="Leelawadee UI"/>
        </w:rPr>
        <w:t>ແລະຍັງໂດຍດານີເອນໃນບົດທີເກົ້າອີກດ້ວຍ</w:t>
      </w:r>
      <w:r>
        <w:rPr>
          <w:rFonts w:ascii="Times New Roman" w:hAnsi="Times New Roman" w:eastAsia="Times New Roman" w:cs="Times New Roman"/>
        </w:rPr>
        <w:t xml:space="preserve">. </w:t>
      </w:r>
      <w:r>
        <w:rPr>
          <w:rFonts w:ascii="Leelawadee UI" w:hAnsi="Leelawadee UI" w:eastAsia="Leelawadee UI" w:cs="Leelawadee UI"/>
        </w:rPr>
        <w:t>ມັນແມ່ນຄຳອະທິຖານແຫ່ງພຣະທຳເລວີ</w:t>
      </w:r>
      <w:r>
        <w:rPr>
          <w:rFonts w:ascii="Times New Roman" w:hAnsi="Times New Roman" w:eastAsia="Times New Roman" w:cs="Times New Roman"/>
        </w:rPr>
        <w:t xml:space="preserve"> </w:t>
      </w:r>
      <w:r>
        <w:rPr>
          <w:rFonts w:ascii="Leelawadee UI" w:hAnsi="Leelawadee UI" w:eastAsia="Leelawadee UI" w:cs="Leelawadee UI"/>
        </w:rPr>
        <w:t>ບົດທີຊາວຫົກ</w:t>
      </w:r>
      <w:r>
        <w:rPr>
          <w:rFonts w:ascii="Times New Roman" w:hAnsi="Times New Roman" w:eastAsia="Times New Roman" w:cs="Times New Roman"/>
        </w:rPr>
        <w:t xml:space="preserve"> </w:t>
      </w:r>
      <w:r>
        <w:rPr>
          <w:rFonts w:ascii="Leelawadee UI" w:hAnsi="Leelawadee UI" w:eastAsia="Leelawadee UI" w:cs="Leelawadee UI"/>
        </w:rPr>
        <w:t>ກ່ຽວກັບ</w:t>
      </w:r>
      <w:r>
        <w:rPr>
          <w:rFonts w:ascii="Times New Roman" w:hAnsi="Times New Roman" w:eastAsia="Times New Roman" w:cs="Times New Roman"/>
        </w:rPr>
        <w:t xml:space="preserve"> “</w:t>
      </w:r>
      <w:r>
        <w:rPr>
          <w:rFonts w:ascii="Leelawadee UI" w:hAnsi="Leelawadee UI" w:eastAsia="Leelawadee UI" w:cs="Leelawadee UI"/>
        </w:rPr>
        <w:t>ເຈັດເທື່ອ</w:t>
      </w:r>
      <w:r>
        <w:rPr>
          <w:rFonts w:ascii="Times New Roman" w:hAnsi="Times New Roman" w:eastAsia="Times New Roman" w:cs="Times New Roman"/>
        </w:rPr>
        <w:t xml:space="preserve">,” </w:t>
      </w:r>
      <w:r>
        <w:rPr>
          <w:rFonts w:ascii="Leelawadee UI" w:hAnsi="Leelawadee UI" w:eastAsia="Leelawadee UI" w:cs="Leelawadee UI"/>
        </w:rPr>
        <w:t>ຊຶ່ງພະຍານທັງສອງໃນພຣະນິມິດ</w:t>
      </w:r>
      <w:r>
        <w:rPr>
          <w:rFonts w:ascii="Times New Roman" w:hAnsi="Times New Roman" w:eastAsia="Times New Roman" w:cs="Times New Roman"/>
        </w:rPr>
        <w:t xml:space="preserve"> </w:t>
      </w:r>
      <w:r>
        <w:rPr>
          <w:rFonts w:ascii="Leelawadee UI" w:hAnsi="Leelawadee UI" w:eastAsia="Leelawadee UI" w:cs="Leelawadee UI"/>
        </w:rPr>
        <w:t>ບົດທີສິບເອັດ</w:t>
      </w:r>
      <w:r>
        <w:rPr>
          <w:rFonts w:ascii="Times New Roman" w:hAnsi="Times New Roman" w:eastAsia="Times New Roman" w:cs="Times New Roman"/>
        </w:rPr>
        <w:t xml:space="preserve"> </w:t>
      </w:r>
      <w:r>
        <w:rPr>
          <w:rFonts w:ascii="Leelawadee UI" w:hAnsi="Leelawadee UI" w:eastAsia="Leelawadee UI" w:cs="Leelawadee UI"/>
        </w:rPr>
        <w:t>ຈະຕ້ອງອະທິຖານເມື່ອພວກເຂົາຕະໜັກວ່າພວກເຂົາໄດ້ຖືກກະຈັດກະຈາຍໄປ</w:t>
      </w:r>
      <w:r>
        <w:rPr>
          <w:rFonts w:ascii="Times New Roman" w:hAnsi="Times New Roman" w:eastAsia="Times New Roman" w:cs="Times New Roman"/>
        </w:rPr>
        <w:t xml:space="preserve">. </w:t>
      </w:r>
      <w:r>
        <w:rPr>
          <w:rFonts w:ascii="Leelawadee UI" w:hAnsi="Leelawadee UI" w:eastAsia="Leelawadee UI" w:cs="Leelawadee UI"/>
        </w:rPr>
        <w:t>ພະຍານທັງສອງຈະຕ້ອງເຮັດຊ້ຳສິ່ງທີ່ດານີເອນໄດ້ເຮັດໃນບົດທີເກົ້າ</w:t>
      </w:r>
      <w:r>
        <w:rPr>
          <w:rFonts w:ascii="Times New Roman" w:hAnsi="Times New Roman" w:eastAsia="Times New Roman" w:cs="Times New Roman"/>
        </w:rPr>
        <w:t xml:space="preserve"> </w:t>
      </w:r>
      <w:r>
        <w:rPr>
          <w:rFonts w:ascii="Leelawadee UI" w:hAnsi="Leelawadee UI" w:eastAsia="Leelawadee UI" w:cs="Leelawadee UI"/>
        </w:rPr>
        <w:t>ເມື່ອລາວຮັບຮູ້ວ່າຕົນເອງໄດ້ຖືກ</w:t>
      </w:r>
      <w:r>
        <w:rPr>
          <w:rFonts w:ascii="Times New Roman" w:hAnsi="Times New Roman" w:eastAsia="Times New Roman" w:cs="Times New Roman"/>
        </w:rPr>
        <w:t xml:space="preserve"> “</w:t>
      </w:r>
      <w:r>
        <w:rPr>
          <w:rFonts w:ascii="Leelawadee UI" w:hAnsi="Leelawadee UI" w:eastAsia="Leelawadee UI" w:cs="Leelawadee UI"/>
        </w:rPr>
        <w:t>ກະຈັດກະຈາຍ</w:t>
      </w:r>
      <w:r>
        <w:rPr>
          <w:rFonts w:ascii="Times New Roman" w:hAnsi="Times New Roman" w:eastAsia="Times New Roman" w:cs="Times New Roman"/>
        </w:rPr>
        <w:t xml:space="preserve">” </w:t>
      </w:r>
      <w:r>
        <w:rPr>
          <w:rFonts w:ascii="Leelawadee UI" w:hAnsi="Leelawadee UI" w:eastAsia="Leelawadee UI" w:cs="Leelawadee UI"/>
        </w:rPr>
        <w:t>ຕາມການສຳເລັດແຫ່ງຄຳສາບແຊ່ງຂອງໂມເຊ</w:t>
      </w:r>
      <w:r>
        <w:rPr>
          <w:rFonts w:ascii="Times New Roman" w:hAnsi="Times New Roman" w:eastAsia="Times New Roman" w:cs="Times New Roman"/>
        </w:rPr>
        <w:t xml:space="preserve">. </w:t>
      </w:r>
      <w:r>
        <w:rPr>
          <w:rFonts w:ascii="Leelawadee UI" w:hAnsi="Leelawadee UI" w:eastAsia="Leelawadee UI" w:cs="Leelawadee UI"/>
        </w:rPr>
        <w:t>ພະຍານທັງສອງຈະຕ້ອງເຮັດຊ້ຳສິ່ງທີ່ມິນເລີໄດ້ສະແດງໄວ້ໃນຄວາມຝັນຂອງລາວ</w:t>
      </w:r>
      <w:r>
        <w:rPr>
          <w:rFonts w:ascii="Times New Roman" w:hAnsi="Times New Roman" w:eastAsia="Times New Roman" w:cs="Times New Roman"/>
        </w:rPr>
        <w:t xml:space="preserve"> </w:t>
      </w:r>
      <w:r>
        <w:rPr>
          <w:rFonts w:ascii="Leelawadee UI" w:hAnsi="Leelawadee UI" w:eastAsia="Leelawadee UI" w:cs="Leelawadee UI"/>
        </w:rPr>
        <w:t>ເມື່ອລາວໄປເຖິງຈຸດທີ່ເພັດພອຍຂອງລາວໄດ້ຖືກກະຈັດກະຈາຍ</w:t>
      </w:r>
      <w:r>
        <w:rPr>
          <w:rFonts w:ascii="Times New Roman" w:hAnsi="Times New Roman" w:eastAsia="Times New Roman" w:cs="Times New Roman"/>
        </w:rPr>
        <w:t xml:space="preserve"> “</w:t>
      </w:r>
      <w:r>
        <w:rPr>
          <w:rFonts w:ascii="Leelawadee UI" w:hAnsi="Leelawadee UI" w:eastAsia="Leelawadee UI" w:cs="Leelawadee UI"/>
        </w:rPr>
        <w:t>ເຈັດເທື່ອ</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Apabila doa itu dimeteraikan, suatu pintu dibukakan, orang yang membawa berus kotoran itu datang, dan bilik itu pun kosong. Orang banyak yang fasik telah pergi, dan suatu dispensasi yang baharu telah tiba. Kemudian Singa dari suku Yehuda, yang nyirunya ada di tangan-Nya, “membuka jendela-jendela, lalu mulai menyapu kotoran dan sampah dari bilik itu,” dan ketika “Dia menyapu kotoran dan sampah, permata-permata palsu dan wang syiling tiruan, semuanya terangkat lalu keluar melalui jendela seperti awan, dan angin pun menerbangkannya.”</w:t>
      </w:r>
    </w:p>
    <w:p>
      <w:pPr>
        <w:pStyle w:val="ArticleBody"/>
        <w:jc w:val="left"/>
      </w:pPr>
      <w:r>
        <w:rPr>
          <w:rFonts w:ascii="Times New Roman" w:hAnsi="Times New Roman" w:eastAsia="Times New Roman" w:cs="Times New Roman"/>
        </w:rPr>
        <w:t>Tingkap-tingkap yang terbuka itu juga menandakan suatu pemisahan, kerana ketika sampah dibawa keluar melalui tingkap, mereka yang telah menunaikan perintah yang terdapat dalam Maleakhi, yang mengarahkan “imam-imam” pada akhir zaman supaya, “bawalah segala persepuluhan itu ke dalam rumah perbendaharaan, supaya ada makanan di rumah-Ku, dan ujilah Aku sekarang dengan ini, firman Tuhan semesta alam, kalau-kalau Aku tidak membukakan bagimu tingkap-tingkap langit, dan mencurahkan kepadamu berkat sehingga tidak ada lagi tempat yang cukup untuk menerimanya.” Pintu yang terbuka dan tingkap-tingkap yang terbuka itu melambangkan suatu perubahan dalam dispensasi yang digenapi pada waktu imam-imam yang jahat disingkirkan, dan imam-imam yang benar sedang diberkati.</w:t>
      </w:r>
    </w:p>
    <w:p>
      <w:pPr>
        <w:pStyle w:val="ArticleBody"/>
        <w:jc w:val="left"/>
      </w:pPr>
      <w:r>
        <w:rPr>
          <w:rFonts w:ascii="Times New Roman" w:hAnsi="Times New Roman" w:eastAsia="Times New Roman" w:cs="Times New Roman"/>
        </w:rPr>
        <w:t>Apabila orang yang menyapu kotoran itu mula membersihkan lantainya, Miller menutup matanya seketika. “Di tengah-tengah kesibukan itu aku menutup mataku seketika; apabila aku membukanya, segala sampah itu sudah lenyap sama sekali. Permata-permata yang berharga, berlian, syiling emas dan perak, terhampar bertaburan dengan limpahnya di seluruh bilik itu.” Maka yang berharga dan yang hina pun terpisah sepenuhnya.</w:t>
      </w:r>
    </w:p>
    <w:p>
      <w:pPr>
        <w:pStyle w:val="ArticleBody"/>
        <w:jc w:val="left"/>
      </w:pPr>
      <w:r>
        <w:rPr>
          <w:rFonts w:ascii="Times New Roman" w:hAnsi="Times New Roman" w:eastAsia="Times New Roman" w:cs="Times New Roman"/>
        </w:rPr>
        <w:t>Litšhelete tse kgolwane di ile tša bewa godimo ga tafola, gomme mabenyabje ao a bego a gašame a lahlelwa ka gare ga yona. “Ka morago a bea godimo ga tafola litšhelete, tše kgolo kudu le tše botse go feta ya pele, gomme a kgoboketša mabenyabje, ditaemane, le ditšhelete tša tšhelete, ka matsogo a tletšego, a di lahlela ka gare ga litšhelete, go fihla go se na le ge e ka ba se tee se šetšego, le ge tše dingwe tša ditaemane di be di sa fete bogolo bja hlogo ya phini.” Dithuto tša motheo tša Miller ka morago di ile tša kgobokanywa mmogo e sego feela le Beibele, eupša le ka Moya wa Boporofeta, gomme dithuto tšeo di be di le botse kudu le go phadima go feta ka moo di bego di le ka gona mathomong.</w:t>
      </w:r>
    </w:p>
    <w:p>
      <w:pPr>
        <w:pStyle w:val="ArticleBody"/>
        <w:jc w:val="left"/>
      </w:pPr>
      <w:r>
        <w:rPr>
          <w:rFonts w:ascii="Times New Roman" w:hAnsi="Times New Roman" w:eastAsia="Times New Roman" w:cs="Times New Roman"/>
        </w:rPr>
        <w:t>Térò ngwà té e bétélâ nlap y’Ulai í ngà ndímbi yí nsango yá túmámá nà 1798, a yí kùm nì a sōmbè nì mètà móm má míán mísusu má mɛ́ngá ángà á zálá nì mɛ́kɔ́bɔ́ yá mpángá yí bápésélá Miller. A yí kùm pí nì a lámbè nì, ndáko wá, mɛ́ngá ángà á mísusu má zàlà ngwɛlɛ nà mángbɔ́ngbɔ́ mpenza, bɔ̌ nà mísusu wà á té yèkè zàngà nì mɛ́ngá má mánɛngɛ ò má nteké.</w:t>
      </w:r>
    </w:p>
    <w:p>
      <w:pPr>
        <w:pStyle w:val="ArticleBody"/>
        <w:jc w:val="left"/>
      </w:pPr>
      <w:r>
        <w:rPr>
          <w:rFonts w:ascii="Times New Roman" w:hAnsi="Times New Roman" w:eastAsia="Times New Roman" w:cs="Times New Roman"/>
        </w:rPr>
        <w:t>Okeshe boamma no wɔasan de aba mu no, wɔde gu adaka kɛse bi mu, na afei wɔsan frɛ bio, ɛnyɛ denam Miller so, na mmom denam Kristo so, (ɔno ne dɔte-prɛwfo no, ɔno ne Yuda abusua mu Gyata no) sɛ, “bra na behu.” Eyi kyerɛ sɛ, wɔayɛ nsɔano-bue bi ansa ara, na nsɔano-bue a etwa to no ne Yesu Kristo Adiyisɛm no a ɛba hɔ ansa na adom bere no ato mu, anaasɛ sɛnea Nuaabea White kyerɛ no no, bere a dɔte-prɛwfo no awura mu no.</w:t>
      </w:r>
    </w:p>
    <w:p>
      <w:pPr>
        <w:pStyle w:val="ArticleScripture"/>
        <w:jc w:val="left"/>
      </w:pPr>
      <w:r>
        <w:rPr>
          <w:rFonts w:ascii="Times New Roman" w:hAnsi="Times New Roman" w:eastAsia="Times New Roman" w:cs="Times New Roman"/>
        </w:rPr>
        <w:t>“Saya memandang ke dalam peti itu, tetapi mata saya disilaukan oleh pemandangan itu. Mereka bersinar sepuluh kali ganda daripada kemuliaan mereka yang dahulu. Saya menyangka bahawa mereka telah digosok di dalam pasir oleh kaki orang-orang fasik yang telah menyerakkan dan memijak mereka ke dalam debu. Mereka tersusun dalam aturan yang indah di dalam peti itu, masing-masing pada tempatnya, tanpa kelihatan bekas-bekas kesusahan orang yang telah melemparkannya ke situ. Saya berseru kerana sukacita yang amat besar, dan seruan itu membangunkan saya.” Early Writings, 83.</w:t>
      </w:r>
    </w:p>
    <w:p>
      <w:pPr>
        <w:pStyle w:val="ArticleBody"/>
        <w:jc w:val="left"/>
      </w:pPr>
      <w:r>
        <w:rPr>
          <w:rFonts w:ascii="Times New Roman" w:hAnsi="Times New Roman" w:eastAsia="Times New Roman" w:cs="Times New Roman"/>
        </w:rPr>
        <w:t>Waktu penangguhan dan kekecewaan yang pertama tiba pada 18 Juli 2020, dan sejak Juli 2023, Singa dari suku Yehuda telah membuka meterai pekabaran Wahyu Yesus Kristus. Pembukaan meterai itu mencakup kitab Daniel, dan kita akan menyelesaikan pembahasan kita mengenai mimpi Miller dalam artikel berikutnya.</w:t>
      </w:r>
    </w:p>
    <w:p>
      <w:pPr>
        <w:pStyle w:val="ArticleBody"/>
        <w:jc w:val="left"/>
      </w:pPr>
      <w:r>
        <w:rPr>
          <w:rFonts w:ascii="Times New Roman" w:hAnsi="Times New Roman" w:eastAsia="Times New Roman" w:cs="Times New Roman"/>
        </w:rPr>
        <w:t>Umsebenzi womuntu webhulashi lothuli wenziwa ngokubambisana “nabapristi abahlakaniphileyo”, futhi umsebenzi walabo “bapristi”, abangofakazi ababili besAmbulo isahluko seshumi nanye, futhi abangamathambo afileyo avusiweyo kaHezekeli isahluko samashumi amathathu nesikhombisa, ubuye uvezwe nangeminye imigqa yeZwi likaNkulunkulu. Sizosebenzisa embalwa yaleyo migqa njengofakazi besibili kulokho esesikubonile mayelana nephupho lesibili likaWilliam Miller.</w:t>
      </w:r>
    </w:p>
    <w:p>
      <w:pPr>
        <w:pStyle w:val="ArticleScripture"/>
        <w:jc w:val="left"/>
      </w:pPr>
      <w:r>
        <w:rPr>
          <w:rFonts w:ascii="Times New Roman" w:hAnsi="Times New Roman" w:eastAsia="Times New Roman" w:cs="Times New Roman"/>
        </w:rPr>
        <w:t>“Ezi Akwụkwọ Nsọ e nyere maka uru anyị ka anyị wee nwee ozizi n’ezi omume. Ìhè dị oké ọnụ ahịa e kpuchiri site n’igwe ojii nke njehie, ma Kraịst dị njikere ikpochapụ anwụrụ na alụlụ nke njehie na nkwenkwe ụgha, ma kpugheere anyị nchapụta nke ebube Nna ahụ, ka anyị wee kwuo dịka ndị na-eso ụzọ kwuru, ‘Obi anyị ọ̀ naghị ere ọkụ n’ime anyị, mgbe ọ na-agwa anyị okwu n’ụzọ?’” Publishing Ministry, 68.</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Nombor Tiga Puluh Lapan</dc:title>
  <dc:subject>Menyingkap Permata: Mimpi Nubuatan William Miller dan Pemulihan Kebenaran</dc:subject>
  <dc:creator>Jeff Pippenger</dc:creator>
  <cp:keywords/>
  <dc:description>Generated by ArticleDigger from daniel\38_daniel.json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