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Tiga Puluh Sembilan</w:t>
      </w:r>
    </w:p>
    <w:p>
      <w:pPr>
        <w:pStyle w:val="ArticleSubtitle"/>
        <w:jc w:val="left"/>
      </w:pPr>
      <w:r>
        <w:rPr>
          <w:rFonts w:ascii="Microsoft Himalaya" w:hAnsi="Microsoft Himalaya" w:eastAsia="Microsoft Himalaya" w:cs="Microsoft Himalaya"/>
        </w:rPr>
        <w:t>ཉིན་མཐའི་དུས་སུ་གཞི་རྟེན་གྱི་བདེན་པ་རྣམས་སླར་གསོ་བ་དང་།</w:t>
      </w:r>
      <w:r>
        <w:rPr>
          <w:rFonts w:ascii="Arial" w:hAnsi="Arial" w:eastAsia="Arial" w:cs="Arial"/>
        </w:rPr>
        <w:t xml:space="preserve"> </w:t>
      </w:r>
      <w:r>
        <w:rPr>
          <w:rFonts w:ascii="Microsoft Himalaya" w:hAnsi="Microsoft Himalaya" w:eastAsia="Microsoft Himalaya" w:cs="Microsoft Himalaya"/>
        </w:rPr>
        <w:t>ཝིལ་ལི་ཡམ་མིལ་ལར་གྱི་རྨི་ལམ་ནང་གསལ་བའི་ལུང་བསྟན་གྱི་ཐགས་རིས་ཀྱི་མངོན་འགྱུར།</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Kita sedang mempertimbangkan penerapan nubuatan dari mimpi William Miller pada hari-hari terakhir, yaitu tempat semua nubuatan menemukan penggenapan sempurnanya. Mimpi Miller mengidentifikasi penemuan, penegakan, penolakan, penguburan, dan pemulihan kebenaran-kebenaran dasar Adventisme yang dihimpunkan melalui pelayanan Miller. Kebenaran-kebenaran dasar itu melambangkan kebenaran-kebenaran yang dimeteraibukakan pada tahun 1798. Kebenaran-kebenaran itu dilambangkan oleh penglihatan tentang Sungai Ulai. Mimpi Miller, sebagaimana dicatat dalam buku Early Writings, adalah mimpinya yang kedua, dan mimpi itu telah ditipologikan oleh mimpi kedua Nebukadnezar, sama seperti Miller sendiri telah ditipologikan oleh Nebukadnezar.</w:t>
      </w:r>
    </w:p>
    <w:p>
      <w:pPr>
        <w:pStyle w:val="ArticleBody"/>
        <w:jc w:val="left"/>
      </w:pPr>
      <w:r>
        <w:rPr>
          <w:rFonts w:ascii="Times New Roman" w:hAnsi="Times New Roman" w:eastAsia="Times New Roman" w:cs="Times New Roman"/>
        </w:rPr>
        <w:t>Lipampiri tsa pejana li bontšitse kamoo qetello ea bophelo ba Nebukadnezare ba “linako tse supileng” a phela ka pelo ea sebata, e ileng ea fela ka tsela ea tšoantšetso ka 1798. Ka nako eo ’muso oa hae o ile oa busetsoa, ’me ka lekhetlo la pele, Nebukadnezare a emela monna ea sokolohileng ka botlalo. Mabapi le “nako ea bofelo,” ka 1798, o ne a emela “ba bohlale.” Re boetse re hlokometse hore, kaha Nebukadnezare e ne e le morena oa pele oa Babylona, kahlolo ea hae ea “linako tse supileng” e ne e tšoantšetsa kahlolo ea Belshatsare ea makholo a mabeli a metso e mehlano le mashome a mabeli (mene, mene, tekel, upharsin), eo e neng e le morena oa ho qetela oa Babylona.</w:t>
      </w:r>
    </w:p>
    <w:p>
      <w:pPr>
        <w:pStyle w:val="ArticleScripture"/>
        <w:jc w:val="left"/>
      </w:pPr>
      <w:r>
        <w:rPr>
          <w:rFonts w:ascii="Times New Roman" w:hAnsi="Times New Roman" w:eastAsia="Times New Roman" w:cs="Times New Roman"/>
        </w:rPr>
        <w:t>“Крал-от на последниот Вавилон, како и во образ на неговиот прв, му беше дојдена пресудата на божествениот Стражар: ‘О цару, … тебе ти се вели: царството се одзеде од тебе.’ Даниел 4:31.” Пророци и цареви, 533.</w:t>
      </w:r>
    </w:p>
    <w:p>
      <w:pPr>
        <w:pStyle w:val="ArticleBody"/>
        <w:jc w:val="left"/>
      </w:pPr>
      <w:r>
        <w:rPr>
          <w:rFonts w:ascii="Times New Roman" w:hAnsi="Times New Roman" w:eastAsia="Times New Roman" w:cs="Times New Roman"/>
        </w:rPr>
        <w:t>Sister White akayeri Belshazzar wɔ n’atembuɔ dɔnhwere no mu sɛ “ɔhene kwasea” no. Wɔ Nebukadnesar atembuɔ dɔnhwere no awiei no, ɔgyina hɔ ma “ɔhene anyansafo,” efisɛ onyaa mfaso fi atembuɔ a ɛyɛ “mmere asia ne baako” no mu, na Belshazzar de, ɛwom sɛ na onim abakɔsɛm no de, ɔpoo sɛ obenya so mfaso.</w:t>
      </w:r>
    </w:p>
    <w:p>
      <w:pPr>
        <w:pStyle w:val="ArticleScripture"/>
        <w:jc w:val="left"/>
      </w:pPr>
      <w:r>
        <w:rPr>
          <w:rFonts w:ascii="Times New Roman" w:hAnsi="Times New Roman" w:eastAsia="Times New Roman" w:cs="Times New Roman"/>
        </w:rPr>
        <w:t>“Namun kasih Belsyazar akan hiburan dan pemuliaan diri menghapuskan pelajaran-pelajaran yang seharusnya tidak pernah ia lupakan; dan ia melakukan dosa-dosa yang serupa dengan dosa-dosa yang mendatangkan hukuman yang nyata atas Nebukadnezar. Ia menyia-nyiakan kesempatan-kesempatan yang dengan penuh kemurahan telah dianugerahkan kepadanya, dengan mengabaikan untuk menggunakan kesempatan-kesempatan yang ada dalam jangkauannya guna mengenal kebenaran. ‘Apakah yang harus kuperbuat supaya aku diselamatkan?’ adalah suatu pertanyaan yang oleh raja yang besar tetapi bodoh itu dilewatinya dengan sikap acuh tak acuh.” Bible Echo, 25 April 1898.</w:t>
      </w:r>
    </w:p>
    <w:p>
      <w:pPr>
        <w:pStyle w:val="ArticleBody"/>
        <w:jc w:val="left"/>
      </w:pPr>
      <w:r>
        <w:rPr>
          <w:rFonts w:ascii="Times New Roman" w:hAnsi="Times New Roman" w:eastAsia="Times New Roman" w:cs="Times New Roman"/>
        </w:rPr>
        <w:t>Nebukadnesar merupakan lambang “orang-orang bijaksana” pada tahun 1798, yang memahami pertambahan pengetahuan pada waktu kesudahan.</w:t>
      </w:r>
    </w:p>
    <w:p>
      <w:pPr>
        <w:pStyle w:val="ArticleScripture"/>
        <w:jc w:val="left"/>
      </w:pPr>
      <w:r>
        <w:rPr>
          <w:rFonts w:ascii="Times New Roman" w:hAnsi="Times New Roman" w:eastAsia="Times New Roman" w:cs="Times New Roman"/>
        </w:rPr>
        <w:t>“Mmafouru no ka ho ikgantsha ga gagwe o ne o ise o fetse go tswa mo melomong ya gagwe, foo lentswe le tswa kwa Legodimong la mmolelela gore nako ya katlholo e Modimo a e beileng e gorogile. Ka ponyo ya leitlho tlhaloganyo ya gagwe ya tlosiwa, mme a nna jaaka phologolo. Ka dingwaga di supa o ne a kokobediwa jalo. Kwa bokhutlong jwa nako eno tlhaloganyo ya gagwe ya boela kwa go ene, mme foo a leba kwa godimo ka boikokobetso kwa Modimong yo mogolo wa Legodimo, a lemoga seatla sa bomodimo mo kotlhaong eno, mme a busediwa gape mo setulong sa gagwe sa bogosi.”</w:t>
      </w:r>
    </w:p>
    <w:p>
      <w:pPr>
        <w:pStyle w:val="ArticleScripture"/>
        <w:jc w:val="left"/>
      </w:pPr>
      <w:r>
        <w:rPr>
          <w:rFonts w:ascii="Times New Roman" w:hAnsi="Times New Roman" w:eastAsia="Times New Roman" w:cs="Times New Roman"/>
        </w:rPr>
        <w:t>“Dalam suatu pemakluman umum, Raja Nebukadnezar mengakui kesalahannya, dan kemurahan Allah yang besar dalam pemulihannya. Inilah tindakan terakhir dalam hidupnya sebagaimana dicatat dalam Sejarah Suci.” Review and Herald, 1 Februari 1881.</w:t>
      </w:r>
    </w:p>
    <w:p>
      <w:pPr>
        <w:pStyle w:val="ArticleBody"/>
        <w:jc w:val="left"/>
      </w:pPr>
      <w:r>
        <w:rPr>
          <w:rFonts w:ascii="Times New Roman" w:hAnsi="Times New Roman" w:eastAsia="Times New Roman" w:cs="Times New Roman"/>
        </w:rPr>
        <w:t>Pada penghujung “tujuh masa” Nebukadnezar, ia mengeluarkan suatu maklumat umum, yang mencakup suatu pengakuan di hadapan umum. Miller, sebagai Nebukadnezar, melambangkan golongan “bijaksana” pada tahun 1798, yang memahami pertambahan pengetahuan pada waktu kesudahan. Keduanya menerima dua mimpi, dan kedua mimpi kedua mereka masing-masing secara simbolis mengenal pasti “tujuh masa” itu. “Tujuh masa” itu telah ditunjukkan dalam artikel-artikel sebelumnya sebagai menandai suatu titik peralihan.</w:t>
      </w:r>
    </w:p>
    <w:p>
      <w:pPr>
        <w:pStyle w:val="ArticleBody"/>
        <w:jc w:val="left"/>
      </w:pPr>
      <w:r>
        <w:rPr>
          <w:rFonts w:ascii="Times New Roman" w:hAnsi="Times New Roman" w:eastAsia="Times New Roman" w:cs="Times New Roman"/>
        </w:rPr>
        <w:t>Ka 1798, Nebukadnezara o supa phetogo go tloga seemong sa gagwe sa boikgantsho go ya seemong sa ba ba botlhale. Seo se ne sa akaretsa boipolelo jwa gagwe mo phatlalatsong. Ka 1798 gape e ne e le ntlha ya phetogo fa gare ga bogosi jwa botlhano le jwa borataro jwa boporofeti jwa Baebele. Gape e ne ya tshwaya go goroga ga moengele wa ntlha, ka jalo ya tshwaya phatlalatso e ntšha; gonne tlhagiso ya katlholo e e tlang e ne e ka se diragale go fitlha bogosi jwa botlhano jwa boporofeti jwa Baebele bo amogetse ntho ya jone e e bolayang.</w:t>
      </w:r>
    </w:p>
    <w:p>
      <w:pPr>
        <w:pStyle w:val="ArticleScripture"/>
        <w:jc w:val="left"/>
      </w:pPr>
      <w:r>
        <w:rPr>
          <w:rFonts w:ascii="Times New Roman" w:hAnsi="Times New Roman" w:eastAsia="Times New Roman" w:cs="Times New Roman"/>
        </w:rPr>
        <w:t>“Solujuvet jajte gea miena taima we disfala muvmen bae tekem ples. Hem i talem se hem i wanfala hap bilong ‘olwe taem gospel;’ and hem i talemabaot open blong jajmen. Message bilong sevem man olketa preachim long olketa evri taem; bat disfala message hem i wanfala hap bilong gospel wea olketa savve preachim nomoa long olketa last dei, from long datfala taem nomoa nao bae hem tru se aoa bilong jajmen hem kam finis. Ol profesi olketa soemaot wanfala sakseson bilong olketa event wea lead go kasem open blong jajmen. Diswan hem tru tumas long buk bilong Daniel. Bat datfala hap bilong profesi bilong hem wea relate long olketa last dei, olketa talem Daniel for closeimap and sealem ‘go kasem taem bilong end.’ Nomata olketa kasem disfala taem nao olketa savve preachim wanfala message abaotem jajmen, based long fulfillment bilong olketa profesi hia. Bat long taem bilong end, profet hem talem, ‘planti bae olketa ran go to and fro, and knowledge bae hem increase.’ Daniel 12:4.</w:t>
      </w:r>
    </w:p>
    <w:p>
      <w:pPr>
        <w:pStyle w:val="ArticleScripture"/>
        <w:jc w:val="left"/>
      </w:pPr>
      <w:r>
        <w:rPr>
          <w:rFonts w:ascii="Nirmala UI" w:hAnsi="Nirmala UI" w:eastAsia="Nirmala UI" w:cs="Nirmala UI"/>
        </w:rPr>
        <w:t>ਰਸੂਲ</w:t>
      </w:r>
      <w:r>
        <w:rPr>
          <w:rFonts w:ascii="Times New Roman" w:hAnsi="Times New Roman" w:eastAsia="Times New Roman" w:cs="Times New Roman"/>
        </w:rPr>
        <w:t xml:space="preserve"> </w:t>
      </w:r>
      <w:r>
        <w:rPr>
          <w:rFonts w:ascii="Nirmala UI" w:hAnsi="Nirmala UI" w:eastAsia="Nirmala UI" w:cs="Nirmala UI"/>
        </w:rPr>
        <w:t>ਪੌਲੁਸ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ਚੇਤਾਵਨੀ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ਉਡੀਕ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ਆਵੇਗਾ</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ਭਟਕਣਾ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2 </w:t>
      </w:r>
      <w:r>
        <w:rPr>
          <w:rFonts w:ascii="Nirmala UI" w:hAnsi="Nirmala UI" w:eastAsia="Nirmala UI" w:cs="Nirmala UI"/>
        </w:rPr>
        <w:t>ਥੱਸਲੁਨੀਕੀਆਂ</w:t>
      </w:r>
      <w:r>
        <w:rPr>
          <w:rFonts w:ascii="Times New Roman" w:hAnsi="Times New Roman" w:eastAsia="Times New Roman" w:cs="Times New Roman"/>
        </w:rPr>
        <w:t xml:space="preserve"> 2:3</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w:t>
      </w:r>
      <w:r>
        <w:rPr>
          <w:rFonts w:ascii="Nirmala UI" w:hAnsi="Nirmala UI" w:eastAsia="Nirmala UI" w:cs="Nirmala UI"/>
        </w:rPr>
        <w:t>ਭ੍ਰਸ਼ਟਤਾ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ਲੰਮੇ</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ਆਗਮਨ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ਉਡੀਕ</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ਅਧਰਮ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ਭੇਤ</w:t>
      </w:r>
      <w:r>
        <w:rPr>
          <w:rFonts w:ascii="Times New Roman" w:hAnsi="Times New Roman" w:eastAsia="Times New Roman" w:cs="Times New Roman"/>
        </w:rPr>
        <w:t>,”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ਦੁਸ਼ਟ</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1260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ਸਰਵੋਚਤਾ</w:t>
      </w:r>
      <w:r>
        <w:rPr>
          <w:rFonts w:ascii="Times New Roman" w:hAnsi="Times New Roman" w:eastAsia="Times New Roman" w:cs="Times New Roman"/>
        </w:rPr>
        <w:t xml:space="preserve"> </w:t>
      </w:r>
      <w:r>
        <w:rPr>
          <w:rFonts w:ascii="Nirmala UI" w:hAnsi="Nirmala UI" w:eastAsia="Nirmala UI" w:cs="Nirmala UI"/>
        </w:rPr>
        <w:t>ਬਣਾਈ</w:t>
      </w:r>
      <w:r>
        <w:rPr>
          <w:rFonts w:ascii="Times New Roman" w:hAnsi="Times New Roman" w:eastAsia="Times New Roman" w:cs="Times New Roman"/>
        </w:rPr>
        <w:t xml:space="preserve"> </w:t>
      </w:r>
      <w:r>
        <w:rPr>
          <w:rFonts w:ascii="Nirmala UI" w:hAnsi="Nirmala UI" w:eastAsia="Nirmala UI" w:cs="Nirmala UI"/>
        </w:rPr>
        <w:t>ਰੱਖਣੀ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ਮਿਆਦ</w:t>
      </w:r>
      <w:r>
        <w:rPr>
          <w:rFonts w:ascii="Times New Roman" w:hAnsi="Times New Roman" w:eastAsia="Times New Roman" w:cs="Times New Roman"/>
        </w:rPr>
        <w:t xml:space="preserve"> 1798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ਆਗਮਨ</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ਪੌਲੁਸ</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ਚੇਤਾਵਨੀ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1798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ਸਮੂਹ</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ਆਗਮਨ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ਪ੍ਰਚਾਰਿਆ</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“Amkanda ya kinde ve yikaka ve yina pesamaka na bikeke me luta. Polo, mutindu beto me mona, longaka yo ve; yandi songaka bampangi na yandi na bilumbu yina vandaka ntama mingi na ntwala sambu na kwiza ya Mfumu. Bantu ya Mbongwana ya Dibundu samunakaka yo ve. Martin Luther tulaka kosambisa pene ya bamvula nkama tatu na ntwala ya ntangu na yandi. Kansi banda na 1798 buku ya Daniele me funguka, luzabu ya bimpafo me bwela, mpe mingi me samuna nsangu ya nkita ya kosambisa yina me belama.” The Great Controversy, 356.</w:t>
      </w:r>
    </w:p>
    <w:p>
      <w:pPr>
        <w:pStyle w:val="ArticleBody"/>
        <w:jc w:val="left"/>
      </w:pPr>
      <w:r>
        <w:rPr>
          <w:rFonts w:ascii="Times New Roman" w:hAnsi="Times New Roman" w:eastAsia="Times New Roman" w:cs="Times New Roman"/>
        </w:rPr>
        <w:t>Mu 1798, kwaisnene ku kaltengwe wa kuhwalekela ulitengwaga, ni kwaisnene uko ku kaltengwe ka ikwikihyo ya kalamwe kaltengwe ka ku anza mu 1844. Mu lipinduko lilyo lya kwaisnene ku kaltengwe, cipito cimo cali ku kalwa, ne cipito cimo ku kalulwa.</w:t>
      </w:r>
    </w:p>
    <w:p>
      <w:pPr>
        <w:pStyle w:val="ArticleScripture"/>
        <w:jc w:val="left"/>
      </w:pPr>
      <w:r>
        <w:rPr>
          <w:rFonts w:ascii="Myanmar Text" w:hAnsi="Myanmar Text" w:eastAsia="Myanmar Text" w:cs="Myanmar Text"/>
        </w:rPr>
        <w:t>ဘုရားကျောင်း</w:t>
      </w:r>
      <w:r>
        <w:rPr>
          <w:rFonts w:ascii="Times New Roman" w:hAnsi="Times New Roman" w:eastAsia="Times New Roman" w:cs="Times New Roman"/>
        </w:rPr>
        <w:t xml:space="preserve"> </w:t>
      </w:r>
      <w:r>
        <w:rPr>
          <w:rFonts w:ascii="Myanmar Text" w:hAnsi="Myanmar Text" w:eastAsia="Myanmar Text" w:cs="Myanmar Text"/>
        </w:rPr>
        <w:t>ဖီလာဒယ်လ်ဖီးယားအသင်းတော်၏</w:t>
      </w:r>
      <w:r>
        <w:rPr>
          <w:rFonts w:ascii="Times New Roman" w:hAnsi="Times New Roman" w:eastAsia="Times New Roman" w:cs="Times New Roman"/>
        </w:rPr>
        <w:t xml:space="preserve"> </w:t>
      </w:r>
      <w:r>
        <w:rPr>
          <w:rFonts w:ascii="Myanmar Text" w:hAnsi="Myanmar Text" w:eastAsia="Myanmar Text" w:cs="Myanmar Text"/>
        </w:rPr>
        <w:t>ကောင်းကင်တမန်ထံသို့</w:t>
      </w:r>
      <w:r>
        <w:rPr>
          <w:rFonts w:ascii="Times New Roman" w:hAnsi="Times New Roman" w:eastAsia="Times New Roman" w:cs="Times New Roman"/>
        </w:rPr>
        <w:t xml:space="preserve"> </w:t>
      </w:r>
      <w:r>
        <w:rPr>
          <w:rFonts w:ascii="Myanmar Text" w:hAnsi="Myanmar Text" w:eastAsia="Myanmar Text" w:cs="Myanmar Text"/>
        </w:rPr>
        <w:t>ရေးလော့။</w:t>
      </w:r>
      <w:r>
        <w:rPr>
          <w:rFonts w:ascii="Times New Roman" w:hAnsi="Times New Roman" w:eastAsia="Times New Roman" w:cs="Times New Roman"/>
        </w:rPr>
        <w:t xml:space="preserve"> </w:t>
      </w:r>
      <w:r>
        <w:rPr>
          <w:rFonts w:ascii="Myanmar Text" w:hAnsi="Myanmar Text" w:eastAsia="Myanmar Text" w:cs="Myanmar Text"/>
        </w:rPr>
        <w:t>သန့်ရှင်းတော်မူသောသူ၊</w:t>
      </w:r>
      <w:r>
        <w:rPr>
          <w:rFonts w:ascii="Times New Roman" w:hAnsi="Times New Roman" w:eastAsia="Times New Roman" w:cs="Times New Roman"/>
        </w:rPr>
        <w:t xml:space="preserve"> </w:t>
      </w:r>
      <w:r>
        <w:rPr>
          <w:rFonts w:ascii="Myanmar Text" w:hAnsi="Myanmar Text" w:eastAsia="Myanmar Text" w:cs="Myanmar Text"/>
        </w:rPr>
        <w:t>မှန်ကန်တော်မူသောသူ၊</w:t>
      </w:r>
      <w:r>
        <w:rPr>
          <w:rFonts w:ascii="Times New Roman" w:hAnsi="Times New Roman" w:eastAsia="Times New Roman" w:cs="Times New Roman"/>
        </w:rPr>
        <w:t xml:space="preserve"> </w:t>
      </w:r>
      <w:r>
        <w:rPr>
          <w:rFonts w:ascii="Myanmar Text" w:hAnsi="Myanmar Text" w:eastAsia="Myanmar Text" w:cs="Myanmar Text"/>
        </w:rPr>
        <w:t>ဒါဝိဒ်၏သော့ကို</w:t>
      </w:r>
      <w:r>
        <w:rPr>
          <w:rFonts w:ascii="Times New Roman" w:hAnsi="Times New Roman" w:eastAsia="Times New Roman" w:cs="Times New Roman"/>
        </w:rPr>
        <w:t xml:space="preserve"> </w:t>
      </w:r>
      <w:r>
        <w:rPr>
          <w:rFonts w:ascii="Myanmar Text" w:hAnsi="Myanmar Text" w:eastAsia="Myanmar Text" w:cs="Myanmar Text"/>
        </w:rPr>
        <w:t>ကိုင်ဆောင်တော်မူသောသူ၊</w:t>
      </w:r>
      <w:r>
        <w:rPr>
          <w:rFonts w:ascii="Times New Roman" w:hAnsi="Times New Roman" w:eastAsia="Times New Roman" w:cs="Times New Roman"/>
        </w:rPr>
        <w:t xml:space="preserve"> </w:t>
      </w:r>
      <w:r>
        <w:rPr>
          <w:rFonts w:ascii="Myanmar Text" w:hAnsi="Myanmar Text" w:eastAsia="Myanmar Text" w:cs="Myanmar Text"/>
        </w:rPr>
        <w:t>ဖွင့်တော်မူလျှင်</w:t>
      </w:r>
      <w:r>
        <w:rPr>
          <w:rFonts w:ascii="Times New Roman" w:hAnsi="Times New Roman" w:eastAsia="Times New Roman" w:cs="Times New Roman"/>
        </w:rPr>
        <w:t xml:space="preserve"> </w:t>
      </w:r>
      <w:r>
        <w:rPr>
          <w:rFonts w:ascii="Myanmar Text" w:hAnsi="Myanmar Text" w:eastAsia="Myanmar Text" w:cs="Myanmar Text"/>
        </w:rPr>
        <w:t>အဘယ်သူမျှ</w:t>
      </w:r>
      <w:r>
        <w:rPr>
          <w:rFonts w:ascii="Times New Roman" w:hAnsi="Times New Roman" w:eastAsia="Times New Roman" w:cs="Times New Roman"/>
        </w:rPr>
        <w:t xml:space="preserve"> </w:t>
      </w:r>
      <w:r>
        <w:rPr>
          <w:rFonts w:ascii="Myanmar Text" w:hAnsi="Myanmar Text" w:eastAsia="Myanmar Text" w:cs="Myanmar Text"/>
        </w:rPr>
        <w:t>မပိတ်နိုင်၊</w:t>
      </w:r>
      <w:r>
        <w:rPr>
          <w:rFonts w:ascii="Times New Roman" w:hAnsi="Times New Roman" w:eastAsia="Times New Roman" w:cs="Times New Roman"/>
        </w:rPr>
        <w:t xml:space="preserve"> </w:t>
      </w:r>
      <w:r>
        <w:rPr>
          <w:rFonts w:ascii="Myanmar Text" w:hAnsi="Myanmar Text" w:eastAsia="Myanmar Text" w:cs="Myanmar Text"/>
        </w:rPr>
        <w:t>ပိတ်တော်မူလျှင်လည်း</w:t>
      </w:r>
      <w:r>
        <w:rPr>
          <w:rFonts w:ascii="Times New Roman" w:hAnsi="Times New Roman" w:eastAsia="Times New Roman" w:cs="Times New Roman"/>
        </w:rPr>
        <w:t xml:space="preserve"> </w:t>
      </w:r>
      <w:r>
        <w:rPr>
          <w:rFonts w:ascii="Myanmar Text" w:hAnsi="Myanmar Text" w:eastAsia="Myanmar Text" w:cs="Myanmar Text"/>
        </w:rPr>
        <w:t>အဘယ်သူမျှ</w:t>
      </w:r>
      <w:r>
        <w:rPr>
          <w:rFonts w:ascii="Times New Roman" w:hAnsi="Times New Roman" w:eastAsia="Times New Roman" w:cs="Times New Roman"/>
        </w:rPr>
        <w:t xml:space="preserve"> </w:t>
      </w:r>
      <w:r>
        <w:rPr>
          <w:rFonts w:ascii="Myanmar Text" w:hAnsi="Myanmar Text" w:eastAsia="Myanmar Text" w:cs="Myanmar Text"/>
        </w:rPr>
        <w:t>မဖွင့်နိုင်သောသူက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သင်၏အကျင့်တို့ကို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သင်၏ရှေ့၌</w:t>
      </w:r>
      <w:r>
        <w:rPr>
          <w:rFonts w:ascii="Times New Roman" w:hAnsi="Times New Roman" w:eastAsia="Times New Roman" w:cs="Times New Roman"/>
        </w:rPr>
        <w:t xml:space="preserve"> </w:t>
      </w:r>
      <w:r>
        <w:rPr>
          <w:rFonts w:ascii="Myanmar Text" w:hAnsi="Myanmar Text" w:eastAsia="Myanmar Text" w:cs="Myanmar Text"/>
        </w:rPr>
        <w:t>ဖွင့်ထားသောတံခါးကို</w:t>
      </w:r>
      <w:r>
        <w:rPr>
          <w:rFonts w:ascii="Times New Roman" w:hAnsi="Times New Roman" w:eastAsia="Times New Roman" w:cs="Times New Roman"/>
        </w:rPr>
        <w:t xml:space="preserve"> </w:t>
      </w:r>
      <w:r>
        <w:rPr>
          <w:rFonts w:ascii="Myanmar Text" w:hAnsi="Myanmar Text" w:eastAsia="Myanmar Text" w:cs="Myanmar Text"/>
        </w:rPr>
        <w:t>ခန့်ထားပြီ၊</w:t>
      </w:r>
      <w:r>
        <w:rPr>
          <w:rFonts w:ascii="Times New Roman" w:hAnsi="Times New Roman" w:eastAsia="Times New Roman" w:cs="Times New Roman"/>
        </w:rPr>
        <w:t xml:space="preserve"> </w:t>
      </w:r>
      <w:r>
        <w:rPr>
          <w:rFonts w:ascii="Myanmar Text" w:hAnsi="Myanmar Text" w:eastAsia="Myanmar Text" w:cs="Myanmar Text"/>
        </w:rPr>
        <w:t>အဘယ်သူမျှလည်း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မပိတ်နိုင်။</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အင်အားအနည်းငယ်သာရှိသော်လည်း</w:t>
      </w:r>
      <w:r>
        <w:rPr>
          <w:rFonts w:ascii="Times New Roman" w:hAnsi="Times New Roman" w:eastAsia="Times New Roman" w:cs="Times New Roman"/>
        </w:rPr>
        <w:t xml:space="preserve"> </w:t>
      </w:r>
      <w:r>
        <w:rPr>
          <w:rFonts w:ascii="Myanmar Text" w:hAnsi="Myanmar Text" w:eastAsia="Myanmar Text" w:cs="Myanmar Text"/>
        </w:rPr>
        <w:t>ငါ၏နှုတ်ကပတ်တော်ကို</w:t>
      </w:r>
      <w:r>
        <w:rPr>
          <w:rFonts w:ascii="Times New Roman" w:hAnsi="Times New Roman" w:eastAsia="Times New Roman" w:cs="Times New Roman"/>
        </w:rPr>
        <w:t xml:space="preserve"> </w:t>
      </w:r>
      <w:r>
        <w:rPr>
          <w:rFonts w:ascii="Myanmar Text" w:hAnsi="Myanmar Text" w:eastAsia="Myanmar Text" w:cs="Myanmar Text"/>
        </w:rPr>
        <w:t>စောင့်ထိန်းခဲ့ပြီး၊</w:t>
      </w:r>
      <w:r>
        <w:rPr>
          <w:rFonts w:ascii="Times New Roman" w:hAnsi="Times New Roman" w:eastAsia="Times New Roman" w:cs="Times New Roman"/>
        </w:rPr>
        <w:t xml:space="preserve"> </w:t>
      </w:r>
      <w:r>
        <w:rPr>
          <w:rFonts w:ascii="Myanmar Text" w:hAnsi="Myanmar Text" w:eastAsia="Myanmar Text" w:cs="Myanmar Text"/>
        </w:rPr>
        <w:t>ငါ၏နာမကိုလည်း</w:t>
      </w:r>
      <w:r>
        <w:rPr>
          <w:rFonts w:ascii="Times New Roman" w:hAnsi="Times New Roman" w:eastAsia="Times New Roman" w:cs="Times New Roman"/>
        </w:rPr>
        <w:t xml:space="preserve"> </w:t>
      </w:r>
      <w:r>
        <w:rPr>
          <w:rFonts w:ascii="Myanmar Text" w:hAnsi="Myanmar Text" w:eastAsia="Myanmar Text" w:cs="Myanmar Text"/>
        </w:rPr>
        <w:t>မငြင်းပယ်ခဲ့။</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၈။</w:t>
      </w:r>
    </w:p>
    <w:p>
      <w:pPr>
        <w:pStyle w:val="ArticleBody"/>
        <w:jc w:val="left"/>
      </w:pPr>
      <w:r>
        <w:rPr>
          <w:rFonts w:ascii="Times New Roman" w:hAnsi="Times New Roman" w:eastAsia="Times New Roman" w:cs="Times New Roman"/>
        </w:rPr>
        <w:t>Go bulwa ga mojako bo swaya kgabaganyo e mpsha ya paka. Go bile le phetogo ya dipuso le ya molaetsa mo kgabaganong ya dipaka ka 1798, kwa bokhutlong jwa kgakalo ya ntlha, e e neng ya diragadiwa go tloga ka 723 BC go fitlha ka 1798. Gape go bile le phetogo ya kgabaganong ya dipaka ka 1844, kwa bokhutlong jwa kgakalo ya bofelo, e e neng ya diragadiwa go tloga ka 677 BC go fitlha ka 1844. Ka 1798, kgabaganyo ya molaetsa wa moengele wa ntlha, o o neng o tlhagisa ka katlholo e e atamelang, e ne e gorogile. Bobedi Nebukatenesare le Miller ba emelwa jaaka “ba ba botlhale,” mo “nakong ya bokhutlo,” fa “mojako” o ne o bulwa go ya mo kgabaganong e e ka fa teng ya molaetsa wa moengele wa ntlha le go ya mo phetogong ya kgabaganong e e ka fa ntle go tswa mo sebateng sa lewatle go ya mo sebateng sa lefatshe. Kgabaganyo ya molaetsa wa moengele wa ntlha e ne ya diragadiwa fa mojako o o yang kwa Felong ga Boitshepo jo Bogolo o ne o bulwa ka October 22, 1844, mme kgabaganyo ya moengele wa boraro, le katlholo ya dipatlisiso, ya goroga.</w:t>
      </w:r>
    </w:p>
    <w:p>
      <w:pPr>
        <w:pStyle w:val="ArticleBody"/>
        <w:jc w:val="left"/>
      </w:pPr>
      <w:r>
        <w:rPr>
          <w:rFonts w:ascii="Times New Roman" w:hAnsi="Times New Roman" w:eastAsia="Times New Roman" w:cs="Times New Roman"/>
        </w:rPr>
        <w:t>Xuḽoro ya vhuvhili ya Miller i thoma musi ho vulwa muṋango nga 1798, nahone i fhela musi ho vulwa muṋango nga tshifhinga tsha phetoho tsha “ṱhanzi mbili” dzo vuswaho vhutshiloni uri dzi huwelele mulaedza wa Mbidziso ya Vhusiku ha vhukati. Nga vhuporofita, Nebukadinezara na Miller vho imela vhuvhili havho phetoho i bvaho muvhusoni ha tshivhanda tsha lwanzhe u ya kha muvhuso wa tshivhanda tsha shango nga 1798. Vho imela vhuvhili havho nḓivhadzo ya tsini na u swika ha khaṱhulo ya u sedzulusa nga 1844. 1798 na 1844 zwi imela u fhela ha “mbiti” ya Mudzimu ya u thoma na ya u fhedzisela ye ya livhiswa kha vhathu Vhawe, ye ya bveledzwa kha tshifhinga tsha “zwifhinga zwa sumbe,” sa zwe zwa vhewa hoṱhe kha Levitiko 26. Miṅwaha ya mahumi maṋa na rathi u bva nga 1798 u swika kha 1844 i imela u fhaṱiwa ha thembele ya muya, ye Murumiwa wa mulanga a ḓa khayo nga u ṱavhanya nga 22 Tshimedzi 1844, musi Kristo a tshi bva fhethu Hukhethwa a tshi ya fhethu Hukhethwaho-hukhethwa.</w:t>
      </w:r>
    </w:p>
    <w:p>
      <w:pPr>
        <w:pStyle w:val="ArticleBody"/>
        <w:jc w:val="left"/>
      </w:pPr>
      <w:r>
        <w:rPr>
          <w:rFonts w:ascii="Times New Roman" w:hAnsi="Times New Roman" w:eastAsia="Times New Roman" w:cs="Times New Roman"/>
        </w:rPr>
        <w:t>1798 le 1844 li supim ol senis (ol i no wan), we ol “seven times” i makem. Long 1856, transisen bilong Millerite Philadelphian Adventism i go long Millerite Laodicean Adventism tu i bin makim wantaim wanpela bikpela kamap klia bilong save long “seven times,” na bihain long 1863 ol i bin sakim dispela. Long 1798, i bin gat wanpela bikpela kamap klia bilong save i kam long buk bilong Daniel, we i bin insaitim wankain “seven times” bilong Leviticus tupela ten sikis, we ol i mas sakim long pinis bilong Millerite Philadelphian Adventism.</w:t>
      </w:r>
    </w:p>
    <w:p>
      <w:pPr>
        <w:pStyle w:val="ArticleBody"/>
        <w:jc w:val="left"/>
      </w:pPr>
      <w:r>
        <w:rPr>
          <w:rFonts w:ascii="Nirmala UI" w:hAnsi="Nirmala UI" w:eastAsia="Nirmala UI" w:cs="Nirmala UI"/>
        </w:rPr>
        <w:t>পহিলা</w:t>
      </w:r>
      <w:r>
        <w:rPr>
          <w:rFonts w:ascii="Times New Roman" w:hAnsi="Times New Roman" w:eastAsia="Times New Roman" w:cs="Times New Roman"/>
        </w:rPr>
        <w:t xml:space="preserve"> </w:t>
      </w:r>
      <w:r>
        <w:rPr>
          <w:rFonts w:ascii="Nirmala UI" w:hAnsi="Nirmala UI" w:eastAsia="Nirmala UI" w:cs="Nirmala UI"/>
        </w:rPr>
        <w:t>দূতৰ</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ফিলাডেলফিয়াৰ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লাওদিকিয়ালৈ</w:t>
      </w:r>
      <w:r>
        <w:rPr>
          <w:rFonts w:ascii="Times New Roman" w:hAnsi="Times New Roman" w:eastAsia="Times New Roman" w:cs="Times New Roman"/>
        </w:rPr>
        <w:t xml:space="preserve"> </w:t>
      </w:r>
      <w:r>
        <w:rPr>
          <w:rFonts w:ascii="Nirmala UI" w:hAnsi="Nirmala UI" w:eastAsia="Nirmala UI" w:cs="Nirmala UI"/>
        </w:rPr>
        <w:t>স্থানান্তৰিত</w:t>
      </w:r>
      <w:r>
        <w:rPr>
          <w:rFonts w:ascii="Times New Roman" w:hAnsi="Times New Roman" w:eastAsia="Times New Roman" w:cs="Times New Roman"/>
        </w:rPr>
        <w:t xml:space="preserve"> </w:t>
      </w:r>
      <w:r>
        <w:rPr>
          <w:rFonts w:ascii="Nirmala UI" w:hAnsi="Nirmala UI" w:eastAsia="Nirmala UI" w:cs="Nirmala UI"/>
        </w:rPr>
        <w:t>হোৱা</w:t>
      </w:r>
      <w:r>
        <w:rPr>
          <w:rFonts w:ascii="Times New Roman" w:hAnsi="Times New Roman" w:eastAsia="Times New Roman" w:cs="Times New Roman"/>
        </w:rPr>
        <w:t xml:space="preserve"> </w:t>
      </w:r>
      <w:r>
        <w:rPr>
          <w:rFonts w:ascii="Nirmala UI" w:hAnsi="Nirmala UI" w:eastAsia="Nirmala UI" w:cs="Nirmala UI"/>
        </w:rPr>
        <w:t>বিষয়টো</w:t>
      </w:r>
      <w:r>
        <w:rPr>
          <w:rFonts w:ascii="Times New Roman" w:hAnsi="Times New Roman" w:eastAsia="Times New Roman" w:cs="Times New Roman"/>
        </w:rPr>
        <w:t xml:space="preserve"> </w:t>
      </w:r>
      <w:r>
        <w:rPr>
          <w:rFonts w:ascii="Nirmala UI" w:hAnsi="Nirmala UI" w:eastAsia="Nirmala UI" w:cs="Nirmala UI"/>
        </w:rPr>
        <w:t>১৮৫৬</w:t>
      </w:r>
      <w:r>
        <w:rPr>
          <w:rFonts w:ascii="Times New Roman" w:hAnsi="Times New Roman" w:eastAsia="Times New Roman" w:cs="Times New Roman"/>
        </w:rPr>
        <w:t xml:space="preserve"> </w:t>
      </w:r>
      <w:r>
        <w:rPr>
          <w:rFonts w:ascii="Nirmala UI" w:hAnsi="Nirmala UI" w:eastAsia="Nirmala UI" w:cs="Nirmala UI"/>
        </w:rPr>
        <w:t>চনৰ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১৮৬৩</w:t>
      </w:r>
      <w:r>
        <w:rPr>
          <w:rFonts w:ascii="Times New Roman" w:hAnsi="Times New Roman" w:eastAsia="Times New Roman" w:cs="Times New Roman"/>
        </w:rPr>
        <w:t xml:space="preserve"> </w:t>
      </w:r>
      <w:r>
        <w:rPr>
          <w:rFonts w:ascii="Nirmala UI" w:hAnsi="Nirmala UI" w:eastAsia="Nirmala UI" w:cs="Nirmala UI"/>
        </w:rPr>
        <w:t>চনলৈকে</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বছৰৰ</w:t>
      </w:r>
      <w:r>
        <w:rPr>
          <w:rFonts w:ascii="Times New Roman" w:hAnsi="Times New Roman" w:eastAsia="Times New Roman" w:cs="Times New Roman"/>
        </w:rPr>
        <w:t xml:space="preserve"> </w:t>
      </w:r>
      <w:r>
        <w:rPr>
          <w:rFonts w:ascii="Nirmala UI" w:hAnsi="Nirmala UI" w:eastAsia="Nirmala UI" w:cs="Nirmala UI"/>
        </w:rPr>
        <w:t>দ্বাৰা</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লাওদিকিয়াৰ</w:t>
      </w:r>
      <w:r>
        <w:rPr>
          <w:rFonts w:ascii="Times New Roman" w:hAnsi="Times New Roman" w:eastAsia="Times New Roman" w:cs="Times New Roman"/>
        </w:rPr>
        <w:t xml:space="preserve"> </w:t>
      </w:r>
      <w:r>
        <w:rPr>
          <w:rFonts w:ascii="Nirmala UI" w:hAnsi="Nirmala UI" w:eastAsia="Nirmala UI" w:cs="Nirmala UI"/>
        </w:rPr>
        <w:t>বাৰ্তা</w:t>
      </w:r>
      <w:r>
        <w:rPr>
          <w:rFonts w:ascii="Times New Roman" w:hAnsi="Times New Roman" w:eastAsia="Times New Roman" w:cs="Times New Roman"/>
        </w:rPr>
        <w:t xml:space="preserve"> </w:t>
      </w:r>
      <w:r>
        <w:rPr>
          <w:rFonts w:ascii="Nirmala UI" w:hAnsi="Nirmala UI" w:eastAsia="Nirmala UI" w:cs="Nirmala UI"/>
        </w:rPr>
        <w:t>১৮৫৬</w:t>
      </w:r>
      <w:r>
        <w:rPr>
          <w:rFonts w:ascii="Times New Roman" w:hAnsi="Times New Roman" w:eastAsia="Times New Roman" w:cs="Times New Roman"/>
        </w:rPr>
        <w:t xml:space="preserve"> </w:t>
      </w:r>
      <w:r>
        <w:rPr>
          <w:rFonts w:ascii="Nirmala UI" w:hAnsi="Nirmala UI" w:eastAsia="Nirmala UI" w:cs="Nirmala UI"/>
        </w:rPr>
        <w:t>চনত</w:t>
      </w:r>
      <w:r>
        <w:rPr>
          <w:rFonts w:ascii="Times New Roman" w:hAnsi="Times New Roman" w:eastAsia="Times New Roman" w:cs="Times New Roman"/>
        </w:rPr>
        <w:t xml:space="preserve"> </w:t>
      </w:r>
      <w:r>
        <w:rPr>
          <w:rFonts w:ascii="Nirmala UI" w:hAnsi="Nirmala UI" w:eastAsia="Nirmala UI" w:cs="Nirmala UI"/>
        </w:rPr>
        <w:t>আহিছিল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বছৰৰ</w:t>
      </w:r>
      <w:r>
        <w:rPr>
          <w:rFonts w:ascii="Times New Roman" w:hAnsi="Times New Roman" w:eastAsia="Times New Roman" w:cs="Times New Roman"/>
        </w:rPr>
        <w:t xml:space="preserve"> </w:t>
      </w:r>
      <w:r>
        <w:rPr>
          <w:rFonts w:ascii="Nirmala UI" w:hAnsi="Nirmala UI" w:eastAsia="Nirmala UI" w:cs="Nirmala UI"/>
        </w:rPr>
        <w:t>সময়জুৰি</w:t>
      </w:r>
      <w:r>
        <w:rPr>
          <w:rFonts w:ascii="Times New Roman" w:hAnsi="Times New Roman" w:eastAsia="Times New Roman" w:cs="Times New Roman"/>
        </w:rPr>
        <w:t xml:space="preserve">, </w:t>
      </w:r>
      <w:r>
        <w:rPr>
          <w:rFonts w:ascii="Nirmala UI" w:hAnsi="Nirmala UI" w:eastAsia="Nirmala UI" w:cs="Nirmala UI"/>
        </w:rPr>
        <w:t>মুদ্ৰামুক্ত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w:t>
      </w:r>
      <w:r>
        <w:rPr>
          <w:rFonts w:ascii="Nirmala UI" w:hAnsi="Nirmala UI" w:eastAsia="Nirmala UI" w:cs="Nirmala UI"/>
        </w:rPr>
        <w:t>ৰ</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পোহৰে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তিনিখনীয়া</w:t>
      </w:r>
      <w:r>
        <w:rPr>
          <w:rFonts w:ascii="Times New Roman" w:hAnsi="Times New Roman" w:eastAsia="Times New Roman" w:cs="Times New Roman"/>
        </w:rPr>
        <w:t xml:space="preserve"> </w:t>
      </w:r>
      <w:r>
        <w:rPr>
          <w:rFonts w:ascii="Nirmala UI" w:hAnsi="Nirmala UI" w:eastAsia="Nirmala UI" w:cs="Nirmala UI"/>
        </w:rPr>
        <w:t>পৰীক্ষাৰ</w:t>
      </w:r>
      <w:r>
        <w:rPr>
          <w:rFonts w:ascii="Times New Roman" w:hAnsi="Times New Roman" w:eastAsia="Times New Roman" w:cs="Times New Roman"/>
        </w:rPr>
        <w:t xml:space="preserve"> </w:t>
      </w:r>
      <w:r>
        <w:rPr>
          <w:rFonts w:ascii="Nirmala UI" w:hAnsi="Nirmala UI" w:eastAsia="Nirmala UI" w:cs="Nirmala UI"/>
        </w:rPr>
        <w:t>প্ৰক্ৰিয়া</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১৮৬৩</w:t>
      </w:r>
      <w:r>
        <w:rPr>
          <w:rFonts w:ascii="Times New Roman" w:hAnsi="Times New Roman" w:eastAsia="Times New Roman" w:cs="Times New Roman"/>
        </w:rPr>
        <w:t xml:space="preserve"> </w:t>
      </w:r>
      <w:r>
        <w:rPr>
          <w:rFonts w:ascii="Nirmala UI" w:hAnsi="Nirmala UI" w:eastAsia="Nirmala UI" w:cs="Nirmala UI"/>
        </w:rPr>
        <w:t>চনত</w:t>
      </w:r>
      <w:r>
        <w:rPr>
          <w:rFonts w:ascii="Times New Roman" w:hAnsi="Times New Roman" w:eastAsia="Times New Roman" w:cs="Times New Roman"/>
        </w:rPr>
        <w:t xml:space="preserve"> </w:t>
      </w:r>
      <w:r>
        <w:rPr>
          <w:rFonts w:ascii="Nirmala UI" w:hAnsi="Nirmala UI" w:eastAsia="Nirmala UI" w:cs="Nirmala UI"/>
        </w:rPr>
        <w:t>এডভেন্টবাদ</w:t>
      </w:r>
      <w:r>
        <w:rPr>
          <w:rFonts w:ascii="Times New Roman" w:hAnsi="Times New Roman" w:eastAsia="Times New Roman" w:cs="Times New Roman"/>
        </w:rPr>
        <w:t xml:space="preserve"> </w:t>
      </w:r>
      <w:r>
        <w:rPr>
          <w:rFonts w:ascii="Nirmala UI" w:hAnsi="Nirmala UI" w:eastAsia="Nirmala UI" w:cs="Nirmala UI"/>
        </w:rPr>
        <w:t>ব্যৰ্থ</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w:t>
      </w:r>
      <w:r>
        <w:rPr>
          <w:rFonts w:ascii="Nirmala UI" w:hAnsi="Nirmala UI" w:eastAsia="Nirmala UI" w:cs="Nirmala UI"/>
        </w:rPr>
        <w:t>ৰ</w:t>
      </w:r>
      <w:r>
        <w:rPr>
          <w:rFonts w:ascii="Times New Roman" w:hAnsi="Times New Roman" w:eastAsia="Times New Roman" w:cs="Times New Roman"/>
        </w:rPr>
        <w:t xml:space="preserve"> </w:t>
      </w:r>
      <w:r>
        <w:rPr>
          <w:rFonts w:ascii="Nirmala UI" w:hAnsi="Nirmala UI" w:eastAsia="Nirmala UI" w:cs="Nirmala UI"/>
        </w:rPr>
        <w:t>পোহৰ</w:t>
      </w:r>
      <w:r>
        <w:rPr>
          <w:rFonts w:ascii="Times New Roman" w:hAnsi="Times New Roman" w:eastAsia="Times New Roman" w:cs="Times New Roman"/>
        </w:rPr>
        <w:t xml:space="preserve"> </w:t>
      </w:r>
      <w:r>
        <w:rPr>
          <w:rFonts w:ascii="Nirmala UI" w:hAnsi="Nirmala UI" w:eastAsia="Nirmala UI" w:cs="Nirmala UI"/>
        </w:rPr>
        <w:t>গ্ৰহণ</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প্ৰত্যাখ্যান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দুয়োৰে</w:t>
      </w:r>
      <w:r>
        <w:rPr>
          <w:rFonts w:ascii="Times New Roman" w:hAnsi="Times New Roman" w:eastAsia="Times New Roman" w:cs="Times New Roman"/>
        </w:rPr>
        <w:t xml:space="preserve"> </w:t>
      </w:r>
      <w:r>
        <w:rPr>
          <w:rFonts w:ascii="Nirmala UI" w:hAnsi="Nirmala UI" w:eastAsia="Nirmala UI" w:cs="Nirmala UI"/>
        </w:rPr>
        <w:t>যিকোনো</w:t>
      </w:r>
      <w:r>
        <w:rPr>
          <w:rFonts w:ascii="Times New Roman" w:hAnsi="Times New Roman" w:eastAsia="Times New Roman" w:cs="Times New Roman"/>
        </w:rPr>
        <w:t xml:space="preserve"> </w:t>
      </w:r>
      <w:r>
        <w:rPr>
          <w:rFonts w:ascii="Nirmala UI" w:hAnsi="Nirmala UI" w:eastAsia="Nirmala UI" w:cs="Nirmala UI"/>
        </w:rPr>
        <w:t>এটাৰ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বছৰ</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মিল্লাৰীয়</w:t>
      </w:r>
      <w:r>
        <w:rPr>
          <w:rFonts w:ascii="Times New Roman" w:hAnsi="Times New Roman" w:eastAsia="Times New Roman" w:cs="Times New Roman"/>
        </w:rPr>
        <w:t xml:space="preserve"> </w:t>
      </w:r>
      <w:r>
        <w:rPr>
          <w:rFonts w:ascii="Nirmala UI" w:hAnsi="Nirmala UI" w:eastAsia="Nirmala UI" w:cs="Nirmala UI"/>
        </w:rPr>
        <w:t>ফিলাডেলফীয়</w:t>
      </w:r>
      <w:r>
        <w:rPr>
          <w:rFonts w:ascii="Times New Roman" w:hAnsi="Times New Roman" w:eastAsia="Times New Roman" w:cs="Times New Roman"/>
        </w:rPr>
        <w:t xml:space="preserve"> </w:t>
      </w:r>
      <w:r>
        <w:rPr>
          <w:rFonts w:ascii="Nirmala UI" w:hAnsi="Nirmala UI" w:eastAsia="Nirmala UI" w:cs="Nirmala UI"/>
        </w:rPr>
        <w:t>এডভেন্টবাদৰ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মিল্লাৰীয়</w:t>
      </w:r>
      <w:r>
        <w:rPr>
          <w:rFonts w:ascii="Times New Roman" w:hAnsi="Times New Roman" w:eastAsia="Times New Roman" w:cs="Times New Roman"/>
        </w:rPr>
        <w:t xml:space="preserve"> </w:t>
      </w:r>
      <w:r>
        <w:rPr>
          <w:rFonts w:ascii="Nirmala UI" w:hAnsi="Nirmala UI" w:eastAsia="Nirmala UI" w:cs="Nirmala UI"/>
        </w:rPr>
        <w:t>লাওদিকীয়</w:t>
      </w:r>
      <w:r>
        <w:rPr>
          <w:rFonts w:ascii="Times New Roman" w:hAnsi="Times New Roman" w:eastAsia="Times New Roman" w:cs="Times New Roman"/>
        </w:rPr>
        <w:t xml:space="preserve"> </w:t>
      </w:r>
      <w:r>
        <w:rPr>
          <w:rFonts w:ascii="Nirmala UI" w:hAnsi="Nirmala UI" w:eastAsia="Nirmala UI" w:cs="Nirmala UI"/>
        </w:rPr>
        <w:t>এডভেন্টবাদলৈ</w:t>
      </w:r>
      <w:r>
        <w:rPr>
          <w:rFonts w:ascii="Times New Roman" w:hAnsi="Times New Roman" w:eastAsia="Times New Roman" w:cs="Times New Roman"/>
        </w:rPr>
        <w:t xml:space="preserve"> </w:t>
      </w:r>
      <w:r>
        <w:rPr>
          <w:rFonts w:ascii="Nirmala UI" w:hAnsi="Nirmala UI" w:eastAsia="Nirmala UI" w:cs="Nirmala UI"/>
        </w:rPr>
        <w:t>আন্দোলনৰ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স্থানান্তৰে</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সময়ত</w:t>
      </w:r>
      <w:r>
        <w:rPr>
          <w:rFonts w:ascii="Times New Roman" w:hAnsi="Times New Roman" w:eastAsia="Times New Roman" w:cs="Times New Roman"/>
        </w:rPr>
        <w:t xml:space="preserve"> </w:t>
      </w:r>
      <w:r>
        <w:rPr>
          <w:rFonts w:ascii="Nirmala UI" w:hAnsi="Nirmala UI" w:eastAsia="Nirmala UI" w:cs="Nirmala UI"/>
        </w:rPr>
        <w:t>ধাৰাটোৰ</w:t>
      </w:r>
      <w:r>
        <w:rPr>
          <w:rFonts w:ascii="Times New Roman" w:hAnsi="Times New Roman" w:eastAsia="Times New Roman" w:cs="Times New Roman"/>
        </w:rPr>
        <w:t xml:space="preserve"> </w:t>
      </w:r>
      <w:r>
        <w:rPr>
          <w:rFonts w:ascii="Nirmala UI" w:hAnsi="Nirmala UI" w:eastAsia="Nirmala UI" w:cs="Nirmala UI"/>
        </w:rPr>
        <w:t>বিপৰীতকৰণক</w:t>
      </w:r>
      <w:r>
        <w:rPr>
          <w:rFonts w:ascii="Times New Roman" w:hAnsi="Times New Roman" w:eastAsia="Times New Roman" w:cs="Times New Roman"/>
        </w:rPr>
        <w:t xml:space="preserve"> </w:t>
      </w:r>
      <w:r>
        <w:rPr>
          <w:rFonts w:ascii="Nirmala UI" w:hAnsi="Nirmala UI" w:eastAsia="Nirmala UI" w:cs="Nirmala UI"/>
        </w:rPr>
        <w:t>প্ৰতিরূপিত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w:t>
      </w:r>
      <w:r>
        <w:rPr>
          <w:rFonts w:ascii="Nirmala UI" w:hAnsi="Nirmala UI" w:eastAsia="Nirmala UI" w:cs="Nirmala UI"/>
        </w:rPr>
        <w:t>অৰ্থাৎ</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দূতৰ</w:t>
      </w:r>
      <w:r>
        <w:rPr>
          <w:rFonts w:ascii="Times New Roman" w:hAnsi="Times New Roman" w:eastAsia="Times New Roman" w:cs="Times New Roman"/>
        </w:rPr>
        <w:t xml:space="preserve"> </w:t>
      </w:r>
      <w:r>
        <w:rPr>
          <w:rFonts w:ascii="Nirmala UI" w:hAnsi="Nirmala UI" w:eastAsia="Nirmala UI" w:cs="Nirmala UI"/>
        </w:rPr>
        <w:t>লাওদিকীয়</w:t>
      </w:r>
      <w:r>
        <w:rPr>
          <w:rFonts w:ascii="Times New Roman" w:hAnsi="Times New Roman" w:eastAsia="Times New Roman" w:cs="Times New Roman"/>
        </w:rPr>
        <w:t xml:space="preserve"> </w:t>
      </w:r>
      <w:r>
        <w:rPr>
          <w:rFonts w:ascii="Nirmala UI" w:hAnsi="Nirmala UI" w:eastAsia="Nirmala UI" w:cs="Nirmala UI"/>
        </w:rPr>
        <w:t>আন্দোলনৰ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দূতৰ</w:t>
      </w:r>
      <w:r>
        <w:rPr>
          <w:rFonts w:ascii="Times New Roman" w:hAnsi="Times New Roman" w:eastAsia="Times New Roman" w:cs="Times New Roman"/>
        </w:rPr>
        <w:t xml:space="preserve"> </w:t>
      </w:r>
      <w:r>
        <w:rPr>
          <w:rFonts w:ascii="Nirmala UI" w:hAnsi="Nirmala UI" w:eastAsia="Nirmala UI" w:cs="Nirmala UI"/>
        </w:rPr>
        <w:t>ফিলাডেলফীয়</w:t>
      </w:r>
      <w:r>
        <w:rPr>
          <w:rFonts w:ascii="Times New Roman" w:hAnsi="Times New Roman" w:eastAsia="Times New Roman" w:cs="Times New Roman"/>
        </w:rPr>
        <w:t xml:space="preserve"> </w:t>
      </w:r>
      <w:r>
        <w:rPr>
          <w:rFonts w:ascii="Nirmala UI" w:hAnsi="Nirmala UI" w:eastAsia="Nirmala UI" w:cs="Nirmala UI"/>
        </w:rPr>
        <w:t>আন্দোলনলৈ</w:t>
      </w:r>
      <w:r>
        <w:rPr>
          <w:rFonts w:ascii="Times New Roman" w:hAnsi="Times New Roman" w:eastAsia="Times New Roman" w:cs="Times New Roman"/>
        </w:rPr>
        <w:t xml:space="preserve"> </w:t>
      </w:r>
      <w:r>
        <w:rPr>
          <w:rFonts w:ascii="Nirmala UI" w:hAnsi="Nirmala UI" w:eastAsia="Nirmala UI" w:cs="Nirmala UI"/>
        </w:rPr>
        <w:t>স্থানান্তৰ।</w:t>
      </w:r>
    </w:p>
    <w:p>
      <w:pPr>
        <w:pStyle w:val="ArticleBody"/>
        <w:jc w:val="left"/>
      </w:pPr>
      <w:r>
        <w:rPr>
          <w:rFonts w:ascii="Times New Roman" w:hAnsi="Times New Roman" w:eastAsia="Times New Roman" w:cs="Times New Roman"/>
        </w:rPr>
        <w:t>Boprofeta jwa dingwaga di le masome marataro le botlhano jwa ga Isaia, bo supa tshimologo ya kgalefo ya ntlha le ya bofelo ya Modimo kgatlhanong le bogosi jwa bokone, mme morago ga moo kgatlhanong le bogosi jwa borwa jwa Iseraele.</w:t>
      </w:r>
    </w:p>
    <w:p>
      <w:pPr>
        <w:pStyle w:val="ArticleScripture"/>
        <w:jc w:val="left"/>
      </w:pPr>
      <w:r>
        <w:rPr>
          <w:rFonts w:ascii="Times New Roman" w:hAnsi="Times New Roman" w:eastAsia="Times New Roman" w:cs="Times New Roman"/>
        </w:rPr>
        <w:t>Kerana kepala Siria ialah Damsyik, dan kepala Damsyik ialah Rezin; dan dalam tempoh enam puluh lima tahun Efraim akan dihancurkan, sehingga ia tidak lagi menjadi suatu bangsa. Yesaya 7:8.</w:t>
      </w:r>
    </w:p>
    <w:p>
      <w:pPr>
        <w:pStyle w:val="ArticleBody"/>
        <w:jc w:val="left"/>
      </w:pPr>
      <w:r>
        <w:rPr>
          <w:rFonts w:ascii="Times New Roman" w:hAnsi="Times New Roman" w:eastAsia="Times New Roman" w:cs="Times New Roman"/>
        </w:rPr>
        <w:t>Profetie Yesaya tentang enam puluh lima tahun telah diberikan pada tahun 742 SM, dan dalam tempoh enam puluh lima tahun itu kerajaan utara akan lenyap. Sembilan belas tahun selepas 742 SM, iaitu pada tahun 723 SM, kerajaan utara telah dibawa ke dalam perhambaan oleh Asyur. Pada pengakhiran enam puluh lima tahun itu, kemurkaan terhadap kerajaan selatan bermula pada tahun 677 SM, ketika Manasye ditawan oleh orang Babel. Oleh itu, enam puluh lima tahun tersebut melambangkan suatu tempoh sembilan belas tahun hingga kepada penawanan pertama kerajaan utara, kemudian empat puluh enam tahun lagi hingga kepada penawanan Manasye.</w:t>
      </w:r>
    </w:p>
    <w:p>
      <w:pPr>
        <w:pStyle w:val="ArticleBody"/>
        <w:jc w:val="left"/>
      </w:pPr>
      <w:r>
        <w:rPr>
          <w:rFonts w:ascii="Times New Roman" w:hAnsi="Times New Roman" w:eastAsia="Times New Roman" w:cs="Times New Roman"/>
        </w:rPr>
        <w:t>Boporofeti boo bo fitlheletse diphethagalo tsa bona ka 1798, 1844 le 1863. Ka 1798, go ne ga nna le phetogo ya ka fa gare mo molaetseng wa poloko ka go tla ga moengele wa ntlha, gape go ne ga nna le phetogo ya ka fa ntle ya mebuso ya boporofeti jwa Baebele. Ka 1844, go ne ga nna le phetogo ya ka fa gare mo molaetseng wa poloko fa mojako o ne o tswalelwa Lefelo le le Boitshepo mme katlholo ya patlisiso ya simolola ka go tla ga moengele wa boraro. Ka 1863, go ne ga nna le phetogo ya ka fa ntle fa dinaka tsotlhe tse pedi tsa sebatana sa lefatshe di ne di kgaogana ka mekgatlho e mebedi.</w:t>
      </w:r>
    </w:p>
    <w:p>
      <w:pPr>
        <w:pStyle w:val="ArticleBody"/>
        <w:jc w:val="left"/>
      </w:pPr>
      <w:r>
        <w:rPr>
          <w:rFonts w:ascii="Times New Roman" w:hAnsi="Times New Roman" w:eastAsia="Times New Roman" w:cs="Times New Roman"/>
        </w:rPr>
        <w:t>Хорн Републиканӣ ба ду ҳизби сиёсӣ ҷудо гардид, ки аз он пас дар таърихи ҳайвони заминӣ ҳукмрон хоҳанд буд. Хорни Протестантӣ ба ду зуҳуроти муртад ҷудо шуд: як ҳизб, ки худро протестант меномид ва иддао мекард, ки шанбеи рӯзи ҳафтумро нигоҳ медорад; ва гурӯҳи дигаре, ки худро протестант меномид, аммо рӯзи офтобро ҳамчун рӯзи баргузидаи ибодати худ нигоҳ медошт.</w:t>
      </w:r>
    </w:p>
    <w:p>
      <w:pPr>
        <w:pStyle w:val="ArticleBody"/>
        <w:jc w:val="left"/>
      </w:pPr>
      <w:r>
        <w:rPr>
          <w:rFonts w:ascii="Times New Roman" w:hAnsi="Times New Roman" w:eastAsia="Times New Roman" w:cs="Times New Roman"/>
        </w:rPr>
        <w:t>Dalam sejarah itu, tanduk Protestan yang telah muncul daripada Zaman Kegelapan telah diuji dari 11 Ogos 1840 hingga 22 Oktober 1844, dan gagal dalam proses pengujian itu lalu beralih daripada umat Protestan pemelihara Ahad kepada umat Protestan murtad pemelihara Ahad.</w:t>
      </w:r>
    </w:p>
    <w:p>
      <w:pPr>
        <w:pStyle w:val="ArticleBody"/>
        <w:jc w:val="left"/>
      </w:pPr>
      <w:r>
        <w:rPr>
          <w:rFonts w:ascii="Times New Roman" w:hAnsi="Times New Roman" w:eastAsia="Times New Roman" w:cs="Times New Roman"/>
        </w:rPr>
        <w:t>Dalam sejarah tanduk Protestan sejati yang ditegakkan dan dikenal pasti pada tahun 1844, suatu proses ujian telah berlaku dari tahun 1856 hingga tahun 1863. Kemudian tanduk Protestan sejati yang memelihara Sabat itu beralih, baik dari Filadelfia kepada Laodikia, mahupun daripada umat Protestan sejati yang memelihara Sabat kepada tanduk Protestan murtad yang memelihara Sabat. “Tujuh masa” itu dikaitkan dengan tahun 1798, 1844, 1856, dan 1863. “Tujuh masa” itu ialah suatu lambang yang berkaitan dengan titik peralihan, dan kebenaran ini ditegakkan atas beberapa saksi.</w:t>
      </w:r>
    </w:p>
    <w:p>
      <w:pPr>
        <w:pStyle w:val="ArticleBody"/>
        <w:jc w:val="left"/>
      </w:pPr>
      <w:r>
        <w:rPr>
          <w:rFonts w:ascii="Times New Roman" w:hAnsi="Times New Roman" w:eastAsia="Times New Roman" w:cs="Times New Roman"/>
        </w:rPr>
        <w:t>No 1798, kwabakho ukwanda kolwazi mayelana “nezikhathi eziyisikhombisa,” ngoba isiprofetho sokuqala ngqá sesikhathi uMiller asithola kwakuyilelo qiniso impela. Ngowe-1863, lelo qiniso lase lilahliwe, ngalokho kwakhonjwa isiphetho sesikhathi sokuphela seminyaka engamashumi ayisithupha nanhlanu yesiprofetho esibekwe ku-Isaya isahluko sesikhombisa.</w:t>
      </w:r>
    </w:p>
    <w:p>
      <w:pPr>
        <w:pStyle w:val="ArticleBody"/>
        <w:jc w:val="left"/>
      </w:pPr>
      <w:r>
        <w:rPr>
          <w:rFonts w:ascii="Times New Roman" w:hAnsi="Times New Roman" w:eastAsia="Times New Roman" w:cs="Times New Roman"/>
        </w:rPr>
        <w:t>Boprofeta bo felletšego bja nywaga e dikete tše pedi, makgolo a mahlano le masomepedi bo na le lebaka la nywaga e masomešupa-hlano ka bobedi mathomong le mafelelong ka mokgwa wa seswantšho se se boelago morago, se se swanago le seipone. Mathomong a mafelelo, nywaga e masomešupa-hlano (1798), yeo e bego e swantšheditšwe ke mathomo a mathomo, nywaga e masomešupa-hlano ka 742 BC ge boprofeta bo be bo filwe, go bile le koketšego ya tsebo godimo ga “dinako tše šupa,” yeo “ba bohlale” ba Millerite ba ilego ba e kwešiša le go e tsebatša. Mafelelong a mafelelo a nywaga e masomešupa-hlano ka 1863, go bile le koketšego e nngwe ya tsebo ka therešo yona yeo, yeo mafelelong e ilego ya ganetšwa ke “baperisita” ba sa tšwago go rwešwa mphapahlogo ba lenaka la nnete la Boprotestanta.</w:t>
      </w:r>
    </w:p>
    <w:p>
      <w:pPr>
        <w:pStyle w:val="ArticleScripture"/>
        <w:jc w:val="left"/>
      </w:pPr>
      <w:r>
        <w:rPr>
          <w:rFonts w:ascii="Times New Roman" w:hAnsi="Times New Roman" w:eastAsia="Times New Roman" w:cs="Times New Roman"/>
        </w:rPr>
        <w:t>Umat-Ku binasa kerana kekurangan pengetahuan; kerana engkau telah menolak pengetahuan, Aku pun akan menolak engkau, sehingga engkau tidak lagi menjadi imam bagi-Ku; oleh sebab engkau telah melupakan hukum Allahmu, Aku juga akan melupakan anak-anakmu. Hosea 4:6.</w:t>
      </w:r>
    </w:p>
    <w:p>
      <w:pPr>
        <w:pStyle w:val="ArticleBody"/>
        <w:jc w:val="left"/>
      </w:pPr>
      <w:r>
        <w:rPr>
          <w:rFonts w:ascii="Times New Roman" w:hAnsi="Times New Roman" w:eastAsia="Times New Roman" w:cs="Times New Roman"/>
        </w:rPr>
        <w:t>Ku khandzisiwa ka vutivi loko buku ya Daniyele yi pfuriwile ku fambisana ni “minkarhi ya nkombo,” kutani a hi ntsena xikombiso xa ndhawu ya ku hundzuka, kambe ni xa ku pfuriwa ka rungula ra vuprofeta.</w:t>
      </w:r>
    </w:p>
    <w:p>
      <w:pPr>
        <w:pStyle w:val="ArticleBody"/>
        <w:jc w:val="left"/>
      </w:pPr>
      <w:r>
        <w:rPr>
          <w:rFonts w:ascii="Times New Roman" w:hAnsi="Times New Roman" w:eastAsia="Times New Roman" w:cs="Times New Roman"/>
        </w:rPr>
        <w:t>Peralihan yang lain bermula pada 18 Julai 2020, dengan kekecewaan yang pertama, yang memulakan “masa penangguhan” dan menandai permulaan tiga setengah hari dalam Wahyu pasal sebelas, ketika dua saksi itu terbaring mati di jalan kota besar, iaitu Sodom dan Mesir.</w:t>
      </w:r>
    </w:p>
    <w:p>
      <w:pPr>
        <w:pStyle w:val="ArticleBody"/>
        <w:jc w:val="left"/>
      </w:pPr>
      <w:r>
        <w:rPr>
          <w:rFonts w:ascii="Times New Roman" w:hAnsi="Times New Roman" w:eastAsia="Times New Roman" w:cs="Times New Roman"/>
        </w:rPr>
        <w:t>18 Julai 2020 menandakan permulaan tiga setengah hari simbolik (“tujuh kali”), yang telah digambarkan oleh sejarah dari tahun 1856 hingga 1863. Kedua-dua tempoh itu merupakan lambang bagi “tujuh kali.” Kedua-dua tempoh itu menandakan suatu perubahan dispensasi (suatu peralihan). Kedua-dua tempoh itu melambangkan suatu pertambahan pengetahuan yang berkaitan dengan “tujuh kali.”</w:t>
      </w:r>
    </w:p>
    <w:p>
      <w:pPr>
        <w:pStyle w:val="ArticleBody"/>
        <w:jc w:val="left"/>
      </w:pPr>
      <w:r>
        <w:rPr>
          <w:rFonts w:ascii="Times New Roman" w:hAnsi="Times New Roman" w:eastAsia="Times New Roman" w:cs="Times New Roman"/>
        </w:rPr>
        <w:t>Pada masa peralihan dari kerajaan Babel kepada kerajaan Medo-Persia, Daniel memanjatkan doa Imamat dua puluh enam, dengan demikian menandai doa Imamat dua puluh enam sebagai sebuah penanda jalan bagi peralihan pada akhir zaman. Dalam mimpi Miller, pada penghujung tujuh ungkapan kata “penyerakan,” Miller menangis dan juga berdoa. Tangisan itu menandai titik ketika Singa dari suku Yehuda (orang dengan sikat debu) membuka meterai suatu pekabaran yang telah dimeteraikan.</w:t>
      </w:r>
    </w:p>
    <w:p>
      <w:pPr>
        <w:pStyle w:val="ArticleBody"/>
        <w:jc w:val="left"/>
      </w:pPr>
      <w:r>
        <w:rPr>
          <w:rFonts w:ascii="Times New Roman" w:hAnsi="Times New Roman" w:eastAsia="Times New Roman" w:cs="Times New Roman"/>
        </w:rPr>
        <w:t>Andéꞌ mé né Miller a káhíé nɛ́ Leviticus ɔkwá íshíá-sâã nɛ́ Daniel, kíhwé nɛ́ “mbiá shwó,” mé nɛ́ áwú nɔsɔɔ nɛ́ kpéshíé áwɔnɛ a wú nɛ́ àrɔn Miller. Kpá mé né Daniel, nɛ́ ɔkwá ikyɛ, nɛ́ kàhìé kpá nɛ́ mé né Daniel nɛ́ ɔkwá íbí. Kpá nɛ́ kàhìé nɛ́ mé né kɔnfɛshɔn nɛ́ Nebuchadnezzar nɛ́ kpéshíé nɛ́ “mbiá shwó” wú.</w:t>
      </w:r>
    </w:p>
    <w:p>
      <w:pPr>
        <w:pStyle w:val="ArticleBody"/>
        <w:jc w:val="left"/>
      </w:pPr>
      <w:r>
        <w:rPr>
          <w:rFonts w:ascii="Times New Roman" w:hAnsi="Times New Roman" w:eastAsia="Times New Roman" w:cs="Times New Roman"/>
        </w:rPr>
        <w:t>O ngokho umthandazo kaMiller wawumelwa ngumthandazo waLevitikusi amashumi amabili nesithupha, owawungumthandazo womphakathi wokuvuma izono kanye nomthandazo wokucela ukwambulwa kwemfihlo yokugcina yesiprofetho, ngoba zonke iziprofetho zibonisa izinsuku zokugcina. Ngakho-ke imfihlo kaDaniyeli isahluko sesibili imelela imfihlo yokugcina okumelwe yambulwe. Umthandazo kaMiller, ephusheni lakhe, wawungumthandazo wokukhathazeka nowokufutheka okulungileyo maqondana nezinengiso ezase zehlele amagugu asegumbini lakhe. Ukukhathazeka kwakhe kwafanekiswa yilabo ababubulayo bakhale kuHezekeli isahluko sesishiyagalolunye, ngesikhathi sokubekwa uphawu kwabeyikhulu namashumi amane nane ezinkulungwane.</w:t>
      </w:r>
    </w:p>
    <w:p>
      <w:pPr>
        <w:pStyle w:val="ArticleBody"/>
        <w:jc w:val="left"/>
      </w:pPr>
      <w:r>
        <w:rPr>
          <w:rFonts w:ascii="Times New Roman" w:hAnsi="Times New Roman" w:eastAsia="Times New Roman" w:cs="Times New Roman"/>
        </w:rPr>
        <w:t>Miller menyaksikan bagaimana kebenaran-kebenaran itu secara berangsur-angsur dikuburkan oleh doktrin-doktrin palsu, dan yang pada akhirnya mencapai suatu titik di mana peti mati itu (Alkitab itu sendiri) dihancurkan. Penghancuran peti mati Miller terjadi pada generasi ketiga Adventisme ketika ada suatu gerakan yang disengaja untuk mengesampingkan Alkitab King James demi versi-versi Alkitab modern yang telah dirusakkan dan berlandaskan Katolik.</w:t>
      </w:r>
    </w:p>
    <w:p>
      <w:pPr>
        <w:pStyle w:val="ArticleBody"/>
        <w:jc w:val="left"/>
      </w:pPr>
      <w:r>
        <w:rPr>
          <w:rFonts w:ascii="Times New Roman" w:hAnsi="Times New Roman" w:eastAsia="Times New Roman" w:cs="Times New Roman"/>
        </w:rPr>
        <w:t>Miller jonguep, ne then mpaebis de, kpu kpaŋkpɛn kɔc yie, na mɔnydɔr bi yeŋ. Kɔlɔ, baatɔŋgban tɔ nyɔɔ (Liɔn laɔr kpɛlɛ Judah) bɛ yi de, bɛ lɛɛ nyɔŋma de, na bɛ taŋ yɔlɔ kpɔɔr. Kɔlɔ, Miller de bɛ mɔɔrŋgban lɛ jewels baatɔŋkpe yie, na baatɔŋgban tɔ nyɔɔ de bɛ kɔr yɛŋ na bɛ nyɛ jewels la. Ka baatɔŋgban tɔ nyɔɔ laɔr yɔlɔ kpɔɔr bɛ taŋŋ, Miller kpiɛ nyɔŋma mɔɔr bɛyɛ, na ka bɛ lɛ nyɔŋma la, rubbish la bɛ gban. Jewels la bɛ kpɛlɛ kɛlɛ ŋgban la mɛ, na baatɔŋgban tɔ nyɔɔ de bɛ tɔ casket kɔɔr la taabɔl la mɛ, bɛ lɔ jewels la de, bɛ kpaa wɔn kɔ casket la mɛ, na bɛ yoɔ de, “ba yi na ba nyɛ.”</w:t>
      </w:r>
    </w:p>
    <w:p>
      <w:pPr>
        <w:pStyle w:val="ArticleBody"/>
        <w:jc w:val="left"/>
      </w:pPr>
      <w:r>
        <w:rPr>
          <w:rFonts w:ascii="Times New Roman" w:hAnsi="Times New Roman" w:eastAsia="Times New Roman" w:cs="Times New Roman"/>
        </w:rPr>
        <w:t>Ubumbobum, “isa uze ubone,” luwuphawu lokuba iqiniso selisanda kuvulwa. Iqiniso elivulelwe uMiller liyiqiniso lokugcina, ngoba into elandelayo ezokwenzeka ukuvuswa kukaMiller ngesikhathi “sokumemeza,” okumelela ukukhala okukhulu. UMiller wayengowokugcina ukwamukela umyalezo woKukhala Kwaphakathi Kwamabili emlandweni wamaMillerite, futhi ngaphambi nje kokumemeza okumvusa ephusheni, wavala amehlo akhe isikhashana. Indima okuwukuphela kwayo eBhayibhelini ebhekisa “esikhashaneni” kanye “namehlo” ikhomba uvuko lokuqala.</w:t>
      </w:r>
    </w:p>
    <w:p>
      <w:pPr>
        <w:pStyle w:val="ArticleScripture"/>
        <w:jc w:val="left"/>
      </w:pPr>
      <w:r>
        <w:rPr>
          <w:rFonts w:ascii="Times New Roman" w:hAnsi="Times New Roman" w:eastAsia="Times New Roman" w:cs="Times New Roman"/>
        </w:rPr>
        <w:t>Lihatlah, aku menyatakan kepadamu suatu rahsia; kita tidak semuanya akan tidur, tetapi kita semuanya akan diubah, dalam sekelip mata, pada bunyi sangkakala yang terakhir; kerana sangkakala akan berbunyi, dan orang mati akan dibangkitkan dalam keadaan tidak dapat binasa, dan kita akan diubah. Kerana yang dapat binasa ini mesti mengenakan ketidakbinasaan, dan yang fana ini mesti mengenakan keabadian. 1 Korintus 15:51–53.</w:t>
      </w:r>
    </w:p>
    <w:p>
      <w:pPr>
        <w:pStyle w:val="ArticleBody"/>
        <w:jc w:val="left"/>
      </w:pPr>
      <w:r>
        <w:rPr>
          <w:rFonts w:ascii="Times New Roman" w:hAnsi="Times New Roman" w:eastAsia="Times New Roman" w:cs="Times New Roman"/>
        </w:rPr>
        <w:t>Dalam sejarah peralihan pergerakan Laodikia malaikat ketiga kepada pergerakan Filadelfia malaikat ketiga, sebagaimana yang digambarkan dalam Wahyu fasal sebelas, Miller melambangkan yang paling akhir daripada antara gadis-gadis bijaksana untuk menerima pekabaran Seruan Tengah Malam. Yang mula-mula menerimanya ialah mereka yang paling rohani.</w:t>
      </w:r>
    </w:p>
    <w:p>
      <w:pPr>
        <w:pStyle w:val="ArticleScripture"/>
        <w:jc w:val="left"/>
      </w:pPr>
      <w:r>
        <w:rPr>
          <w:rFonts w:ascii="Times New Roman" w:hAnsi="Times New Roman" w:eastAsia="Times New Roman" w:cs="Times New Roman"/>
        </w:rPr>
        <w:t>“Ini ialah seruan tengah malam, yang akan memberikan kuasa kepada perkhabaran malaikat yang kedua. Malaikat-malaikat telah diutus dari syurga untuk membangunkan orang-orang kudus yang tawar hati dan mempersiapkan mereka bagi pekerjaan besar yang di hadapan mereka. Orang-orang yang paling berbakat bukanlah yang pertama menerima perkhabaran ini. Malaikat-malaikat telah diutus kepada mereka yang rendah hati dan setia, lalu mendorong mereka untuk mengangkat seruan, ‘Lihatlah, Mempelai lelaki datang; keluarlah kamu untuk menyongsong Dia!’ Mereka yang telah dipercayakan dengan seruan itu segera bertindak, dan dalam kuasa Roh Kudus memperdengarkan perkhabaran itu, serta membangunkan saudara-saudara mereka yang tawar hati. Pekerjaan ini tidak berdiri atas hikmat dan pembelajaran manusia, melainkan atas kuasa Allah, dan orang-orang kudus-Nya yang mendengar seruan itu tidak dapat menahannya. Mereka yang paling rohani menerima perkhabaran ini terlebih dahulu, dan mereka yang dahulunya memimpin dalam pekerjaan itu adalah yang terakhir menerimanya serta membantu memperbesarkan seruan, ‘Lihatlah, Mempelai lelaki datang; keluarlah kamu untuk menyongsong Dia!’” Early Writings, 238.</w:t>
      </w:r>
    </w:p>
    <w:p>
      <w:pPr>
        <w:pStyle w:val="ArticleBody"/>
        <w:jc w:val="left"/>
      </w:pPr>
      <w:r>
        <w:rPr>
          <w:rFonts w:ascii="Times New Roman" w:hAnsi="Times New Roman" w:eastAsia="Times New Roman" w:cs="Times New Roman"/>
        </w:rPr>
        <w:t>Na mpɔmɔyɛ nnansa ne fa a ɛyɛ sɛnkyerɛnne no awiei wɔ Adiyisɛm ti du-baako mu no, nkrasɛm mmienu no mu deɛ edi kan a wɔgyina hɔ ma no wɔ Hesekiel ti aduasa nson mu no, wɔka no kyerɛ. Nkrasɛm a edi kan no boaboa nnompe a awuwu na wɔahwete no ano, nanso wɔda so ara awu. Wɔde saa nkrasɛm no baeɛ denam nne a ɛteɛm “wɔ sare so” no so, na eyi da no adi sɛ Hesekiel nkrasɛm no fi ase ansa na nnansa ne fa a ɛyɛ sɛnkyerɛnne no aba awiei. Saa nnansa ne fa no gyina hɔ ma “sare”, na efi “sare” no mu na wɔka nkrasɛm no kyerɛ. “Sare” no nso yɛ “mmere ason” no ho sɛnkyerɛnne, a ɛhyɛ nsakraeɛ ne adeɛ a wɔbue no ase, na ɛde sɔhwɛ biako a wɔfa mu ba.</w:t>
      </w:r>
    </w:p>
    <w:p>
      <w:pPr>
        <w:pStyle w:val="ArticleBody"/>
        <w:jc w:val="left"/>
      </w:pPr>
      <w:r>
        <w:rPr>
          <w:rFonts w:ascii="Times New Roman" w:hAnsi="Times New Roman" w:eastAsia="Times New Roman" w:cs="Times New Roman"/>
        </w:rPr>
        <w:t>A na a ɗaukar saƙon yana bunƙasa a hankali, haka kuma karɓuwarsa tana faruwa a hankali, kamar yadda aka nuna ta wurin Kukan Tsakar Dare a tarihin Milleriyawa. Waɗanda suka fi ruhaniya su ne na farko da suka karɓi saƙon muryar mai kira a jeji, kuma masana tarihin Adventism suna nuni ga wata wasiƙa da William Miller ya rubuta kwanaki kaɗan kafin Oktoba 22, 1844, inda Miller ya shaida cewa a ƙarshe ya fahimta kuma ya karɓi saƙon Kukan Tsakar Dare na Samuel Snow.</w:t>
      </w:r>
    </w:p>
    <w:p>
      <w:pPr>
        <w:pStyle w:val="ArticleScripture"/>
        <w:jc w:val="left"/>
      </w:pPr>
      <w:r>
        <w:rPr>
          <w:rFonts w:ascii="Times New Roman" w:hAnsi="Times New Roman" w:eastAsia="Times New Roman" w:cs="Times New Roman"/>
        </w:rPr>
        <w:t>“Saudara Himes yang terkasih: Saya melihat suatu kemuliaan dalam bulan ketujuh yang belum pernah saya lihat sebelumnya. Meskipun Tuhan telah menunjukkan kepada saya makna tipologis dari bulan ketujuh itu satu setengah tahun yang lalu, namun saya belum menyadari kekuatan dari tipe-tipe itu. Sekarang, terpujilah nama Tuhan, saya melihat suatu keindahan, suatu keselarasan, dan suatu kesesuaian dalam Kitab Suci, yang telah lama saya doakan, tetapi belum saya lihat sampai hari ini. Bersyukurlah kepada Tuhan, hai jiwaku. Biarlah Saudara Snow, Saudara Storrs, dan yang lain-lain, diberkati atas perantaraan mereka dalam membuka mata saya. Saya sudah hampir sampai di rumah. Kemuliaan! Kemuliaan! Kemuliaan! Kemuliaan!” William Miller, Signs of the Times, 16 Oktober 1844.</w:t>
      </w:r>
    </w:p>
    <w:p>
      <w:pPr>
        <w:pStyle w:val="ArticleBody"/>
        <w:jc w:val="left"/>
      </w:pPr>
      <w:r>
        <w:rPr>
          <w:rFonts w:ascii="Times New Roman" w:hAnsi="Times New Roman" w:eastAsia="Times New Roman" w:cs="Times New Roman"/>
        </w:rPr>
        <w:t>Dalam pengulangan sejarah Seruan Tengah Malam, sebagaimana digambarkan dalam mimpi Miller, Miller menutup matanya sejenak. Demikianlah “dalam sesaat, dalam sekejap mata, pada bunyi nafiri yang terakhir: sebab nafiri akan berbunyi, dan orang-orang mati akan dibangkitkan.” Dalam mimpi Miller, ia melambangkan orang yang terakhir menerima pekabaran Seruan Tengah Malam, sebagaimana hal itu terjadi dalam sejarahnya sendiri. Ia melambangkan mereka yang pada akhirnya menerima pekabaran itu tepat sebelum orang yang membawa sikat debu mengumpulkan permata-permata yang tercerai-berai lalu melemparkannya ke dalam peti yang lebih besar. Dalam kitab Wahyu pasal sebelas, mereka yang terakhir menerima pekabaran kedua Yehezkiel, yaitu pekabaran tentang keempat angin Islam, yang juga adalah pekabaran pemeteraian, menerimanya tepat sebelum nafiri yang terakhir dari tujuh nafiri berbunyi, yaitu nafiri “Celaka” yang ketiga. “Dalam sesaat, dalam sekejap mata, pada nafiri yang terakhir; sebab nafiri akan berbunyi, dan orang-orang mati akan dibangkitkan dalam keadaan yang tidak dapat binasa, dan kita akan diubah.” (1 Korintus 15:52)</w:t>
      </w:r>
    </w:p>
    <w:p>
      <w:pPr>
        <w:pStyle w:val="ArticleBody"/>
        <w:jc w:val="left"/>
      </w:pPr>
      <w:r>
        <w:rPr>
          <w:rFonts w:ascii="Times New Roman" w:hAnsi="Times New Roman" w:eastAsia="Times New Roman" w:cs="Times New Roman"/>
        </w:rPr>
        <w:t>Petikan itu sedang mengenal pasti kebangkitan pertama yang berlaku pada kedatangan kedua, tetapi terdapat juga suatu kebangkitan tulang-tulang kering yang mati (dua saksi) yang berlaku pada saat gempa bumi besar dalam Wahyu fasal sebelas. Pada “saat” gempa bumi itu, sangkakala terakhir daripada tujuh sangkakala dibunyikan, dan para saksi yang mati yang berada di jalan dibangkitkan semula kepada hidup, bukan sebagai orang Laodikia, melainkan sebagai orang Filadelfia, kerana pada bunyi sangkakala Celaka yang ketiga, kedua-dua saksi itu telah dimeteraikan dan diubah menjadi tidak dapat binasa, kerana mereka tidak akan berdosa lagi selama-lamanya. Miller melambangkan yang terakhir menerima pekabaran yang menghidupkan kedua-dua saksi itu, iaitu pekabaran tentang empat angin Islam, dan itulah pekabaran pemeteraian.</w:t>
      </w:r>
    </w:p>
    <w:p>
      <w:pPr>
        <w:pStyle w:val="ArticleBody"/>
        <w:jc w:val="left"/>
      </w:pPr>
      <w:r>
        <w:rPr>
          <w:rFonts w:ascii="Times New Roman" w:hAnsi="Times New Roman" w:eastAsia="Times New Roman" w:cs="Times New Roman"/>
        </w:rPr>
        <w:t>Suara sangkakala itu membangkitkan tulang-tulang kering orang mati yang terakhir, yang telah terserak di jalan Sodom dan Mesir. Miller menyaksikan bagaimana kebenaran-kebenaran itu secara berangsur-angsur dikuburkan oleh ajaran-ajaran palsu. Pada akhirnya Miller menangis, menandai waktu ketika pembukaan meterai itu akan mulai, sebab pembukaan meterai itu adalah suatu pekerjaan yang berlangsung secara bertahap. Pembukaan meterai itu dimulai pada masa penutupan dari tiga setengah hari itu.</w:t>
      </w:r>
    </w:p>
    <w:p>
      <w:pPr>
        <w:pStyle w:val="ArticleBody"/>
        <w:jc w:val="left"/>
      </w:pPr>
      <w:r>
        <w:rPr>
          <w:rFonts w:ascii="Times New Roman" w:hAnsi="Times New Roman" w:eastAsia="Times New Roman" w:cs="Times New Roman"/>
        </w:rPr>
        <w:t>Innuh phan Miller krai, Uan weih get pawa fo opin di buk wehn ben siel go insai di tori. Na insai Miller in drim, dat bin na di Man wit Dirt Brush. Den Miller prea, en wantaim a doa opin, mark di point wehn di Laodicean movement of di third angel bin fo transishɔn go na di Philadelphia movement of di third angel. In prea bin na di Leviticus twenty-six prea; e bin na di prea fo ondastandin di las profetik sikrit en a pɔblik konfɛshɔn of di rebellion wehn bring di tri-en-aaf dehs pan di tu witnɛsdem; e bin na di prea of dose wehn siel insai Ezekiel chapter nine.</w:t>
      </w:r>
    </w:p>
    <w:p>
      <w:pPr>
        <w:pStyle w:val="ArticleBody"/>
        <w:jc w:val="left"/>
      </w:pPr>
      <w:r>
        <w:rPr>
          <w:rFonts w:ascii="Times New Roman" w:hAnsi="Times New Roman" w:eastAsia="Times New Roman" w:cs="Times New Roman"/>
        </w:rPr>
        <w:t>Selepas doa itu, Kristus (lelaki berus kotoran itu) masuk lalu mula membersihkan bilik itu. Pada penghujung kerja pembersihan lelaki berus kotoran itu, Miller memejamkan matanya seketika, yang menandakan berakhirnya tempoh ketika tulang-tulang kering yang mati itu akan dibangkitkan. Kemudian lelaki berus kotoran itu mengumpulkan permata-permata yang berselerak di dalam bilik Miller, lalu meletakkannya ke dalam sebuah peti baharu yang lebih besar, di atas sebuah meja di tengah-tengah bilik Miller, tatkala kedua-dua saksi itu diangkat sebagai panji. Sebagai panji, mereka kemudian berseru kepada kawanan Tuhan yang lain yang masih berada di Babilon supaya “datang dan lihat” perkhabaran yang baru sahaja dicampakkan oleh Singa dari suku Yehuda ke dalam peti baharu yang lebih besar itu.</w:t>
      </w:r>
    </w:p>
    <w:p>
      <w:pPr>
        <w:pStyle w:val="ArticleBody"/>
        <w:jc w:val="left"/>
      </w:pPr>
      <w:r>
        <w:rPr>
          <w:rFonts w:ascii="Times New Roman" w:hAnsi="Times New Roman" w:eastAsia="Times New Roman" w:cs="Times New Roman"/>
        </w:rPr>
        <w:t>Mbi vizionin e lumit Ulai si simbol i të vërtetave nga libri i Danielit, i cili u çvulos në vitin 1798, do të fillojmë të shqyrtojmë në artikullin vijues. Përpara atij shqyrtimi, kemi vendosur paraprakisht disa pika orientuese. E para është se mesazhi i Mileritëve ishte i përsosur (në fazën e vet të rritjes), por i paplotë. Ai ishte vendosur brenda kornizës së dy, jo të tri fuqive shkretonuese. E dyta është se, kur ëndrra e Millerit e identifikon rivendosjen përfundimtare të të vërtetave themelore, atëherë të vërtetat themelore janë “dhjetë herë më të ndritshme” se lavdia e tyre fillestare. Një pikë e tretë është se lëvizja e engjëllit të parë (lëvizja Millerite) përsëritet në lëvizjen e engjëllit të tretë, por me disa kushte të rëndësishme kufizuese. Mileritët, si simbol, ishin Filadelfianë; ata ishin një Nebukadnetsar i kthyer, por që përfundimisht dhe për fat të keq, “e rindërtoi Jerikon” në vitin 1863.</w:t>
      </w:r>
    </w:p>
    <w:p>
      <w:pPr>
        <w:pStyle w:val="ArticleBody"/>
        <w:jc w:val="left"/>
      </w:pPr>
      <w:r>
        <w:rPr>
          <w:rFonts w:ascii="Times New Roman" w:hAnsi="Times New Roman" w:eastAsia="Times New Roman" w:cs="Times New Roman"/>
        </w:rPr>
        <w:t>Tšhinetšho ya muruwa wa boraro e thomile e le Laodisea, ba hlokago phetogo ya pelo, eupša mafelelong ba be ba tla tšea karolo tshenyegong ya mafelelo ya Jeriko (Jeriko ya mehla ya bofelo).</w:t>
      </w:r>
    </w:p>
    <w:p>
      <w:pPr>
        <w:pStyle w:val="ArticleScripture"/>
        <w:jc w:val="left"/>
      </w:pPr>
      <w:r>
        <w:rPr>
          <w:rFonts w:ascii="Times New Roman" w:hAnsi="Times New Roman" w:eastAsia="Times New Roman" w:cs="Times New Roman"/>
        </w:rPr>
        <w:t>“Mosupi o ne a se a tla go tlosa se bapatriareka le baporofeti ba neng ba se buile; gonne E ne e le Ene ka Sebele yo o neng a buile ka banna bano ba ba neng ba ba emetse. Boammaaruri jotlhe jwa Lefoko la Modimo bo ne bo tswa mo go Ene. Mme matlapaneng ano a a tlhokegang thata a ne a beilwe mo mananeong a maaka. Lesedi la one le le tlhwatlhwakgolo le ne le dirisitswe go direla phoso. Modimo o ne a eletsa gore a ntshwe mo mananeong a one a phoso mme a busediwe mo sebopegong sa boammaaruri. Tiro eno e ne e ka dirwa fela ke seatla sa bomodimo. Ka ntlha ya kgolagano ya jone le phoso, boammaaruri bo ne bo ntse bo direla lebaka la mmaba wa Modimo le wa motho. Keresete o ne a tlile go bo baya mo lefelong le bo neng bo tla galaletsa Modimo, le go dira poloko ya batho.”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Tiga Puluh Sembilan</dc:title>
  <dc:subject>ཉིན་མཐའི་དུས་སུ་གཞི་རྟེན་གྱི་བདེན་པ་རྣམས་སླར་གསོ་བ་དང་། ཝིལ་ལི་ཡམ་མིལ་ལར་གྱི་རྨི་ལམ་ནང་གསལ་བའི་ལུང་བསྟན་གྱི་ཐགས་རིས་ཀྱི་མངོན་འགྱུར།</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