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Nombor Empat Puluh Satu</w:t>
      </w:r>
    </w:p>
    <w:p>
      <w:pPr>
        <w:pStyle w:val="ArticleSubtitle"/>
        <w:jc w:val="left"/>
      </w:pPr>
      <w:r>
        <w:rPr>
          <w:rFonts w:ascii="Microsoft Himalaya" w:hAnsi="Microsoft Himalaya" w:eastAsia="Microsoft Himalaya" w:cs="Microsoft Himalaya"/>
        </w:rPr>
        <w:t>ཕའུལ་གྱི་ལུང་བསྟན་གྱི་ཞབས་ཏོག།</w:t>
      </w:r>
      <w:r>
        <w:rPr>
          <w:rFonts w:ascii="Arial" w:hAnsi="Arial" w:eastAsia="Arial" w:cs="Arial"/>
        </w:rPr>
        <w:t xml:space="preserve"> </w:t>
      </w:r>
      <w:r>
        <w:rPr>
          <w:rFonts w:ascii="Microsoft Himalaya" w:hAnsi="Microsoft Himalaya" w:eastAsia="Microsoft Himalaya" w:cs="Microsoft Himalaya"/>
        </w:rPr>
        <w:t>སྔོན་གྱི་ཡིས་ར་ཨེལ་དང་ཆོས་ཉིད་ཀྱི་ཡིས་ར་ཨེལ་མཐུད་པ།</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Rasul Paulus ialah penghubung antara Israel purba dengan Israel rohani, kerana pelayanannya, namanya, keadaan peribadinya, dan pekerjaannya yang bersifat nubuat semuanya memberi kesaksian kepada kebenaran ini. Dia menganggap dirinya sebagai yang paling kecil antara para rasul, kerana dia telah menganiaya umat Allah.</w:t>
      </w:r>
    </w:p>
    <w:p>
      <w:pPr>
        <w:pStyle w:val="ArticleScripture"/>
        <w:jc w:val="left"/>
      </w:pPr>
      <w:r>
        <w:rPr>
          <w:rFonts w:ascii="Times New Roman" w:hAnsi="Times New Roman" w:eastAsia="Times New Roman" w:cs="Times New Roman"/>
        </w:rPr>
        <w:t>Kerana aku adalah yang paling kecil antara para rasul, dan tidak layak disebut rasul, kerana aku telah menganiaya jemaat Allah. 1 Korintus 15:19.</w:t>
      </w:r>
    </w:p>
    <w:p>
      <w:pPr>
        <w:pStyle w:val="ArticleBody"/>
        <w:jc w:val="left"/>
      </w:pPr>
      <w:r>
        <w:rPr>
          <w:rFonts w:ascii="Times New Roman" w:hAnsi="Times New Roman" w:eastAsia="Times New Roman" w:cs="Times New Roman"/>
        </w:rPr>
        <w:t>Lebitso leo a ileng a le newa ha a sokoloha e ne e le Paul, le bolelang e monyenyane kapa e nyane, hobane e ne e le e monyenyane ho baapostola bohle. Leha ho le joalo, lebitso la hae la pele e ne e le Saule, le bolelang “ya kgethilweng”.</w:t>
      </w:r>
    </w:p>
    <w:p>
      <w:pPr>
        <w:pStyle w:val="ArticleScripture"/>
        <w:jc w:val="left"/>
      </w:pPr>
      <w:r>
        <w:rPr>
          <w:rFonts w:ascii="Times New Roman" w:hAnsi="Times New Roman" w:eastAsia="Times New Roman" w:cs="Times New Roman"/>
        </w:rPr>
        <w:t>Ananias menjawab, “Tuhan, aku telah mendengar daripada banyak orang tentang lelaki ini, betapa banyak kejahatan yang telah dilakukannya terhadap orang-orang kudus-Mu di Yerusalem; dan di sini dia mempunyai kuasa daripada ketua-ketua imam untuk menangkap semua orang yang berseru kepada nama-Mu.” Tetapi Tuhan berfirman kepadanya, “Pergilah, kerana dia ialah bejana pilihan bagi-Ku, untuk membawa nama-Ku di hadapan bangsa-bangsa bukan Yahudi, raja-raja, dan anak-anak Israel,” Kisah 9:13–15.</w:t>
      </w:r>
    </w:p>
    <w:p>
      <w:pPr>
        <w:pStyle w:val="ArticleBody"/>
        <w:jc w:val="left"/>
      </w:pPr>
      <w:r>
        <w:rPr>
          <w:rFonts w:ascii="Times New Roman" w:hAnsi="Times New Roman" w:eastAsia="Times New Roman" w:cs="Times New Roman"/>
        </w:rPr>
        <w:t>Saul adalah “bejana pilihan” untuk membawa Injil kepada bangsa-bangsa lain, tetapi ia terlebih dahulu harus bertobat dan direndahkan menjadi Paulus (kecil), karena ia akan perlu menjadi kuat. Paulus memahami bahwa kekuatannya ditemukan dalam kekecilannya, atau dalam kelemahannya.</w:t>
      </w:r>
    </w:p>
    <w:p>
      <w:pPr>
        <w:pStyle w:val="ArticleScripture"/>
        <w:jc w:val="left"/>
      </w:pPr>
      <w:r>
        <w:rPr>
          <w:rFonts w:ascii="Times New Roman" w:hAnsi="Times New Roman" w:eastAsia="Times New Roman" w:cs="Times New Roman"/>
        </w:rPr>
        <w:t>Dan supaya aku jangan meninggikan diri secara berlebih-lebihan oleh karena kelimpahan penyataan-penyataan itu, maka kepadaku diberikan duri di dalam daging, yaitu utusan Iblis untuk menampar aku, supaya aku jangan meninggikan diri secara berlebih-lebihan. Mengenai hal itu aku telah tiga kali memohon kepada Tuhan, supaya itu disingkirkan dari padaku. Tetapi Ia berfirman kepadaku, “Kasih karunia-Ku cukup bagimu, sebab kuasa-Ku disempurnakan dalam kelemahan.” Karena itu dengan sangat suka aku lebih suka bermegah dalam kelemahan-kelemahanku, supaya kuasa Kristus turun menaungi aku. Sebab itu aku berkenan dalam kelemahan-kelemahan, dalam celaan, dalam kekurangan, dalam penganiayaan, dalam kesesakan oleh karena Kristus; sebab apabila aku lemah, maka pada waktu itulah aku kuat. 2 Korintus 12:7–10.</w:t>
      </w:r>
    </w:p>
    <w:p>
      <w:pPr>
        <w:pStyle w:val="ArticleBody"/>
        <w:jc w:val="left"/>
      </w:pPr>
      <w:r>
        <w:rPr>
          <w:rFonts w:ascii="Times New Roman" w:hAnsi="Times New Roman" w:eastAsia="Times New Roman" w:cs="Times New Roman"/>
        </w:rPr>
        <w:t>Saul “o ne a tlhophilwe”, mme gore a nne yo o nonofileng o ne a dirwa yo mmotlana (Paul). O ne a tlhophiwa gore a ise efangele kwa go Baditšhaba, mme o ne a tlhophilwe ka bontlha bongwe ka ntlha ya kitso ya gagwe ya Baebele ya Baebele ya Kgale.</w:t>
      </w:r>
    </w:p>
    <w:p>
      <w:pPr>
        <w:pStyle w:val="ArticleScripture"/>
        <w:jc w:val="left"/>
      </w:pPr>
      <w:r>
        <w:rPr>
          <w:rFonts w:ascii="Times New Roman" w:hAnsi="Times New Roman" w:eastAsia="Times New Roman" w:cs="Times New Roman"/>
        </w:rPr>
        <w:t>Haholo-holo hobane ke tseba hore u setsebi litloaelong tsohle le lipotsong tse leng har’a Bajuda; ka hona kea u kōpa hore u nkutloe ka mamello. Mokhoa oa bophelo ba ka ho tloha bocheng ba ka, oo qalong o neng o le har’a sechaba sa heso Jerusalema, Bajuda bohle baa o tseba; bao, haeba ba ne ba ka paka, ba neng ba ntseba ho tloha tšimolohong, hore ka mor’a lekala le thata ka ho fetisisa la bolumeli ba rōna ke phetse ke le Mofarisi. Liketso 26:3–5.</w:t>
      </w:r>
    </w:p>
    <w:p>
      <w:pPr>
        <w:pStyle w:val="ArticleBody"/>
        <w:jc w:val="left"/>
      </w:pPr>
      <w:r>
        <w:rPr>
          <w:rFonts w:ascii="Times New Roman" w:hAnsi="Times New Roman" w:eastAsia="Times New Roman" w:cs="Times New Roman"/>
        </w:rPr>
        <w:t>Saul o ne a rutilwe ke Gamaliele, yo o neng a tsewa e le mongwe wa baruti ba bagolo thata ba Dikwalo tsa Tesetamente e Kgologolo.</w:t>
      </w:r>
    </w:p>
    <w:p>
      <w:pPr>
        <w:pStyle w:val="ArticleScripture"/>
        <w:jc w:val="left"/>
      </w:pPr>
      <w:r>
        <w:rPr>
          <w:rFonts w:ascii="Times New Roman" w:hAnsi="Times New Roman" w:eastAsia="Times New Roman" w:cs="Times New Roman"/>
        </w:rPr>
        <w:t>Permohonan itu dikabulkan, dan “Paulus berdiri di tangga, lalu memberi isyarat dengan tangannya kepada orang banyak.” Gerakan itu menarik perhatian mereka, sementara sikapnya menimbulkan rasa hormat. “Dan setelah keadaan menjadi sangat sunyi, ia berbicara kepada mereka dalam bahasa Ibrani, katanya, Hai saudara-saudara dan bapa-bapa, dengarkanlah pembelaanku yang sekarang kusampaikan kepadamu.” Pada bunyi kata-kata Ibrani yang akrab itu, “mereka menjadi semakin diam,” dan dalam keheningan yang menyeluruh itu ia melanjutkan: “‘Sesungguhnya aku adalah seorang Yahudi, lahir di Tarsus, sebuah kota di Kilikia, tetapi dibesarkan di kota ini di bawah didikan Gamaliel, dan diajar menurut cara yang sempurna dari hukum nenek moyang, serta giat bagi Allah, sama seperti kamu semua pada hari ini.’ Tidak seorang pun dapat menyangkal pernyataan rasul itu, sebab fakta-fakta yang dirujuknya itu diketahui dengan baik oleh banyak orang yang masih hidup di Yerusalem.” Kisah Para Rasul, 408.</w:t>
      </w:r>
    </w:p>
    <w:p>
      <w:pPr>
        <w:pStyle w:val="ArticleBody"/>
        <w:jc w:val="left"/>
      </w:pPr>
      <w:r>
        <w:rPr>
          <w:rFonts w:ascii="Times New Roman" w:hAnsi="Times New Roman" w:eastAsia="Times New Roman" w:cs="Times New Roman"/>
        </w:rPr>
        <w:t>Saul ni mbonwa kua landelela ningi to, kabiji umo wa milanguluko yapusanako ya mulimo wa Paulo waishile kuleta mwikalo wa byambo bya bulongo bwa Isalela wa ku mubili pamo ne byambo bya bulongo bwa Isalela wa ku mupashi. Pamo ne kino kyambo, aye walembile kyabaya kya Bitaba bya Mupya. Kipande kimo kya byalembwa byandi kyasolola buchindami bwa mutanda wa mubila wa malaika wa ntanshi kabiji ne wa mutanda wa mubila wa bamalaika ba butatu. Iyi ndondwa ni kyokya kyakukumbulwila mu byambo bya Adventism, kyasolola kusiyana pakati ka ba mano ne ba mapuputa ku ntendekelo ne ku mpelo ya Adventism.</w:t>
      </w:r>
    </w:p>
    <w:p>
      <w:pPr>
        <w:pStyle w:val="ArticleScripture"/>
        <w:jc w:val="left"/>
      </w:pPr>
      <w:r>
        <w:rPr>
          <w:rFonts w:ascii="Times New Roman" w:hAnsi="Times New Roman" w:eastAsia="Times New Roman" w:cs="Times New Roman"/>
        </w:rPr>
        <w:t>Kaa anyị na-arịọ unu, ụmụnna, n’ihi ọbịbịa nke Onyenwe anyị Jizọs Kraịst, na n’ihi ikpokọta anyị ọnụ n’ebe ọ nọ, ka a ghara ime ka uche unu maa jijiji ọsọ ọsọ, ma ọ bụ ka unu ghara ịtụ ụjọ, ma ọ bụ site n’mmụọ, ma ọ bụ site n’okwu, ma ọ bụ site n’akwụkwọ ozi dị ka o si n’aka anyị bịa, dịka a ga-asị na ụbọchị Kraịst eruola nso. Ka onye ọ bụla ghara iduhie unu n’ụzọ ọ bụla: n’ihi na ụbọchị ahụ agaghị abịa, ma e wezụga ma nnupu isi abịa mbụ, ma kpughee mmadụ ahụ nke mmehie, nwa nke ịla n’iyi; onye ahụ na-emegide ma na-ebuli onwe ya elu karịa ihe ọ bụla a na-akpọ Chineke, ma ọ bụ nke a na-efe ofufe; nke mere na ya, dịka Chineke, na-anọdụ n’ụlọ nsọ Chineke, na-egosi onwe ya na ọ bụ Chineke. Ùnu echetaghị na, mgbe m ka nọ n’etiti unu, agwara m unu ihe ndị a? Ma ugbu a unu maara ihe na-egbochi ya, ka e wee kpughee ya n’oge nke ya. N’ihi na ihe omimi nke ajọ omume amalitela ịrụ ọrụ ugbua: naanị onye ahụ nke na-egbochi ugbu a ga-anọgide na-egbochi, ruo mgbe a ga-ewepụ ya n’ụzọ. Mgbe ahụ ka a ga-ekpughe Onye Ajọ ahụ, onye Onyenwe anyị ga-eji ume ọnụ ya laa n’iyi, ma jiri nchapụta nke ọbịbịa ya bibie: ọbụna onye ahụ, onye ọbịbịa ya dị ka arụ ọrụ Setan si dị, n’ike niile na ihe ịrịba ama na ọrụ ebube ụgha, na aghụghọ niile nke ajọ omume n’ime ndị na-ala n’iyi; n’ihi na ha anabataghị ịhụnanya nke eziokwu, ka e wee zọpụta ha. N’ihi nke a kwa, Chineke ga-ezitere ha aghụghọ siri ike, ka ha kwere ụgha: ka e wee maa ha niile ikpe, ndị na-ekweghị eziokwu, kama ha nwere mmasị n’ajọ omume. 2 Ndị Tesalonaịka 2:1–12.</w:t>
      </w:r>
    </w:p>
    <w:p>
      <w:pPr>
        <w:pStyle w:val="ArticleBody"/>
        <w:jc w:val="left"/>
      </w:pPr>
      <w:r>
        <w:rPr>
          <w:rFonts w:ascii="Times New Roman" w:hAnsi="Times New Roman" w:eastAsia="Times New Roman" w:cs="Times New Roman"/>
        </w:rPr>
        <w:t>Konteks petikan ini ialah pertimbangan tentang bilakah Kristus akan datang kembali buat kali yang kedua. Paulus mengingatkan jemaat di Tesalonika bahawa dia telah pun menjawab persoalan itu sebelumnya apabila dia berkata, “Tidakkah kamu ingat, bahawa ketika aku masih bersama-sama dengan kamu, aku telah memberitahukan perkara-perkara ini kepada kamu?” Paulus sedang berusaha untuk mencegah saudara-saudara seiman daripada diperdayakan berkenaan hal “kedatangan Tuhan kita Yesus Kristus, dan penghimpunan kita bersama-sama kepada-Nya.”</w:t>
      </w:r>
    </w:p>
    <w:p>
      <w:pPr>
        <w:pStyle w:val="ArticleBody"/>
        <w:jc w:val="left"/>
      </w:pPr>
      <w:r>
        <w:rPr>
          <w:rFonts w:ascii="Times New Roman" w:hAnsi="Times New Roman" w:eastAsia="Times New Roman" w:cs="Times New Roman"/>
        </w:rPr>
        <w:t>Para sejarawan mengenal pasti bahawa separuh daripada pekhabaran William Miller didasarkan pada pengenalannya akan dua ribu tiga ratus tahun dalam Daniel fasal lapan, ayat empat belas. Separuh yang satu lagi daripada pekhabarannya, yang kadangkala tidak diakui, ialah usahanya dalam menyangkal ajaran-ajaran palsu berkenaan Kedatangan Kristus yang Kedua.</w:t>
      </w:r>
    </w:p>
    <w:p>
      <w:pPr>
        <w:pStyle w:val="ArticleBody"/>
        <w:jc w:val="left"/>
      </w:pPr>
      <w:r>
        <w:rPr>
          <w:rFonts w:ascii="Times New Roman" w:hAnsi="Times New Roman" w:eastAsia="Times New Roman" w:cs="Times New Roman"/>
        </w:rPr>
        <w:t>Berdasarkan metodologi Jesuit yang palsu itu, terdapat (dan masih terdapat) suatu ajaran palsu yang menonjol yang secara konsisten ditentang oleh William Miller. Itulah ajaran palsu bahwa kedatangan Tuhan yang kedua didahului oleh seribu tahun damai yang disebut “milenium temporal”, yang juga ditentang oleh Sister White.</w:t>
      </w:r>
    </w:p>
    <w:p>
      <w:pPr>
        <w:pStyle w:val="ArticleBody"/>
        <w:jc w:val="left"/>
      </w:pPr>
      <w:r>
        <w:rPr>
          <w:rFonts w:ascii="Times New Roman" w:hAnsi="Times New Roman" w:eastAsia="Times New Roman" w:cs="Times New Roman"/>
        </w:rPr>
        <w:t>Kerja Miller juga sedang menegakkan kebenaran tentang kedatangan Kristus yang harfiah, bertentangan dengan pelbagai gagasan palsu mengenai milenium yang berleluasa pada zamannya. Paulus sedang membicarakan Kedatangan Kedua dalam 2 Tesalonika, maka petikan itu merupakan sebahagian daripada pemahaman Miller tentang Kedatangan Kedua yang harfiah. Pasal itu merupakan “Kebenaran Masa Kini” bagi Miller.</w:t>
      </w:r>
    </w:p>
    <w:p>
      <w:pPr>
        <w:pStyle w:val="ArticleBody"/>
        <w:jc w:val="left"/>
      </w:pPr>
      <w:r>
        <w:rPr>
          <w:rFonts w:ascii="Times New Roman" w:hAnsi="Times New Roman" w:eastAsia="Times New Roman" w:cs="Times New Roman"/>
        </w:rPr>
        <w:t>Paul akhampa sequence khudingmak ama khaangbaga matam pumnamak asi Second Coming-ga mari leinaba oirabadi, aduga Thessalonica-gi mi-singna makhoigi hingliba mapanda Lord-gi lakpa thajaba ngamde haibagi logic-su piba ngammi. Paul-na hairi, “Eikhoina nakhoibu ningthina haijari, unao-sing, eikhoigi Puba Jesus Christ-ki lakpana, aduga eigi-ningthiba aduda eikhoi punna khunba aduna.” “Beseech” haiba waasi interrogate touba, madudi wahang hangba, haibana kari oigadage haiba nungsinba. Paul-na Second Coming-ga mari leinaba ama ama-gi element-sing adu logic-gi matung inna wahanthokli, aduga mahakki logic adu taba mi-singna analize tougadabani haiba maramna, makhoibu interrogate touba amagi macha macha oina lamjing-i.</w:t>
      </w:r>
    </w:p>
    <w:p>
      <w:pPr>
        <w:pStyle w:val="ArticleBody"/>
        <w:jc w:val="left"/>
      </w:pPr>
      <w:r>
        <w:rPr>
          <w:rFonts w:ascii="Microsoft Himalaya" w:hAnsi="Microsoft Himalaya" w:eastAsia="Microsoft Himalaya" w:cs="Microsoft Himalaya"/>
        </w:rPr>
        <w:t>ཁོའི་རྒྱུ་མཚན་གྱི་གཞི་རྩའི་རྣམ་པ་ནི།</w:t>
      </w:r>
      <w:r>
        <w:rPr>
          <w:rFonts w:ascii="Times New Roman" w:hAnsi="Times New Roman" w:eastAsia="Times New Roman" w:cs="Times New Roman"/>
        </w:rPr>
        <w:t xml:space="preserve"> </w:t>
      </w:r>
      <w:r>
        <w:rPr>
          <w:rFonts w:ascii="Microsoft Himalaya" w:hAnsi="Microsoft Himalaya" w:eastAsia="Microsoft Himalaya" w:cs="Microsoft Himalaya"/>
        </w:rPr>
        <w:t>ཀྲིསྟོས་ཐེངས་གཉིས་པར་ཕྱིར་འོང་མ་གོང་ལ།</w:t>
      </w:r>
      <w:r>
        <w:rPr>
          <w:rFonts w:ascii="Times New Roman" w:hAnsi="Times New Roman" w:eastAsia="Times New Roman" w:cs="Times New Roman"/>
        </w:rPr>
        <w:t xml:space="preserve"> </w:t>
      </w:r>
      <w:r>
        <w:rPr>
          <w:rFonts w:ascii="Microsoft Himalaya" w:hAnsi="Microsoft Himalaya" w:eastAsia="Microsoft Himalaya" w:cs="Microsoft Himalaya"/>
        </w:rPr>
        <w:t>པེ་པ་སི་ནི་ངོས་འཛིན་བྱ་དགོས་པ་དང་དབང་བསྒྱུར་བྱ་དགོས་པ།</w:t>
      </w:r>
      <w:r>
        <w:rPr>
          <w:rFonts w:ascii="Times New Roman" w:hAnsi="Times New Roman" w:eastAsia="Times New Roman" w:cs="Times New Roman"/>
        </w:rPr>
        <w:t xml:space="preserve"> </w:t>
      </w:r>
      <w:r>
        <w:rPr>
          <w:rFonts w:ascii="Microsoft Himalaya" w:hAnsi="Microsoft Himalaya" w:eastAsia="Microsoft Himalaya" w:cs="Microsoft Himalaya"/>
        </w:rPr>
        <w:t>དེ་དང་མཉམ་དུ་པེ་པ་སི་ལོ་རྒྱུས་ནང་སླེབས་མ་གོང་ལ།</w:t>
      </w:r>
      <w:r>
        <w:rPr>
          <w:rFonts w:ascii="Times New Roman" w:hAnsi="Times New Roman" w:eastAsia="Times New Roman" w:cs="Times New Roman"/>
        </w:rPr>
        <w:t xml:space="preserve"> </w:t>
      </w:r>
      <w:r>
        <w:rPr>
          <w:rFonts w:ascii="Microsoft Himalaya" w:hAnsi="Microsoft Himalaya" w:eastAsia="Microsoft Himalaya" w:cs="Microsoft Himalaya"/>
        </w:rPr>
        <w:t>ངེས་པར་དུ་ཆོས་ལས་ཉམས་པ་ཞིག་འབྱུང་དགོས་པ་ཡིན།</w:t>
      </w:r>
      <w:r>
        <w:rPr>
          <w:rFonts w:ascii="Times New Roman" w:hAnsi="Times New Roman" w:eastAsia="Times New Roman" w:cs="Times New Roman"/>
        </w:rPr>
        <w:t xml:space="preserve"> </w:t>
      </w:r>
      <w:r>
        <w:rPr>
          <w:rFonts w:ascii="Microsoft Himalaya" w:hAnsi="Microsoft Himalaya" w:eastAsia="Microsoft Himalaya" w:cs="Microsoft Himalaya"/>
        </w:rPr>
        <w:t>ཆོས་ལས་ཉམས་པ་དེ་ད་དུང་མ་འོངས་པའི་དོན་ཡིན་པས།</w:t>
      </w:r>
      <w:r>
        <w:rPr>
          <w:rFonts w:ascii="Times New Roman" w:hAnsi="Times New Roman" w:eastAsia="Times New Roman" w:cs="Times New Roman"/>
        </w:rPr>
        <w:t xml:space="preserve"> </w:t>
      </w:r>
      <w:r>
        <w:rPr>
          <w:rFonts w:ascii="Microsoft Himalaya" w:hAnsi="Microsoft Himalaya" w:eastAsia="Microsoft Himalaya" w:cs="Microsoft Himalaya"/>
        </w:rPr>
        <w:t>པེ་པ་སིའི་འབྱུང་བ་ནི་དེ་ལས་ཀྱང་ཕྱིས་སུ་ཡོད་པ་ཡིན།</w:t>
      </w:r>
      <w:r>
        <w:rPr>
          <w:rFonts w:ascii="Times New Roman" w:hAnsi="Times New Roman" w:eastAsia="Times New Roman" w:cs="Times New Roman"/>
        </w:rPr>
        <w:t xml:space="preserve"> </w:t>
      </w:r>
      <w:r>
        <w:rPr>
          <w:rFonts w:ascii="Microsoft Himalaya" w:hAnsi="Microsoft Himalaya" w:eastAsia="Microsoft Himalaya" w:cs="Microsoft Himalaya"/>
        </w:rPr>
        <w:t>དེས་ན།</w:t>
      </w:r>
      <w:r>
        <w:rPr>
          <w:rFonts w:ascii="Times New Roman" w:hAnsi="Times New Roman" w:eastAsia="Times New Roman" w:cs="Times New Roman"/>
        </w:rPr>
        <w:t xml:space="preserve"> </w:t>
      </w:r>
      <w:r>
        <w:rPr>
          <w:rFonts w:ascii="Microsoft Himalaya" w:hAnsi="Microsoft Himalaya" w:eastAsia="Microsoft Himalaya" w:cs="Microsoft Himalaya"/>
        </w:rPr>
        <w:t>མི་ཞིག་ཇི་ལྟར་བསླུས་ཏེ་ཀྲིསྟོས་ཕྱིར་འོང་བ་ཉེ་བར་བསམ་ཐུབ་པ་ཡིན་ནམ།</w:t>
      </w:r>
      <w:r>
        <w:rPr>
          <w:rFonts w:ascii="Times New Roman" w:hAnsi="Times New Roman" w:eastAsia="Times New Roman" w:cs="Times New Roman"/>
        </w:rPr>
        <w:t xml:space="preserve"> </w:t>
      </w:r>
      <w:r>
        <w:rPr>
          <w:rFonts w:ascii="Microsoft Himalaya" w:hAnsi="Microsoft Himalaya" w:eastAsia="Microsoft Himalaya" w:cs="Microsoft Himalaya"/>
        </w:rPr>
        <w:t>ཁོས་པེ་པ་སིའི་མཚོན་རྟགས་འགའ་ཤས་བེད་སྤྱད་ནས།</w:t>
      </w:r>
      <w:r>
        <w:rPr>
          <w:rFonts w:ascii="Times New Roman" w:hAnsi="Times New Roman" w:eastAsia="Times New Roman" w:cs="Times New Roman"/>
        </w:rPr>
        <w:t xml:space="preserve"> </w:t>
      </w:r>
      <w:r>
        <w:rPr>
          <w:rFonts w:ascii="Microsoft Himalaya" w:hAnsi="Microsoft Himalaya" w:eastAsia="Microsoft Himalaya" w:cs="Microsoft Himalaya"/>
        </w:rPr>
        <w:t>ཆོས་ལས་ཉམས་པའི་རྗེས་སུ་མངོན་པར་འགྱུར་བའི་དབང་ཤུགས་དེ་སུ་ཡིན་པ་གསལ་པོར་བཙུགས་པ་ཡིན།</w:t>
      </w:r>
      <w:r>
        <w:rPr>
          <w:rFonts w:ascii="Times New Roman" w:hAnsi="Times New Roman" w:eastAsia="Times New Roman" w:cs="Times New Roman"/>
        </w:rPr>
        <w:t xml:space="preserve"> </w:t>
      </w:r>
      <w:r>
        <w:rPr>
          <w:rFonts w:ascii="Microsoft Himalaya" w:hAnsi="Microsoft Himalaya" w:eastAsia="Microsoft Himalaya" w:cs="Microsoft Himalaya"/>
        </w:rPr>
        <w:t>ཁོས་པེ་པ་སི་ལ་</w:t>
      </w:r>
      <w:r>
        <w:rPr>
          <w:rFonts w:ascii="Times New Roman" w:hAnsi="Times New Roman" w:eastAsia="Times New Roman" w:cs="Times New Roman"/>
        </w:rPr>
        <w:t xml:space="preserve"> “</w:t>
      </w:r>
      <w:r>
        <w:rPr>
          <w:rFonts w:ascii="Microsoft Himalaya" w:hAnsi="Microsoft Himalaya" w:eastAsia="Microsoft Himalaya" w:cs="Microsoft Himalaya"/>
        </w:rPr>
        <w:t>སྡིག་པའི་མི་</w:t>
      </w:r>
      <w:r>
        <w:rPr>
          <w:rFonts w:ascii="Times New Roman" w:hAnsi="Times New Roman" w:eastAsia="Times New Roman" w:cs="Times New Roman"/>
        </w:rPr>
        <w:t xml:space="preserve">” </w:t>
      </w:r>
      <w:r>
        <w:rPr>
          <w:rFonts w:ascii="Microsoft Himalaya" w:hAnsi="Microsoft Himalaya" w:eastAsia="Microsoft Himalaya" w:cs="Microsoft Himalaya"/>
        </w:rPr>
        <w:t>དང་།</w:t>
      </w:r>
      <w:r>
        <w:rPr>
          <w:rFonts w:ascii="Times New Roman" w:hAnsi="Times New Roman" w:eastAsia="Times New Roman" w:cs="Times New Roman"/>
        </w:rPr>
        <w:t xml:space="preserve"> “</w:t>
      </w:r>
      <w:r>
        <w:rPr>
          <w:rFonts w:ascii="Microsoft Himalaya" w:hAnsi="Microsoft Himalaya" w:eastAsia="Microsoft Himalaya" w:cs="Microsoft Himalaya"/>
        </w:rPr>
        <w:t>ངན་པ་དེ་</w:t>
      </w:r>
      <w:r>
        <w:rPr>
          <w:rFonts w:ascii="Times New Roman" w:hAnsi="Times New Roman" w:eastAsia="Times New Roman" w:cs="Times New Roman"/>
        </w:rPr>
        <w:t xml:space="preserve">” </w:t>
      </w:r>
      <w:r>
        <w:rPr>
          <w:rFonts w:ascii="Microsoft Himalaya" w:hAnsi="Microsoft Himalaya" w:eastAsia="Microsoft Himalaya" w:cs="Microsoft Himalaya"/>
        </w:rPr>
        <w:t>དང་།</w:t>
      </w:r>
      <w:r>
        <w:rPr>
          <w:rFonts w:ascii="Times New Roman" w:hAnsi="Times New Roman" w:eastAsia="Times New Roman" w:cs="Times New Roman"/>
        </w:rPr>
        <w:t xml:space="preserve"> “</w:t>
      </w:r>
      <w:r>
        <w:rPr>
          <w:rFonts w:ascii="Microsoft Himalaya" w:hAnsi="Microsoft Himalaya" w:eastAsia="Microsoft Himalaya" w:cs="Microsoft Himalaya"/>
        </w:rPr>
        <w:t>འཇིག་པའི་བུ་</w:t>
      </w:r>
      <w:r>
        <w:rPr>
          <w:rFonts w:ascii="Times New Roman" w:hAnsi="Times New Roman" w:eastAsia="Times New Roman" w:cs="Times New Roman"/>
        </w:rPr>
        <w:t xml:space="preserve">” </w:t>
      </w:r>
      <w:r>
        <w:rPr>
          <w:rFonts w:ascii="Microsoft Himalaya" w:hAnsi="Microsoft Himalaya" w:eastAsia="Microsoft Himalaya" w:cs="Microsoft Himalaya"/>
        </w:rPr>
        <w:t>དང་།</w:t>
      </w:r>
      <w:r>
        <w:rPr>
          <w:rFonts w:ascii="Times New Roman" w:hAnsi="Times New Roman" w:eastAsia="Times New Roman" w:cs="Times New Roman"/>
        </w:rPr>
        <w:t xml:space="preserve"> “</w:t>
      </w:r>
      <w:r>
        <w:rPr>
          <w:rFonts w:ascii="Microsoft Himalaya" w:hAnsi="Microsoft Himalaya" w:eastAsia="Microsoft Himalaya" w:cs="Microsoft Himalaya"/>
        </w:rPr>
        <w:t>ལས་འགལ་གྱི་གསང་བ་</w:t>
      </w:r>
      <w:r>
        <w:rPr>
          <w:rFonts w:ascii="Times New Roman" w:hAnsi="Times New Roman" w:eastAsia="Times New Roman" w:cs="Times New Roman"/>
        </w:rPr>
        <w:t xml:space="preserve">” </w:t>
      </w:r>
      <w:r>
        <w:rPr>
          <w:rFonts w:ascii="Microsoft Himalaya" w:hAnsi="Microsoft Himalaya" w:eastAsia="Microsoft Himalaya" w:cs="Microsoft Himalaya"/>
        </w:rPr>
        <w:t>ཞེས་འབོད།</w:t>
      </w:r>
      <w:r>
        <w:rPr>
          <w:rFonts w:ascii="Times New Roman" w:hAnsi="Times New Roman" w:eastAsia="Times New Roman" w:cs="Times New Roman"/>
        </w:rPr>
        <w:t xml:space="preserve"> </w:t>
      </w:r>
      <w:r>
        <w:rPr>
          <w:rFonts w:ascii="Microsoft Himalaya" w:hAnsi="Microsoft Himalaya" w:eastAsia="Microsoft Himalaya" w:cs="Microsoft Himalaya"/>
        </w:rPr>
        <w:t>སིས་ཊར་ཝའིཊ་གིས་འདི་དག་ཐམས་ཅད་ནི་པེ་པ་སི་ངོས་འཛིན་པའི་མཚོན་རྟགས་ཡིན་པ་གསལ་པོར་བསྟན་ཡོད།</w:t>
      </w:r>
    </w:p>
    <w:p>
      <w:pPr>
        <w:pStyle w:val="ArticleScripture"/>
        <w:jc w:val="left"/>
      </w:pPr>
      <w:r>
        <w:rPr>
          <w:rFonts w:ascii="Times New Roman" w:hAnsi="Times New Roman" w:eastAsia="Times New Roman" w:cs="Times New Roman"/>
        </w:rPr>
        <w:t>“Akasi zani Kristo afi, mbeilnaba alahasilan bakut pasal duniak ugama, baka nubuatan dalam nubuat. Rasul itu manakula: ‘Anang lakas kagagar dalam pikiran, atawa kagalisah, baik ulih roh, atawa ulih pander, atawa ulih surat saumpama asal kami, saakan-akan hari Kristus sudah hampat. Anang saurang jua maulah kamu tapadaya dengan cara apapun: sabab hari itu kada akan datang, amun balum datang paninggalan iman labih dahulu, wan manusia durhaka itu dinyatakan, anak kabinasaan; nang malawan wan manyangkat diri di atas sagala nang disambat Allah atawa nang disambah; sahingga inya saumpama Allah duduk dalam Bait Allah, sambil manyatakan dirinya saakan-akan inya itu Allah.’”</w:t>
      </w:r>
    </w:p>
    <w:p>
      <w:pPr>
        <w:pStyle w:val="ArticleScripture"/>
        <w:jc w:val="left"/>
      </w:pPr>
      <w:r>
        <w:rPr>
          <w:rFonts w:ascii="Times New Roman" w:hAnsi="Times New Roman" w:eastAsia="Times New Roman" w:cs="Times New Roman"/>
        </w:rPr>
        <w:t>“Khulupirika dza Paulo ndzi nga fanelanga ku twisisiwa hi ndlela yo hoxeka. A swi nga fanelanga ku dyondzisiwa leswaku yena, hi ku paluxeriwa ko hlawuleka, a lemukise Vatesalonika hi ku vuya ka Kriste ka le kusuhi swinene. Ku yima hi ndlela yoleyo a ku ta vanga ku pfilunganyeka ka ripfumelo; hikuva ku hela matimba hikwalaho ka ku hela ka ntshembo hakanyingi swi yisa eku nga pfumelini. Hikwalaho muapostola a lemukisa vamakwavo leswaku va nga amukeli rungula ro tano onge ri huma eka yena, kutani a ya emahlweni a kandziyisa ntiyiso wa leswaku matimba ya vupapa, lama hlamuseriweke erivaleni swinene hi muprofeta Daniele, a ma ha ta pfuka ma lwa ni vanhu va Xikwembu. Ku fikela loko matimba lawa ma ta va ma hetisisile ntirho wa wona lowu dlayaka ni wa nhlambha, a swi ta va swa hava eka kereke ku langutela ku vuya ka Hosi ya vona. ‘Xana a mi tsundzuki,’ ku vutisa Paulo, ‘leswaku, loko ndza ha ri na n’wina, a ndzi mi byela swilo leswi?’”</w:t>
      </w:r>
    </w:p>
    <w:p>
      <w:pPr>
        <w:pStyle w:val="ArticleScripture"/>
        <w:jc w:val="left"/>
      </w:pPr>
      <w:r>
        <w:rPr>
          <w:rFonts w:ascii="Times New Roman" w:hAnsi="Times New Roman" w:eastAsia="Times New Roman" w:cs="Times New Roman"/>
        </w:rPr>
        <w:t>“Angidiko mipui me·sokatgipa dakgrikani ong·genchim nokgipa Mondolio. Watgipa chitti seahaon, ‘namgijani ning·tubani’ indiba kam ka·na a·bachengaha. Mikkangchi ong·gnirangni dilgipa dakani ‘Satan-ni kam ka·ani gita pilak bil baksa aro chanchisokgipa chinrang aro tol·a aiao inmangipa kamrang baksa, aro gimagipa manderangni gisepo pilak toromi ong·gijani tol·napanirang baksa’ ong·genchim.”</w:t>
      </w:r>
    </w:p>
    <w:p>
      <w:pPr>
        <w:pStyle w:val="ArticleScripture"/>
        <w:jc w:val="left"/>
      </w:pPr>
      <w:r>
        <w:rPr>
          <w:rFonts w:ascii="Times New Roman" w:hAnsi="Times New Roman" w:eastAsia="Times New Roman" w:cs="Times New Roman"/>
        </w:rPr>
        <w:t>“</w:t>
      </w:r>
      <w:r>
        <w:rPr>
          <w:rFonts w:ascii="Nirmala UI" w:hAnsi="Nirmala UI" w:eastAsia="Nirmala UI" w:cs="Nirmala UI"/>
        </w:rPr>
        <w:t>సత్యమునకు</w:t>
      </w:r>
      <w:r>
        <w:rPr>
          <w:rFonts w:ascii="Times New Roman" w:hAnsi="Times New Roman" w:eastAsia="Times New Roman" w:cs="Times New Roman"/>
        </w:rPr>
        <w:t xml:space="preserve"> </w:t>
      </w:r>
      <w:r>
        <w:rPr>
          <w:rFonts w:ascii="Nirmala UI" w:hAnsi="Nirmala UI" w:eastAsia="Nirmala UI" w:cs="Nirmala UI"/>
        </w:rPr>
        <w:t>గల</w:t>
      </w:r>
      <w:r>
        <w:rPr>
          <w:rFonts w:ascii="Times New Roman" w:hAnsi="Times New Roman" w:eastAsia="Times New Roman" w:cs="Times New Roman"/>
        </w:rPr>
        <w:t xml:space="preserve"> </w:t>
      </w:r>
      <w:r>
        <w:rPr>
          <w:rFonts w:ascii="Nirmala UI" w:hAnsi="Nirmala UI" w:eastAsia="Nirmala UI" w:cs="Nirmala UI"/>
        </w:rPr>
        <w:t>ప్రేమను</w:t>
      </w:r>
      <w:r>
        <w:rPr>
          <w:rFonts w:ascii="Times New Roman" w:hAnsi="Times New Roman" w:eastAsia="Times New Roman" w:cs="Times New Roman"/>
        </w:rPr>
        <w:t xml:space="preserve">” </w:t>
      </w:r>
      <w:r>
        <w:rPr>
          <w:rFonts w:ascii="Nirmala UI" w:hAnsi="Nirmala UI" w:eastAsia="Nirmala UI" w:cs="Nirmala UI"/>
        </w:rPr>
        <w:t>స్వీకరించుటకు</w:t>
      </w:r>
      <w:r>
        <w:rPr>
          <w:rFonts w:ascii="Times New Roman" w:hAnsi="Times New Roman" w:eastAsia="Times New Roman" w:cs="Times New Roman"/>
        </w:rPr>
        <w:t xml:space="preserve"> </w:t>
      </w:r>
      <w:r>
        <w:rPr>
          <w:rFonts w:ascii="Nirmala UI" w:hAnsi="Nirmala UI" w:eastAsia="Nirmala UI" w:cs="Nirmala UI"/>
        </w:rPr>
        <w:t>నిరాకరించువారిని</w:t>
      </w:r>
      <w:r>
        <w:rPr>
          <w:rFonts w:ascii="Times New Roman" w:hAnsi="Times New Roman" w:eastAsia="Times New Roman" w:cs="Times New Roman"/>
        </w:rPr>
        <w:t xml:space="preserve"> </w:t>
      </w:r>
      <w:r>
        <w:rPr>
          <w:rFonts w:ascii="Nirmala UI" w:hAnsi="Nirmala UI" w:eastAsia="Nirmala UI" w:cs="Nirmala UI"/>
        </w:rPr>
        <w:t>గూర్చి</w:t>
      </w:r>
      <w:r>
        <w:rPr>
          <w:rFonts w:ascii="Times New Roman" w:hAnsi="Times New Roman" w:eastAsia="Times New Roman" w:cs="Times New Roman"/>
        </w:rPr>
        <w:t xml:space="preserve"> </w:t>
      </w:r>
      <w:r>
        <w:rPr>
          <w:rFonts w:ascii="Nirmala UI" w:hAnsi="Nirmala UI" w:eastAsia="Nirmala UI" w:cs="Nirmala UI"/>
        </w:rPr>
        <w:t>అపొస్తలుడు</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ప్రత్యేకంగా</w:t>
      </w:r>
      <w:r>
        <w:rPr>
          <w:rFonts w:ascii="Times New Roman" w:hAnsi="Times New Roman" w:eastAsia="Times New Roman" w:cs="Times New Roman"/>
        </w:rPr>
        <w:t xml:space="preserve"> </w:t>
      </w:r>
      <w:r>
        <w:rPr>
          <w:rFonts w:ascii="Nirmala UI" w:hAnsi="Nirmala UI" w:eastAsia="Nirmala UI" w:cs="Nirmala UI"/>
        </w:rPr>
        <w:t>గంభీరమైనది</w:t>
      </w:r>
      <w:r>
        <w:rPr>
          <w:rFonts w:ascii="Times New Roman" w:hAnsi="Times New Roman" w:eastAsia="Times New Roman" w:cs="Times New Roman"/>
        </w:rPr>
        <w:t xml:space="preserve">. </w:t>
      </w:r>
      <w:r>
        <w:rPr>
          <w:rFonts w:ascii="Nirmala UI" w:hAnsi="Nirmala UI" w:eastAsia="Nirmala UI" w:cs="Nirmala UI"/>
        </w:rPr>
        <w:t>సత్యసందేశములను</w:t>
      </w:r>
      <w:r>
        <w:rPr>
          <w:rFonts w:ascii="Times New Roman" w:hAnsi="Times New Roman" w:eastAsia="Times New Roman" w:cs="Times New Roman"/>
        </w:rPr>
        <w:t xml:space="preserve"> </w:t>
      </w:r>
      <w:r>
        <w:rPr>
          <w:rFonts w:ascii="Nirmala UI" w:hAnsi="Nirmala UI" w:eastAsia="Nirmala UI" w:cs="Nirmala UI"/>
        </w:rPr>
        <w:t>ఉద్దేశపూర్వకముగా</w:t>
      </w:r>
      <w:r>
        <w:rPr>
          <w:rFonts w:ascii="Times New Roman" w:hAnsi="Times New Roman" w:eastAsia="Times New Roman" w:cs="Times New Roman"/>
        </w:rPr>
        <w:t xml:space="preserve"> </w:t>
      </w:r>
      <w:r>
        <w:rPr>
          <w:rFonts w:ascii="Nirmala UI" w:hAnsi="Nirmala UI" w:eastAsia="Nirmala UI" w:cs="Nirmala UI"/>
        </w:rPr>
        <w:t>తిరస్కరించువారందరిని</w:t>
      </w:r>
      <w:r>
        <w:rPr>
          <w:rFonts w:ascii="Times New Roman" w:hAnsi="Times New Roman" w:eastAsia="Times New Roman" w:cs="Times New Roman"/>
        </w:rPr>
        <w:t xml:space="preserve"> </w:t>
      </w:r>
      <w:r>
        <w:rPr>
          <w:rFonts w:ascii="Nirmala UI" w:hAnsi="Nirmala UI" w:eastAsia="Nirmala UI" w:cs="Nirmala UI"/>
        </w:rPr>
        <w:t>గూర్చి</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ఇలా</w:t>
      </w:r>
      <w:r>
        <w:rPr>
          <w:rFonts w:ascii="Times New Roman" w:hAnsi="Times New Roman" w:eastAsia="Times New Roman" w:cs="Times New Roman"/>
        </w:rPr>
        <w:t xml:space="preserve"> </w:t>
      </w:r>
      <w:r>
        <w:rPr>
          <w:rFonts w:ascii="Nirmala UI" w:hAnsi="Nirmala UI" w:eastAsia="Nirmala UI" w:cs="Nirmala UI"/>
        </w:rPr>
        <w:t>ప్రకటించెను</w:t>
      </w:r>
      <w:r>
        <w:rPr>
          <w:rFonts w:ascii="Times New Roman" w:hAnsi="Times New Roman" w:eastAsia="Times New Roman" w:cs="Times New Roman"/>
        </w:rPr>
        <w:t>: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కారణముచేత</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అబద్ధమును</w:t>
      </w:r>
      <w:r>
        <w:rPr>
          <w:rFonts w:ascii="Times New Roman" w:hAnsi="Times New Roman" w:eastAsia="Times New Roman" w:cs="Times New Roman"/>
        </w:rPr>
        <w:t xml:space="preserve"> </w:t>
      </w:r>
      <w:r>
        <w:rPr>
          <w:rFonts w:ascii="Nirmala UI" w:hAnsi="Nirmala UI" w:eastAsia="Nirmala UI" w:cs="Nirmala UI"/>
        </w:rPr>
        <w:t>నమ్మునట్లు</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బలమైన</w:t>
      </w:r>
      <w:r>
        <w:rPr>
          <w:rFonts w:ascii="Times New Roman" w:hAnsi="Times New Roman" w:eastAsia="Times New Roman" w:cs="Times New Roman"/>
        </w:rPr>
        <w:t xml:space="preserve"> </w:t>
      </w:r>
      <w:r>
        <w:rPr>
          <w:rFonts w:ascii="Nirmala UI" w:hAnsi="Nirmala UI" w:eastAsia="Nirmala UI" w:cs="Nirmala UI"/>
        </w:rPr>
        <w:t>మోసమును</w:t>
      </w:r>
      <w:r>
        <w:rPr>
          <w:rFonts w:ascii="Times New Roman" w:hAnsi="Times New Roman" w:eastAsia="Times New Roman" w:cs="Times New Roman"/>
        </w:rPr>
        <w:t xml:space="preserve"> </w:t>
      </w:r>
      <w:r>
        <w:rPr>
          <w:rFonts w:ascii="Nirmala UI" w:hAnsi="Nirmala UI" w:eastAsia="Nirmala UI" w:cs="Nirmala UI"/>
        </w:rPr>
        <w:t>పంపును</w:t>
      </w:r>
      <w:r>
        <w:rPr>
          <w:rFonts w:ascii="Times New Roman" w:hAnsi="Times New Roman" w:eastAsia="Times New Roman" w:cs="Times New Roman"/>
        </w:rPr>
        <w:t xml:space="preserve">; </w:t>
      </w:r>
      <w:r>
        <w:rPr>
          <w:rFonts w:ascii="Nirmala UI" w:hAnsi="Nirmala UI" w:eastAsia="Nirmala UI" w:cs="Nirmala UI"/>
        </w:rPr>
        <w:t>సత్యమును</w:t>
      </w:r>
      <w:r>
        <w:rPr>
          <w:rFonts w:ascii="Times New Roman" w:hAnsi="Times New Roman" w:eastAsia="Times New Roman" w:cs="Times New Roman"/>
        </w:rPr>
        <w:t xml:space="preserve"> </w:t>
      </w:r>
      <w:r>
        <w:rPr>
          <w:rFonts w:ascii="Nirmala UI" w:hAnsi="Nirmala UI" w:eastAsia="Nirmala UI" w:cs="Nirmala UI"/>
        </w:rPr>
        <w:t>నమ్మక</w:t>
      </w:r>
      <w:r>
        <w:rPr>
          <w:rFonts w:ascii="Times New Roman" w:hAnsi="Times New Roman" w:eastAsia="Times New Roman" w:cs="Times New Roman"/>
        </w:rPr>
        <w:t xml:space="preserve">, </w:t>
      </w:r>
      <w:r>
        <w:rPr>
          <w:rFonts w:ascii="Nirmala UI" w:hAnsi="Nirmala UI" w:eastAsia="Nirmala UI" w:cs="Nirmala UI"/>
        </w:rPr>
        <w:t>అధర్మములో</w:t>
      </w:r>
      <w:r>
        <w:rPr>
          <w:rFonts w:ascii="Times New Roman" w:hAnsi="Times New Roman" w:eastAsia="Times New Roman" w:cs="Times New Roman"/>
        </w:rPr>
        <w:t xml:space="preserve"> </w:t>
      </w:r>
      <w:r>
        <w:rPr>
          <w:rFonts w:ascii="Nirmala UI" w:hAnsi="Nirmala UI" w:eastAsia="Nirmala UI" w:cs="Nirmala UI"/>
        </w:rPr>
        <w:t>ఆనందించిన</w:t>
      </w:r>
      <w:r>
        <w:rPr>
          <w:rFonts w:ascii="Times New Roman" w:hAnsi="Times New Roman" w:eastAsia="Times New Roman" w:cs="Times New Roman"/>
        </w:rPr>
        <w:t xml:space="preserve"> </w:t>
      </w:r>
      <w:r>
        <w:rPr>
          <w:rFonts w:ascii="Nirmala UI" w:hAnsi="Nirmala UI" w:eastAsia="Nirmala UI" w:cs="Nirmala UI"/>
        </w:rPr>
        <w:t>వారందరు</w:t>
      </w:r>
      <w:r>
        <w:rPr>
          <w:rFonts w:ascii="Times New Roman" w:hAnsi="Times New Roman" w:eastAsia="Times New Roman" w:cs="Times New Roman"/>
        </w:rPr>
        <w:t xml:space="preserve"> </w:t>
      </w:r>
      <w:r>
        <w:rPr>
          <w:rFonts w:ascii="Nirmala UI" w:hAnsi="Nirmala UI" w:eastAsia="Nirmala UI" w:cs="Nirmala UI"/>
        </w:rPr>
        <w:t>శిక్షకు</w:t>
      </w:r>
      <w:r>
        <w:rPr>
          <w:rFonts w:ascii="Times New Roman" w:hAnsi="Times New Roman" w:eastAsia="Times New Roman" w:cs="Times New Roman"/>
        </w:rPr>
        <w:t xml:space="preserve"> </w:t>
      </w:r>
      <w:r>
        <w:rPr>
          <w:rFonts w:ascii="Nirmala UI" w:hAnsi="Nirmala UI" w:eastAsia="Nirmala UI" w:cs="Nirmala UI"/>
        </w:rPr>
        <w:t>పాత్రులగుదురు</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కరుణతో</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పంపు</w:t>
      </w:r>
      <w:r>
        <w:rPr>
          <w:rFonts w:ascii="Times New Roman" w:hAnsi="Times New Roman" w:eastAsia="Times New Roman" w:cs="Times New Roman"/>
        </w:rPr>
        <w:t xml:space="preserve"> </w:t>
      </w:r>
      <w:r>
        <w:rPr>
          <w:rFonts w:ascii="Nirmala UI" w:hAnsi="Nirmala UI" w:eastAsia="Nirmala UI" w:cs="Nirmala UI"/>
        </w:rPr>
        <w:t>హెచ్చరికలను</w:t>
      </w:r>
      <w:r>
        <w:rPr>
          <w:rFonts w:ascii="Times New Roman" w:hAnsi="Times New Roman" w:eastAsia="Times New Roman" w:cs="Times New Roman"/>
        </w:rPr>
        <w:t xml:space="preserve"> </w:t>
      </w:r>
      <w:r>
        <w:rPr>
          <w:rFonts w:ascii="Nirmala UI" w:hAnsi="Nirmala UI" w:eastAsia="Nirmala UI" w:cs="Nirmala UI"/>
        </w:rPr>
        <w:t>మనుష్యులు</w:t>
      </w:r>
      <w:r>
        <w:rPr>
          <w:rFonts w:ascii="Times New Roman" w:hAnsi="Times New Roman" w:eastAsia="Times New Roman" w:cs="Times New Roman"/>
        </w:rPr>
        <w:t xml:space="preserve"> </w:t>
      </w:r>
      <w:r>
        <w:rPr>
          <w:rFonts w:ascii="Nirmala UI" w:hAnsi="Nirmala UI" w:eastAsia="Nirmala UI" w:cs="Nirmala UI"/>
        </w:rPr>
        <w:t>దండనలేకుండా</w:t>
      </w:r>
      <w:r>
        <w:rPr>
          <w:rFonts w:ascii="Times New Roman" w:hAnsi="Times New Roman" w:eastAsia="Times New Roman" w:cs="Times New Roman"/>
        </w:rPr>
        <w:t xml:space="preserve"> </w:t>
      </w:r>
      <w:r>
        <w:rPr>
          <w:rFonts w:ascii="Nirmala UI" w:hAnsi="Nirmala UI" w:eastAsia="Nirmala UI" w:cs="Nirmala UI"/>
        </w:rPr>
        <w:t>తిరస్కరించలేరు</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హెచ్చరికల</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తిరుగుచుండుటలో</w:t>
      </w:r>
      <w:r>
        <w:rPr>
          <w:rFonts w:ascii="Times New Roman" w:hAnsi="Times New Roman" w:eastAsia="Times New Roman" w:cs="Times New Roman"/>
        </w:rPr>
        <w:t xml:space="preserve"> </w:t>
      </w:r>
      <w:r>
        <w:rPr>
          <w:rFonts w:ascii="Nirmala UI" w:hAnsi="Nirmala UI" w:eastAsia="Nirmala UI" w:cs="Nirmala UI"/>
        </w:rPr>
        <w:t>స్థిరపడిన</w:t>
      </w:r>
      <w:r>
        <w:rPr>
          <w:rFonts w:ascii="Times New Roman" w:hAnsi="Times New Roman" w:eastAsia="Times New Roman" w:cs="Times New Roman"/>
        </w:rPr>
        <w:t xml:space="preserve"> </w:t>
      </w:r>
      <w:r>
        <w:rPr>
          <w:rFonts w:ascii="Nirmala UI" w:hAnsi="Nirmala UI" w:eastAsia="Nirmala UI" w:cs="Nirmala UI"/>
        </w:rPr>
        <w:t>వారినుండి</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ఆత్మను</w:t>
      </w:r>
      <w:r>
        <w:rPr>
          <w:rFonts w:ascii="Times New Roman" w:hAnsi="Times New Roman" w:eastAsia="Times New Roman" w:cs="Times New Roman"/>
        </w:rPr>
        <w:t xml:space="preserve"> </w:t>
      </w:r>
      <w:r>
        <w:rPr>
          <w:rFonts w:ascii="Nirmala UI" w:hAnsi="Nirmala UI" w:eastAsia="Nirmala UI" w:cs="Nirmala UI"/>
        </w:rPr>
        <w:t>ఉపసంహరించుకొని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ప్రేమించు</w:t>
      </w:r>
      <w:r>
        <w:rPr>
          <w:rFonts w:ascii="Times New Roman" w:hAnsi="Times New Roman" w:eastAsia="Times New Roman" w:cs="Times New Roman"/>
        </w:rPr>
        <w:t xml:space="preserve"> </w:t>
      </w:r>
      <w:r>
        <w:rPr>
          <w:rFonts w:ascii="Nirmala UI" w:hAnsi="Nirmala UI" w:eastAsia="Nirmala UI" w:cs="Nirmala UI"/>
        </w:rPr>
        <w:t>మోసాలకు</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అప్పగించును</w:t>
      </w:r>
      <w:r>
        <w:rPr>
          <w:rFonts w:ascii="Times New Roman" w:hAnsi="Times New Roman" w:eastAsia="Times New Roman" w:cs="Times New Roman"/>
        </w:rPr>
        <w:t xml:space="preserve">.” </w:t>
      </w:r>
      <w:r>
        <w:rPr>
          <w:rFonts w:ascii="Nirmala UI" w:hAnsi="Nirmala UI" w:eastAsia="Nirmala UI" w:cs="Nirmala UI"/>
        </w:rPr>
        <w:t>అపొస్తలుల</w:t>
      </w:r>
      <w:r>
        <w:rPr>
          <w:rFonts w:ascii="Times New Roman" w:hAnsi="Times New Roman" w:eastAsia="Times New Roman" w:cs="Times New Roman"/>
        </w:rPr>
        <w:t xml:space="preserve"> </w:t>
      </w:r>
      <w:r>
        <w:rPr>
          <w:rFonts w:ascii="Nirmala UI" w:hAnsi="Nirmala UI" w:eastAsia="Nirmala UI" w:cs="Nirmala UI"/>
        </w:rPr>
        <w:t>కార్యములు</w:t>
      </w:r>
      <w:r>
        <w:rPr>
          <w:rFonts w:ascii="Times New Roman" w:hAnsi="Times New Roman" w:eastAsia="Times New Roman" w:cs="Times New Roman"/>
        </w:rPr>
        <w:t>, 265, 266.</w:t>
      </w:r>
    </w:p>
    <w:p>
      <w:pPr>
        <w:pStyle w:val="ArticleBody"/>
        <w:jc w:val="left"/>
      </w:pPr>
      <w:r>
        <w:rPr>
          <w:rFonts w:ascii="Times New Roman" w:hAnsi="Times New Roman" w:eastAsia="Times New Roman" w:cs="Times New Roman"/>
        </w:rPr>
        <w:t>Ndzi hambileswi Sister White a boxaka hi ku kongoma “munhu wa xidyoho,” “lo homboloka yoloye,” “n’wana wa ku lova,” ni “xihundla xa vuhomboloki” leswi nga eka ndzimana ya Pawulo, naswona a xi vitana “matimba ya vupapa,” u vula swo tala ku tlula kwalaho. U kombisa leswaku swikombiso leswi Pawulo a swi tirhiseke ku kombisa papa wa Roma, swi simekiwe ebukwini ya Daniyele, loko a te: “Hikwalaho muapostola u tsundzuxile vamakwavo leswaku va nga amukeli hungu rero onge ri huma eka yena, kutani a ya emahlweni a kandziyisa mhaka ya leswaku matimba ya vupapa, lama hlamuseriweke erivaleni swinene hi muprofeta Daniyele, a ma ha ta pfuka ma lwa ni vanhu va Xikwembu. Ku fikela loko matimba lawa ma ta va ma hetisile ntirho wa wona wa rifu ni wa ku sandza Xikwembu, a swi ta va swa hava leswaku kereke yi langutela ku vuya ka Hosi ya vona.” Pawulo a a simeka xiphemu xa rungula eka Vathesalonika lexi kombetelaka vupapa ehenhla ka Daniyele ndzima ya khume na yin’we, ni ndzimana ya makume manharhu na ntsevu.</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လူမင်းသည်</w:t>
      </w:r>
      <w:r>
        <w:rPr>
          <w:rFonts w:ascii="Times New Roman" w:hAnsi="Times New Roman" w:eastAsia="Times New Roman" w:cs="Times New Roman"/>
        </w:rPr>
        <w:t xml:space="preserve"> </w:t>
      </w:r>
      <w:r>
        <w:rPr>
          <w:rFonts w:ascii="Myanmar Text" w:hAnsi="Myanmar Text" w:eastAsia="Myanmar Text" w:cs="Myanmar Text"/>
        </w:rPr>
        <w:t>မိမိအလိုအတိုင်း</w:t>
      </w:r>
      <w:r>
        <w:rPr>
          <w:rFonts w:ascii="Times New Roman" w:hAnsi="Times New Roman" w:eastAsia="Times New Roman" w:cs="Times New Roman"/>
        </w:rPr>
        <w:t xml:space="preserve"> </w:t>
      </w:r>
      <w:r>
        <w:rPr>
          <w:rFonts w:ascii="Myanmar Text" w:hAnsi="Myanmar Text" w:eastAsia="Myanmar Text" w:cs="Myanmar Text"/>
        </w:rPr>
        <w:t>ပြုမူလိမ့်မည်။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ကိုယ်ကိုကိုယ်</w:t>
      </w:r>
      <w:r>
        <w:rPr>
          <w:rFonts w:ascii="Times New Roman" w:hAnsi="Times New Roman" w:eastAsia="Times New Roman" w:cs="Times New Roman"/>
        </w:rPr>
        <w:t xml:space="preserve"> </w:t>
      </w:r>
      <w:r>
        <w:rPr>
          <w:rFonts w:ascii="Myanmar Text" w:hAnsi="Myanmar Text" w:eastAsia="Myanmar Text" w:cs="Myanmar Text"/>
        </w:rPr>
        <w:t>ချီးမြှောက်၍</w:t>
      </w:r>
      <w:r>
        <w:rPr>
          <w:rFonts w:ascii="Times New Roman" w:hAnsi="Times New Roman" w:eastAsia="Times New Roman" w:cs="Times New Roman"/>
        </w:rPr>
        <w:t xml:space="preserve"> </w:t>
      </w:r>
      <w:r>
        <w:rPr>
          <w:rFonts w:ascii="Myanmar Text" w:hAnsi="Myanmar Text" w:eastAsia="Myanmar Text" w:cs="Myanmar Text"/>
        </w:rPr>
        <w:t>ဘုရားအသီးသီးအပေါ်၌</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ကြီးမားစေမည်။</w:t>
      </w:r>
      <w:r>
        <w:rPr>
          <w:rFonts w:ascii="Times New Roman" w:hAnsi="Times New Roman" w:eastAsia="Times New Roman" w:cs="Times New Roman"/>
        </w:rPr>
        <w:t xml:space="preserve"> </w:t>
      </w:r>
      <w:r>
        <w:rPr>
          <w:rFonts w:ascii="Myanmar Text" w:hAnsi="Myanmar Text" w:eastAsia="Myanmar Text" w:cs="Myanmar Text"/>
        </w:rPr>
        <w:t>ဘုရားတို့၏</w:t>
      </w:r>
      <w:r>
        <w:rPr>
          <w:rFonts w:ascii="Times New Roman" w:hAnsi="Times New Roman" w:eastAsia="Times New Roman" w:cs="Times New Roman"/>
        </w:rPr>
        <w:t xml:space="preserve"> </w:t>
      </w:r>
      <w:r>
        <w:rPr>
          <w:rFonts w:ascii="Myanmar Text" w:hAnsi="Myanmar Text" w:eastAsia="Myanmar Text" w:cs="Myanmar Text"/>
        </w:rPr>
        <w:t>ဘုရားကိုဆန့်ကျင်၍</w:t>
      </w:r>
      <w:r>
        <w:rPr>
          <w:rFonts w:ascii="Times New Roman" w:hAnsi="Times New Roman" w:eastAsia="Times New Roman" w:cs="Times New Roman"/>
        </w:rPr>
        <w:t xml:space="preserve"> </w:t>
      </w:r>
      <w:r>
        <w:rPr>
          <w:rFonts w:ascii="Myanmar Text" w:hAnsi="Myanmar Text" w:eastAsia="Myanmar Text" w:cs="Myanmar Text"/>
        </w:rPr>
        <w:t>အံ့ဩဖွယ်စကားများကို</w:t>
      </w:r>
      <w:r>
        <w:rPr>
          <w:rFonts w:ascii="Times New Roman" w:hAnsi="Times New Roman" w:eastAsia="Times New Roman" w:cs="Times New Roman"/>
        </w:rPr>
        <w:t xml:space="preserve"> </w:t>
      </w:r>
      <w:r>
        <w:rPr>
          <w:rFonts w:ascii="Myanmar Text" w:hAnsi="Myanmar Text" w:eastAsia="Myanmar Text" w:cs="Myanmar Text"/>
        </w:rPr>
        <w:t>ပြောဆိုမည်။</w:t>
      </w:r>
      <w:r>
        <w:rPr>
          <w:rFonts w:ascii="Times New Roman" w:hAnsi="Times New Roman" w:eastAsia="Times New Roman" w:cs="Times New Roman"/>
        </w:rPr>
        <w:t xml:space="preserve"> </w:t>
      </w:r>
      <w:r>
        <w:rPr>
          <w:rFonts w:ascii="Myanmar Text" w:hAnsi="Myanmar Text" w:eastAsia="Myanmar Text" w:cs="Myanmar Text"/>
        </w:rPr>
        <w:t>အမျက်တော်ပြီးစီးသည်တိုင်အောင်</w:t>
      </w:r>
      <w:r>
        <w:rPr>
          <w:rFonts w:ascii="Times New Roman" w:hAnsi="Times New Roman" w:eastAsia="Times New Roman" w:cs="Times New Roman"/>
        </w:rPr>
        <w:t xml:space="preserve"> </w:t>
      </w:r>
      <w:r>
        <w:rPr>
          <w:rFonts w:ascii="Myanmar Text" w:hAnsi="Myanmar Text" w:eastAsia="Myanmar Text" w:cs="Myanmar Text"/>
        </w:rPr>
        <w:t>အောင်မြင်လိမ့်မည်။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ဆုံးဖြတ်ထားသောအရာသည်</w:t>
      </w:r>
      <w:r>
        <w:rPr>
          <w:rFonts w:ascii="Times New Roman" w:hAnsi="Times New Roman" w:eastAsia="Times New Roman" w:cs="Times New Roman"/>
        </w:rPr>
        <w:t xml:space="preserve"> </w:t>
      </w:r>
      <w:r>
        <w:rPr>
          <w:rFonts w:ascii="Myanmar Text" w:hAnsi="Myanmar Text" w:eastAsia="Myanmar Text" w:cs="Myanmar Text"/>
        </w:rPr>
        <w:t>ဖြစ်ပျက်ရမည်ဖြစ်သည်။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w:t>
      </w:r>
      <w:r>
        <w:rPr>
          <w:rFonts w:ascii="Myanmar Text" w:hAnsi="Myanmar Text" w:eastAsia="Myanmar Text" w:cs="Myanmar Text"/>
        </w:rPr>
        <w:t>၃၆။</w:t>
      </w:r>
    </w:p>
    <w:p>
      <w:pPr>
        <w:pStyle w:val="ArticleBody"/>
        <w:jc w:val="left"/>
      </w:pPr>
      <w:r>
        <w:rPr>
          <w:rFonts w:ascii="Times New Roman" w:hAnsi="Times New Roman" w:eastAsia="Times New Roman" w:cs="Times New Roman"/>
        </w:rPr>
        <w:t>Bile Paulo a te ƒe nyateƒe la, “Ame si ɖo nu ɖe eŋu, eye wòkɔ eɖokui ɖe ame sia ame si woaɖo be Mawu alo si wɔa subɔsubɔ na la tamɛ; ale be eya ŋutɔ abe Mawu ene nɔ Mawu ƒe xɔ me, le eɖokui fia ge be eyae nye Mawu,” Paulo le nyagbegbe me gblɔ Daniel nyagblɔɖila la ƒe nyatakaka ku ɖe “fia” si wɔ “nu si dzɔ le eƒe lɔlɔ nu” eye wòkɔ “eɖokui” eye wògɔme na “eɖokui ɖe mawu sia mawu tamɛ” la ŋu. Papa lae nye fia si gblɔ “nu wɔnuku tso Mawuwo ƒe Mawu la ŋu”, eye papa lae nye ŋusẽ si “ava dzidzedze vaseɖe esi” gbãtɔ “dɔmedzoe” la “ava wu enu” le 1798 me.</w:t>
      </w:r>
    </w:p>
    <w:p>
      <w:pPr>
        <w:pStyle w:val="ArticleBody"/>
        <w:jc w:val="left"/>
      </w:pPr>
      <w:r>
        <w:rPr>
          <w:rFonts w:ascii="Times New Roman" w:hAnsi="Times New Roman" w:eastAsia="Times New Roman" w:cs="Times New Roman"/>
        </w:rPr>
        <w:t>Daniel pasal sebelas, ayat tiga puluh enam, mutlak perlu difahami dengan tepat jika pertambahan pengetahuan pada tahun 1989 hendak difahami dengan tepat. Atas sebab ini, ajaran palsu bahawa raja dalam ayat itu ialah Perancis, sebagaimana diperkenalkan oleh Uriah Smith, telah diperkenalkan pada generasi pertama Adventisme (1863 hingga 1888). Smith telah mengubah teks ayat tiga puluh enam daripada “raja itu” (iaitu kepausan yang sedang dihuraikan dalam ayat-ayat sebelumnya) kepada “seorang raja” (mana-mana raja) agar dapat mengaitkan kepada Perancis ateistik ciri-ciri gaya penyembahan Rom, namun itu hanyalah titik tolak untuk mengemukakan teorinya yang digemarinya bahawa Turki ialah raja utara dalam ayat empat puluh dan seterusnya.</w:t>
      </w:r>
    </w:p>
    <w:p>
      <w:pPr>
        <w:pStyle w:val="ArticleBody"/>
        <w:jc w:val="left"/>
      </w:pPr>
      <w:r>
        <w:rPr>
          <w:rFonts w:ascii="Nirmala UI" w:hAnsi="Nirmala UI" w:eastAsia="Nirmala UI" w:cs="Nirmala UI"/>
        </w:rPr>
        <w:t>സാത്താൻ</w:t>
      </w:r>
      <w:r>
        <w:rPr>
          <w:rFonts w:ascii="Times New Roman" w:hAnsi="Times New Roman" w:eastAsia="Times New Roman" w:cs="Times New Roman"/>
        </w:rPr>
        <w:t xml:space="preserve"> </w:t>
      </w:r>
      <w:r>
        <w:rPr>
          <w:rFonts w:ascii="Nirmala UI" w:hAnsi="Nirmala UI" w:eastAsia="Nirmala UI" w:cs="Nirmala UI"/>
        </w:rPr>
        <w:t>വളരെ</w:t>
      </w:r>
      <w:r>
        <w:rPr>
          <w:rFonts w:ascii="Times New Roman" w:hAnsi="Times New Roman" w:eastAsia="Times New Roman" w:cs="Times New Roman"/>
        </w:rPr>
        <w:t xml:space="preserve"> </w:t>
      </w:r>
      <w:r>
        <w:rPr>
          <w:rFonts w:ascii="Nirmala UI" w:hAnsi="Nirmala UI" w:eastAsia="Nirmala UI" w:cs="Nirmala UI"/>
        </w:rPr>
        <w:t>പ്രാരംഭത്തിലേ</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വചനത്തിലെ</w:t>
      </w:r>
      <w:r>
        <w:rPr>
          <w:rFonts w:ascii="Times New Roman" w:hAnsi="Times New Roman" w:eastAsia="Times New Roman" w:cs="Times New Roman"/>
        </w:rPr>
        <w:t xml:space="preserve"> </w:t>
      </w:r>
      <w:r>
        <w:rPr>
          <w:rFonts w:ascii="Nirmala UI" w:hAnsi="Nirmala UI" w:eastAsia="Nirmala UI" w:cs="Nirmala UI"/>
        </w:rPr>
        <w:t>രാജാവ്</w:t>
      </w:r>
      <w:r>
        <w:rPr>
          <w:rFonts w:ascii="Times New Roman" w:hAnsi="Times New Roman" w:eastAsia="Times New Roman" w:cs="Times New Roman"/>
        </w:rPr>
        <w:t xml:space="preserve"> </w:t>
      </w:r>
      <w:r>
        <w:rPr>
          <w:rFonts w:ascii="Nirmala UI" w:hAnsi="Nirmala UI" w:eastAsia="Nirmala UI" w:cs="Nirmala UI"/>
        </w:rPr>
        <w:t>പാപ്പത്വമാണെന്ന</w:t>
      </w:r>
      <w:r>
        <w:rPr>
          <w:rFonts w:ascii="Times New Roman" w:hAnsi="Times New Roman" w:eastAsia="Times New Roman" w:cs="Times New Roman"/>
        </w:rPr>
        <w:t xml:space="preserve"> </w:t>
      </w:r>
      <w:r>
        <w:rPr>
          <w:rFonts w:ascii="Nirmala UI" w:hAnsi="Nirmala UI" w:eastAsia="Nirmala UI" w:cs="Nirmala UI"/>
        </w:rPr>
        <w:t>സത്യത്തെ</w:t>
      </w:r>
      <w:r>
        <w:rPr>
          <w:rFonts w:ascii="Times New Roman" w:hAnsi="Times New Roman" w:eastAsia="Times New Roman" w:cs="Times New Roman"/>
        </w:rPr>
        <w:t xml:space="preserve"> </w:t>
      </w:r>
      <w:r>
        <w:rPr>
          <w:rFonts w:ascii="Nirmala UI" w:hAnsi="Nirmala UI" w:eastAsia="Nirmala UI" w:cs="Nirmala UI"/>
        </w:rPr>
        <w:t>മങ്ങിയാക്കുവാൻ</w:t>
      </w:r>
      <w:r>
        <w:rPr>
          <w:rFonts w:ascii="Times New Roman" w:hAnsi="Times New Roman" w:eastAsia="Times New Roman" w:cs="Times New Roman"/>
        </w:rPr>
        <w:t xml:space="preserve"> </w:t>
      </w:r>
      <w:r>
        <w:rPr>
          <w:rFonts w:ascii="Nirmala UI" w:hAnsi="Nirmala UI" w:eastAsia="Nirmala UI" w:cs="Nirmala UI"/>
        </w:rPr>
        <w:t>തുടങ്ങി</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സത്യത്തിനായി</w:t>
      </w:r>
      <w:r>
        <w:rPr>
          <w:rFonts w:ascii="Times New Roman" w:hAnsi="Times New Roman" w:eastAsia="Times New Roman" w:cs="Times New Roman"/>
        </w:rPr>
        <w:t xml:space="preserve"> </w:t>
      </w:r>
      <w:r>
        <w:rPr>
          <w:rFonts w:ascii="Nirmala UI" w:hAnsi="Nirmala UI" w:eastAsia="Nirmala UI" w:cs="Nirmala UI"/>
        </w:rPr>
        <w:t>ദാനിയേലിന്റെ</w:t>
      </w:r>
      <w:r>
        <w:rPr>
          <w:rFonts w:ascii="Times New Roman" w:hAnsi="Times New Roman" w:eastAsia="Times New Roman" w:cs="Times New Roman"/>
        </w:rPr>
        <w:t xml:space="preserve"> </w:t>
      </w:r>
      <w:r>
        <w:rPr>
          <w:rFonts w:ascii="Nirmala UI" w:hAnsi="Nirmala UI" w:eastAsia="Nirmala UI" w:cs="Nirmala UI"/>
        </w:rPr>
        <w:t>സാക്ഷ്യത്തിന്</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സാക്ഷിയെ</w:t>
      </w:r>
      <w:r>
        <w:rPr>
          <w:rFonts w:ascii="Times New Roman" w:hAnsi="Times New Roman" w:eastAsia="Times New Roman" w:cs="Times New Roman"/>
        </w:rPr>
        <w:t xml:space="preserve"> </w:t>
      </w:r>
      <w:r>
        <w:rPr>
          <w:rFonts w:ascii="Nirmala UI" w:hAnsi="Nirmala UI" w:eastAsia="Nirmala UI" w:cs="Nirmala UI"/>
        </w:rPr>
        <w:t>നൽകുന്നത്</w:t>
      </w:r>
      <w:r>
        <w:rPr>
          <w:rFonts w:ascii="Times New Roman" w:hAnsi="Times New Roman" w:eastAsia="Times New Roman" w:cs="Times New Roman"/>
        </w:rPr>
        <w:t xml:space="preserve"> </w:t>
      </w:r>
      <w:r>
        <w:rPr>
          <w:rFonts w:ascii="Nirmala UI" w:hAnsi="Nirmala UI" w:eastAsia="Nirmala UI" w:cs="Nirmala UI"/>
        </w:rPr>
        <w:t>അപ്പൊസ്തലനായ</w:t>
      </w:r>
      <w:r>
        <w:rPr>
          <w:rFonts w:ascii="Times New Roman" w:hAnsi="Times New Roman" w:eastAsia="Times New Roman" w:cs="Times New Roman"/>
        </w:rPr>
        <w:t xml:space="preserve"> </w:t>
      </w:r>
      <w:r>
        <w:rPr>
          <w:rFonts w:ascii="Nirmala UI" w:hAnsi="Nirmala UI" w:eastAsia="Nirmala UI" w:cs="Nirmala UI"/>
        </w:rPr>
        <w:t>പൗലോസാണ്</w:t>
      </w:r>
      <w:r>
        <w:rPr>
          <w:rFonts w:ascii="Times New Roman" w:hAnsi="Times New Roman" w:eastAsia="Times New Roman" w:cs="Times New Roman"/>
        </w:rPr>
        <w:t xml:space="preserve">. </w:t>
      </w:r>
      <w:r>
        <w:rPr>
          <w:rFonts w:ascii="Nirmala UI" w:hAnsi="Nirmala UI" w:eastAsia="Nirmala UI" w:cs="Nirmala UI"/>
        </w:rPr>
        <w:t>സഹോദരി</w:t>
      </w:r>
      <w:r>
        <w:rPr>
          <w:rFonts w:ascii="Times New Roman" w:hAnsi="Times New Roman" w:eastAsia="Times New Roman" w:cs="Times New Roman"/>
        </w:rPr>
        <w:t xml:space="preserve"> </w:t>
      </w:r>
      <w:r>
        <w:rPr>
          <w:rFonts w:ascii="Nirmala UI" w:hAnsi="Nirmala UI" w:eastAsia="Nirmala UI" w:cs="Nirmala UI"/>
        </w:rPr>
        <w:t>വൈറ്റ്</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സാക്ഷിയെ</w:t>
      </w:r>
      <w:r>
        <w:rPr>
          <w:rFonts w:ascii="Times New Roman" w:hAnsi="Times New Roman" w:eastAsia="Times New Roman" w:cs="Times New Roman"/>
        </w:rPr>
        <w:t xml:space="preserve"> </w:t>
      </w:r>
      <w:r>
        <w:rPr>
          <w:rFonts w:ascii="Nirmala UI" w:hAnsi="Nirmala UI" w:eastAsia="Nirmala UI" w:cs="Nirmala UI"/>
        </w:rPr>
        <w:t>നൽകി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Bukan sahaja Syaitan berusaha mengaburkan kebenaran bahawa raja dalam ayat itu ialah paus, tetapi dengan menyelewengkan kebenaran yang terkandung dalam ayat itu, Syaitan juga telah mengaburkan makna apa yang diwakili oleh “kemurkaan” dalam ayat tersebut. Kepausan dalam ayat itu akan berjaya sampai tahun 1798 apabila ia menerima luka parahnya yang mematikan. Tahun 1798 ialah penghujung dua ribu lima ratus dua puluh tahun kemurkaan Allah yang dilaksanakan terhadap kerajaan utara Israel, bermula pada tahun 723 SM.</w:t>
      </w:r>
    </w:p>
    <w:p>
      <w:pPr>
        <w:pStyle w:val="ArticleBody"/>
        <w:jc w:val="left"/>
      </w:pPr>
      <w:r>
        <w:rPr>
          <w:rFonts w:ascii="Times New Roman" w:hAnsi="Times New Roman" w:eastAsia="Times New Roman" w:cs="Times New Roman"/>
        </w:rPr>
        <w:t>Kiranya Advenisme telah mempertahankan dan menegakkan “tujuh kali” pada tahun 1863, hampir mustahil bagi Uriah Smith untuk dapat meloloskan kebodohan semacam itu mengenai ayat tiga puluh enam, sebab “kemurkaan” itu tentu akan dipahami sebagai melambangkan kemurkaan pertama Allah selama “tujuh kali,” sehingga sama sekali tidak mempunyai hubungan apa pun dengan Prancis. Pertambahan pengetahuan pada tahun 1989 didukung oleh Paulus dalam bagian itu, dan karena alasan ini, amaran Paulus dalam bagian itu mengenai mereka yang tidak menerima kasih akan kebenaran, melainkan menerima kesesatan yang kuat, terjadi melalui penolakan mereka terhadap kebenaran-kebenaran yang Paulus kemukakan dalam bagian itu. Salah satu dari kebenaran itu ialah pengenalan yang benar akan raja negeri utara dalam Daniel pasal sebelas, ayat empat puluh sampai empat puluh lima.</w:t>
      </w:r>
    </w:p>
    <w:p>
      <w:pPr>
        <w:pStyle w:val="ArticleBody"/>
        <w:jc w:val="left"/>
      </w:pPr>
      <w:r>
        <w:rPr>
          <w:rFonts w:ascii="Times New Roman" w:hAnsi="Times New Roman" w:eastAsia="Times New Roman" w:cs="Times New Roman"/>
        </w:rPr>
        <w:t>Dalam petikan itu, setelah Paulus mengenal pasti paus Roma, dia mengenal pasti suatu urutan peristiwa pada akhir zaman yang menuju kepada Kedatangan Kristus yang Kedua, yang menjadi pokok pembicaraan petikan itu. Dia menyatakan, “kemudian orang durhaka itu akan dinyatakan.” “Orang durhaka” itu ialah paus, “yang akan dibinasakan Tuhan dengan nafas mulut-Nya, dan akan dimusnahkan-Nya dengan cahaya kedatangan-Nya.” Kemudian Paulus berkata, “Iaitu dia, yang kedatangannya adalah menurut pekerjaan Iblis dengan segala kuasa dan tanda-tanda dan mujizat-mujizat dusta.” Yesus ialah Dia “yang kedatangannya adalah menurut pekerjaan Iblis.”</w:t>
      </w:r>
    </w:p>
    <w:p>
      <w:pPr>
        <w:pStyle w:val="ArticleBody"/>
        <w:jc w:val="left"/>
      </w:pPr>
      <w:r>
        <w:rPr>
          <w:rFonts w:ascii="Times New Roman" w:hAnsi="Times New Roman" w:eastAsia="Times New Roman" w:cs="Times New Roman"/>
        </w:rPr>
        <w:t>Kerja mukjizat Iblis ialah tempoh waktu sejak Undang-Undang Hari Ahad yang bakal segera datang, hingga Mikhael bangkit dan masa percubaan manusia berakhir. Iblis tidak melakukan sebarang mukjizat sepanjang Tujuh Tulah Terakhir yang dicurahkan dari penutupan masa percubaan hingga Kristus datang kembali.</w:t>
      </w:r>
    </w:p>
    <w:p>
      <w:pPr>
        <w:pStyle w:val="ArticleScripture"/>
        <w:jc w:val="left"/>
      </w:pPr>
      <w:r>
        <w:rPr>
          <w:rFonts w:ascii="Times New Roman" w:hAnsi="Times New Roman" w:eastAsia="Times New Roman" w:cs="Times New Roman"/>
        </w:rPr>
        <w:t>“Kristus berfirman, ‘Dari buahnya kamu akan mengenal mereka.’ Jika mereka yang melaluinya penyembuhan dilakukan cenderung, karena manifestasi-manifestasi ini, membenarkan pengabaian mereka terhadap hukum Allah dan terus hidup dalam ketidaktaatan, walaupun mereka mempunyai kuasa dalam kadar apa pun dan sejauh apa pun, hal itu tidak berarti bahwa mereka memiliki kuasa Allah yang besar. Sebaliknya, itu adalah kuasa mukjizat dari penipu besar itu. Ia adalah pelanggar hukum moral, dan menggunakan setiap sarana yang dapat ia kuasai untuk membutakan manusia terhadap tabiat sejatinya. Kita diperingatkan bahwa pada hari-hari terakhir ia akan bekerja dengan tanda-tanda dan mukjizat-mukjizat dusta. Dan ia akan melanjutkan keajaiban-keajaiban ini sampai penutupan masa kasihan, supaya ia dapat menunjukkannya sebagai bukti bahwa ia adalah malaikat terang dan bukan malaikat kegelapan.” The Seventh-day Adventist Bible Commentary, volume 7, 911.</w:t>
      </w:r>
    </w:p>
    <w:p>
      <w:pPr>
        <w:pStyle w:val="ArticleBody"/>
        <w:jc w:val="left"/>
      </w:pPr>
      <w:r>
        <w:rPr>
          <w:rFonts w:ascii="Times New Roman" w:hAnsi="Times New Roman" w:eastAsia="Times New Roman" w:cs="Times New Roman"/>
        </w:rPr>
        <w:t>Paulo amajula leswaku a ku ta va ni ku wa loko ku rhanga ku paluxiwa ka vupapa, naswona Ku Vuya ka Vumbirhi ka Kreste a ku ta humelela “endzhaku ka” ntirho wa matimba wa Sathana. Ntirho wa matimba wa Sathana wu sungula hi nawu wa Sonto eUnited States, naswona wu hela hi ku fika ka ku pfariwa ka nkarhi wa tintswalo ni makhombo ya nkombo yo hetelela. Ntirho wa matimba wa Sathana wu sungula hi nawu wa Sonto eUnited States.</w:t>
      </w:r>
    </w:p>
    <w:p>
      <w:pPr>
        <w:pStyle w:val="ArticleScripture"/>
        <w:jc w:val="left"/>
      </w:pPr>
      <w:r>
        <w:rPr>
          <w:rFonts w:ascii="Times New Roman" w:hAnsi="Times New Roman" w:eastAsia="Times New Roman" w:cs="Times New Roman"/>
        </w:rPr>
        <w:t>“Ka pawlkut hrilhfiahna hmanga Papacy dinhmun chu Pathian dân kalh zâwngin tihnghehna a nih chuan, kan ram hian felna nêna inzawmna a phelh zo tawh ang. Protestantism chuan khawngaihna hmun hla tak zawh chuan Roman thuneihna kut a man ang a, a kut a pharh ang; thlîr hmun thuk tak pal tlangin Spiritualism nêna kut an inzawm ang; he inpawlhna pathum zui hian, kan ram hian Protestant leh republican sawrkar a nihna Constitution thupui zawng zawng a hnâwl ang a, papal dâwt thu leh bumna theh darhna tûrin a remruat ang; chutiang hunah chuan Setana thilmak taka thawhna hun a lo thleng tawh tih kan hre thei ang a, tawpna chu a hnaih tawh ang.” Testimonies, volume 5, 451.</w:t>
      </w:r>
    </w:p>
    <w:p>
      <w:pPr>
        <w:pStyle w:val="ArticleBody"/>
        <w:jc w:val="left"/>
      </w:pPr>
      <w:r>
        <w:rPr>
          <w:rFonts w:ascii="Times New Roman" w:hAnsi="Times New Roman" w:eastAsia="Times New Roman" w:cs="Times New Roman"/>
        </w:rPr>
        <w:t>Molao wa Sontaga ke bokhutlo jwa bogosi jwa borataro, sebata sa lefatshe sa Tshenolo kgaolo ya lesome le boraro. Sebata sa lefatshe se simolotse go busa kwa bokhutlong jwa dingwaga di le sekete, makgolo a mabedi le masome a marataro tsa puso ya bopapa ka 1798. Ka jalo bopapa bo ne jwa senolwa ka ngwaga wa 538, le fa go ntse jalo tiro ya jona ya go tsaya taolo ya lefatshe e ne e setse e dira fa Paulo a ne a kwala mafoko a gagwe. Pele ga ngwaga wa 538, go ne go tla nna le go wa, mo go neng go tla tla pele ga go senolwa ga monna wa boleo, a ntse mo tempeleng ya Modimo.</w:t>
      </w:r>
    </w:p>
    <w:p>
      <w:pPr>
        <w:pStyle w:val="ArticleBody"/>
        <w:jc w:val="left"/>
      </w:pPr>
      <w:r>
        <w:rPr>
          <w:rFonts w:ascii="Times New Roman" w:hAnsi="Times New Roman" w:eastAsia="Times New Roman" w:cs="Times New Roman"/>
        </w:rPr>
        <w:t>Kemurtadan itu dilambangkan oleh jemaat Pergamus ketika gereja Kristen berkompromi dengan agama paganisme, sebagaimana disimbolkan oleh kaisar Konstantinus. Paulus sedang mengenali patok-patok nubuatan yang harus terjadi sebelum Kedatangan Kristus yang Kedua. Setelah mengulangi apa yang sebelumnya telah ia ajarkan kepada jemaat Tesalonika, kemudian ia bertanya apakah mereka tidak ingat bahwa ia dahulu telah mengajarkan kebenaran-kebenaran ini kepada mereka? Lalu ia mengingatkan mereka bahwa mereka juga harus ingat bahwa ia telah mengajarkan kepada mereka bahwa suatu kuasa akan “menahan” kepausan “supaya” kepausan itu “dinyatakan pada waktunya?” Kata “menahan” berarti membatasi. Kata “menahan” itu kemudian, dalam bagian yang sama, diterjemahkan sebagai “yang sekarang menahan.”</w:t>
      </w:r>
    </w:p>
    <w:p>
      <w:pPr>
        <w:pStyle w:val="ArticleBody"/>
        <w:jc w:val="left"/>
      </w:pPr>
      <w:r>
        <w:rPr>
          <w:rFonts w:ascii="Times New Roman" w:hAnsi="Times New Roman" w:eastAsia="Times New Roman" w:cs="Times New Roman"/>
        </w:rPr>
        <w:t>Nnyeso yi, wokyere no yiye sɛ: “Na afei munim nea esiw adwumayɛfoɔ papa no kwan, na ama wɔada adwumayɛfoɔ papa no adi ne bere mu. Efisɛ amumɔyɛ ahintasɛm no (adwumayɛfoɔ papa no) afi ase reyɛ adwuma dedaw; nanso nea ɔresiw adwumayɛfoɔ papa no kwan mprempren no, ɔbɛkɔ so asiw adwumayɛfoɔ papa no kwan kosi sɛ wobeyi no afi hɔ.” Bere a William Miller huu saa nkyekyɛm yi wɔ Thessalonikafo mu no, ɔtee ase sɛ tumi a esiw adwumayɛfoɔ papa no kwan sɛ ɔrenforo asaase no ahengua so wɔ afe 538 mu no, ne abosonsomfoɔ Roma; na abosonsomfoɔ Roma no bɛsiw papa tumidi no mpɔtam kwan, kosi sɛ wobeyi abosonsomfoɔ Roma “afi hɔ.”</w:t>
      </w:r>
    </w:p>
    <w:p>
      <w:pPr>
        <w:pStyle w:val="ArticleScripture"/>
        <w:jc w:val="left"/>
      </w:pPr>
      <w:r>
        <w:rPr>
          <w:rFonts w:ascii="Times New Roman" w:hAnsi="Times New Roman" w:eastAsia="Times New Roman" w:cs="Times New Roman"/>
        </w:rPr>
        <w:t>“Ingaphakathi kweminyaka eyishumi nambili enganginguDeist, ngafunda yonke imilando engangingayithola; kodwa manje ngangisithanda iBhayibheli. Lalisifundisa ngoJesu! Kodwa nokho kwakusenengxenye enkulu yeBhayibheli eyayingimnyama kimi. Ngo-1818 noma ngo-19, ngenkathi ngixoxa nomngane engangimvakashele, owayengazi futhi engizwile ngikhuluma ngesikhathi ngisenguDeist, wangibuza, ngendlela enencazelo enkulu, wathi, ‘Ucabangani ngalombhalo, nangalona?’ ebhekisela emibhalweni yakudala engangiyiphikisa ngesikhathi ngisenguDeist. Ngaqonda ayekufuna, ngase ngiphendula ngathi—Uma uzonginika isikhathi, ngizokutshela ukuthi isho ukuthini. ‘Ufuna isikhathi esingakanani?’ Angazi, kodwa ngizokutshela, ngaphendula, ngoba ngangingakholwa ukuthi uNkulunkulu wayenikeze isambulo esingaqondakali. Khona lapho ngazimisela ukufunda iBhayibheli lami, ngikholwa ukuthi ngangingathola ukuthi uMoya oNgcwele wayeqonde ukuthini. Kodwa ngokushesha nje lapho sengenze leso sinqumo, kwafika kimi lo mcabango—‘Ake sithi uthola indima ongayiqondi, uzokwenzenjani?’ Khona-ke le ndlela yokufunda iBhayibheli yafika engqondweni yami:—Ngizothatha amagama alezo zindima, ngiwalandelele kulo lonke iBhayibheli, bese ngithola incazelo yawo ngaleyo ndlela. NganginoCruden’s Concordance, engicabanga ukuthi iyona ehamba phambili emhlabeni; ngakho ngayithatha kanye neBhayibheli lami, ngase ngihlala etafuleni lami lokubhala, futhi angifundanga lutho olunye, ngaphandle kwamaphephandaba kancane, ngoba ngangizimisele ukwazi ukuthi iBhayibheli lami lisho ukuthini.</w:t>
      </w:r>
    </w:p>
    <w:p>
      <w:pPr>
        <w:pStyle w:val="ArticleScripture"/>
        <w:jc w:val="left"/>
      </w:pPr>
      <w:r>
        <w:rPr>
          <w:rFonts w:ascii="Times New Roman" w:hAnsi="Times New Roman" w:eastAsia="Times New Roman" w:cs="Times New Roman"/>
        </w:rPr>
        <w:t>“Saya mulai pada Kejadian, lalu terus membaca dengan perlahan; dan ketika saya sampai pada suatu ayat yang tidak dapat saya pahami, saya menelusuri seluruh Alkitab untuk mengetahui artinya. Sesudah saya menelusuri Alkitab dengan cara demikian, oh, betapa terang dan mulianya kebenaran itu tampak! Saya menemukan apa yang telah saya khotbahkan kepada Anda. Saya menjadi yakin bahwa ketujuh masa itu berakhir pada tahun 1843. Kemudian saya sampai pada 2300 hari; semuanya itu membawa saya kepada kesimpulan yang sama; tetapi saya sama sekali tidak berpikir untuk mengetahui kapan Sang Juruselamat akan datang, dan saya tidak dapat mempercayainya; namun terang itu menyinari saya dengan begitu kuat sehingga saya tidak tahu apa yang harus saya lakukan. Lalu saya berpikir, saya harus mengenakan pacu dan kendali; saya tidak akan berjalan lebih cepat daripada Alkitab, dan saya tidak akan tertinggal di belakangnya. Apa pun yang diajarkan Alkitab, saya akan tetap berpegang kepadanya. Tetapi tetap saja ada beberapa ayat yang tidak dapat saya pahami.”</w:t>
      </w:r>
    </w:p>
    <w:p>
      <w:pPr>
        <w:pStyle w:val="ArticleScripture"/>
        <w:jc w:val="left"/>
      </w:pPr>
      <w:r>
        <w:rPr>
          <w:rFonts w:ascii="Times New Roman" w:hAnsi="Times New Roman" w:eastAsia="Times New Roman" w:cs="Times New Roman"/>
        </w:rPr>
        <w:t>“Demikianlah tentang cara umumnya mempelajari Alkitab. Pada kesempatan lain ia menjelaskan caranya menetapkan makna nats yang ada di hadapan kita—makna ‘yang terus-menerus.’ ‘Saya terus membaca,’ katanya, ‘dan tidak dapat menemukan kasus lain di mana istilah itu terdapat selain dalam Daniel. Lalu saya mengambil kata-kata yang berdiri dalam hubungannya, “meniadakan.” Ia akan meniadakan yang terus-menerus, “sejak waktu yang terus-menerus itu ditiadakan,” dan seterusnya. Saya terus membaca, dan menyangka bahwa saya tidak akan menemukan terang atas nats itu; akhirnya saya sampai kepada 2 Tesalonika 2:7–8. “Karena secara rahasia kedurhakaan telah mulai bekerja, hanya dia yang sekarang menahan akan terus menahan sampai ia disingkirkan; dan pada waktu itulah si durhaka itu akan dinyatakan,” dan seterusnya. Dan ketika saya sampai pada nats itu, oh, betapa jelas dan mulianya kebenaran itu tampak! Itulah dia! itulah “yang terus-menerus” itu! Nah, sekarang, apakah yang dimaksud Paulus dengan “dia yang sekarang menahan,” atau menghalangi? Dengan “manusia durhaka,” dan “si durhaka,” yang dimaksud ialah Kepausan. Nah, apakah yang menghalangi Kepausan untuk dinyatakan? Mengapa, itu adalah Kekafiran; maka, “yang terus-menerus” itu pasti berarti Kekafiran.’ William Miller, Apollos Hale, The Second Advent Manual, 65, 66.</w:t>
      </w:r>
    </w:p>
    <w:p>
      <w:pPr>
        <w:pStyle w:val="ArticleBody"/>
        <w:jc w:val="left"/>
      </w:pPr>
      <w:r>
        <w:rPr>
          <w:rFonts w:ascii="Times New Roman" w:hAnsi="Times New Roman" w:eastAsia="Times New Roman" w:cs="Times New Roman"/>
        </w:rPr>
        <w:t>Ta si ka lo lojang gore “bongwe le bongwe jwa letsatsi le letsatsi” mo bukeng ya Daniele e ne e le sesupo sa boheitene, go ka bo go bile thata thata gore Miller a tlhame motheo o a agile sebopego sa gagwe sa boperofeti mo go one. “Bongwe le bongwe jwa letsatsi le letsatsi” bo fitlhelwa makgetlo a le matlhano mo bukeng ya Daniele, mme ka tsotlhe bo latelwa ke sesupo sa bopapa. Bosupi jwa gore “bongwe le bongwe jwa letsatsi le letsatsi” mo bukeng ya Daniele ke boheitene bo fitlhelwa mo lekwalong la ga Paulo le a le kwaletseng Bathesalonika. Gone koo go na le nngwe ya ditlhagiso tse di bogale thata mo Lefokong la Modimo, gonne koo Paulo o bolela ka phepafalo gore bao ba sa rateng boammaaruri ba tla romelelwa tsietso e e thata. Boammaaruri jo bo neng jwa bewa ka boomo mo Bathesalonika e ne e le go supiwa ga kamano ya boheitene le bopapa, mme go gana boammaaruri joo ke go netefatsa gore ditlamorago tsa go bo gana e tla nna tsietso e e thata.</w:t>
      </w:r>
    </w:p>
    <w:p>
      <w:pPr>
        <w:pStyle w:val="ArticleBody"/>
        <w:jc w:val="left"/>
      </w:pPr>
      <w:r>
        <w:rPr>
          <w:rFonts w:ascii="Times New Roman" w:hAnsi="Times New Roman" w:eastAsia="Times New Roman" w:cs="Times New Roman"/>
        </w:rPr>
        <w:t>Kami akan melanjutkan pokok ini dalam artikel berikutnya.</w:t>
      </w:r>
    </w:p>
    <w:p>
      <w:pPr>
        <w:pStyle w:val="ArticleScripture"/>
        <w:jc w:val="left"/>
      </w:pPr>
      <w:r>
        <w:rPr>
          <w:rFonts w:ascii="Times New Roman" w:hAnsi="Times New Roman" w:eastAsia="Times New Roman" w:cs="Times New Roman"/>
        </w:rPr>
        <w:t>Tiŋaŋi en, na gita; ka ḍɔki ma, ka ḍɔki: adɔ mɛn, ama te na duri deya ye; adɔ tɛmbit mɛn, ama te na kasara sɛbɛli deya ye. Bala Atɛŋa ka suni jugu nimisigu ni i kan, ka i nɛgɛnw datugu: nabiw ni i kuntigiw, kilisiw, a ye olu datugu. Ni bɛɛ ye i ye i nɔgɔya i ko kitapɔ dɔ kumalen ye, mɔgɔw b’a di mɔgɔ min kalannen don ma, k’a fɔ ko: “Ne b’i delila, kalan nin.” A b’a fɔ ko: “N tɛ se; a kumalen don.” O kɔfɛ, bɛ kitapɔ di mɔgɔ min ma min tɛ kalannen ye, k’a fɔ ko: “Ne b’i delila, kalan nin.” A b’a fɔ ko: “N tɛ kalannen ye.” O de la Atɛŋa ko: “Sabula nin jama bɛ na masɔrɔ ne ma ni olu da ye, ka ne bonya ni olu dafalenw ye, nka olu ka olu jusu makoyi ne ma jan; olu ka siran ne ye, o kalanlen de ye ni mɔgɔw ka sariyaw ye. O de kosɔn, a ye n ye ka taa yɛlɛma baara kɛ nin jama cɛ, baara kabakuru dɔ ani ko harikɛ dɔ: bala olu ka hakilitigiw ka hakili bɛna halaki, olu ka faamuyatigiw ka faamu bɛna dogo.” Gbalo bɛ olu kan minnu bɛ olu ɲini ka olu laadi sutura Atɛŋa ma kɔrɔjan na, ni olu baaraw bɛ kɛ dibi la, ka fɔ ko: “Jɔn bɛ an ye? ani jɔn b’an dɔn?” Sika, i ka fɛnw filikɛli bɛna jatigi i ko fɔrɔnkɛla ka bɔgɔ ye: baara bɛ se ka fɔ a danbaga la ko: “A ma ne da”? walima fɛn min labɛnnen don bɛ se ka fɔ a labɛnnabaga la ko: “A ma faamu sɔrɔ”? Ezayi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Nombor Empat Puluh Satu</dc:title>
  <dc:subject>ཕའུལ་གྱི་ལུང་བསྟན་གྱི་ཞབས་ཏོག། སྔོན་གྱི་ཡིས་ར་ཨེལ་དང་ཆོས་ཉིད་ཀྱི་ཡིས་ར་ཨེལ་མཐུད་པ།</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