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Книгата на Даниел - Четириесет и седум број</w:t>
      </w:r>
    </w:p>
    <w:p>
      <w:pPr>
        <w:pStyle w:val="ArticleSubtitle"/>
        <w:jc w:val="left"/>
      </w:pPr>
      <w:r>
        <w:rPr>
          <w:rFonts w:ascii="Arial" w:hAnsi="Arial" w:eastAsia="Arial" w:cs="Arial"/>
        </w:rPr>
        <w:t>Menyingkap Doktrin-Doktrin yang Menyesatkan: Suatu Analisis Kritis atas Daniel 8 dan Tantangan-Tantangan terhadap Teologi Adventist</w:t>
      </w:r>
    </w:p>
    <w:p>
      <w:pPr>
        <w:pStyle w:val="ArticleByline"/>
        <w:jc w:val="left"/>
      </w:pPr>
      <w:r>
        <w:rPr>
          <w:rFonts w:ascii="Arial" w:hAnsi="Arial" w:eastAsia="Arial" w:cs="Arial"/>
        </w:rPr>
        <w:t>Jeff Pippenger</w:t>
      </w:r>
    </w:p>
    <w:p>
      <w:pPr>
        <w:pStyle w:val="ArticleDate"/>
        <w:jc w:val="left"/>
      </w:pPr>
      <w:r>
        <w:rPr>
          <w:rFonts w:ascii="Arial" w:hAnsi="Arial" w:eastAsia="Arial" w:cs="Arial"/>
        </w:rPr>
        <w:t>2024-01-11</w:t>
      </w:r>
    </w:p>
    <w:p>
      <w:pPr>
        <w:pStyle w:val="ArticleBody"/>
        <w:jc w:val="left"/>
      </w:pPr>
      <w:r>
        <w:rPr>
          <w:rFonts w:ascii="Times New Roman" w:hAnsi="Times New Roman" w:eastAsia="Times New Roman" w:cs="Times New Roman"/>
        </w:rPr>
        <w:t>Maba horn iŋeti yela Roma, mewakliiwe mu mapande ga tisa ku fika kumi na yabili ga Danieli sura ja nane, i nyasiyo maba ikolekiwe, ni kwaawi i nyasiyo ya kuvala nguo sya mukao au mgosi, mwevalaji wa msalaba wa nguo akujungujuka pangati pa ugosi ni ukike. Yipatana ni uelewa wa Wamillerite wa kuti Roma yakolekiwe kwa mafungu gabiili, fungu lya kwanza likiwa siasa ya dola ya Kirumi na fungu lya pili likiwa siasa ya kanisa la Kirumi; lakini mu kujungujuka kwa jinsi mu mapande ago, maba horn iŋeti i nje ya mfuatano wa kihistoria na wa kinabii (ikolekiwe vibaya). Hata ivo, kila lya mapande gani ga nne likwakilisha historia ihusikane moja kwa moja ama ni siasa ya dola ya Kirumi ama ni siasa ya kanisa la Kirumi. Roma ya kipagani yawatesile mateso wote waliokataa mamlaka yakwe ya kifalme, lakini mateso ga Roma ya kipapa (ya kike) mu fungu lya kumi, gakwelekezwa mahsusi dhidi ya mbingu.</w:t>
      </w:r>
    </w:p>
    <w:p>
      <w:pPr>
        <w:pStyle w:val="ArticleBody"/>
        <w:jc w:val="left"/>
      </w:pPr>
      <w:r>
        <w:rPr>
          <w:rFonts w:ascii="Times New Roman" w:hAnsi="Times New Roman" w:eastAsia="Times New Roman" w:cs="Times New Roman"/>
        </w:rPr>
        <w:t>Dalam pemahaman Millerit bahawa Rom ialah kerajaan yang keempat dan yang terakhir, peralihan yang berayun daripada negara kepada gereja lalu kepada negara dan kepada gereja lagi tidak akan menjadi suatu persoalan. Mereka telah melihat percampuran besi dan tanah liat pada kaki dalam Daniel pasal dua, dan sekadar memahaminya sebagai dua fasa Rom, tanpa keprihatinan untuk mentakrifkan suatu urutan sejarah yang khusus bagi kerajaan keempat dan kelima. Mereka memahami hal yang sama tentang pasal tujuh, di mana tanduk yang mengucapkan perkara-perkara besar menentang Yang Mahatinggi telah mencabut tiga tanduk daripada sepuluh tanduk asal binatang Rom itu. Sekalipun Miller memang mengenali ayunan jantina dalam ayat sembilan hingga dua belas, hal itu tidak penting bagi pemahamannya bahawa kerajaan keempat ialah Rom. Dalam pemahaman Millerit, kerajaan keempat berakhir pada tahun 1798, dan peristiwa nubuatan yang berikutnya ialah Kedatangan Kedua Kristus.</w:t>
      </w:r>
    </w:p>
    <w:p>
      <w:pPr>
        <w:pStyle w:val="ArticleBody"/>
        <w:jc w:val="left"/>
      </w:pPr>
      <w:r>
        <w:rPr>
          <w:rFonts w:ascii="Times New Roman" w:hAnsi="Times New Roman" w:eastAsia="Times New Roman" w:cs="Times New Roman"/>
        </w:rPr>
        <w:t>Lenaka la bosadi le supa mosadi yo o dirang boaka jwa semowa le lenaka la bonna, e bile o emetswe mo ditemaneng tsa lesome le tse lesome le bobedi.</w:t>
      </w:r>
    </w:p>
    <w:p>
      <w:pPr>
        <w:pStyle w:val="ArticleScripture"/>
        <w:jc w:val="left"/>
      </w:pPr>
      <w:r>
        <w:rPr>
          <w:rFonts w:ascii="Times New Roman" w:hAnsi="Times New Roman" w:eastAsia="Times New Roman" w:cs="Times New Roman"/>
        </w:rPr>
        <w:t>Nayo ikakua, hata kufikia jeshi la mbinguni; nayo ikawaangusha baadhi ya jeshi hilo na baadhi ya nyota chini, ikaikanyaga. Danieli 8:10.</w:t>
      </w:r>
    </w:p>
    <w:p>
      <w:pPr>
        <w:pStyle w:val="ArticleBody"/>
        <w:jc w:val="left"/>
      </w:pPr>
      <w:r>
        <w:rPr>
          <w:rFonts w:ascii="Times New Roman" w:hAnsi="Times New Roman" w:eastAsia="Times New Roman" w:cs="Times New Roman"/>
        </w:rPr>
        <w:t>Phihlelo ya maatla a bopapa e be e lebisitšwe kgahlanong le Bokriste (madira a legodimo), gomme temaneng ya lesomepedi Roma ya bopapa (ya botshehadi), e amogela maatla a go phetha mošomo wa yona wa polao ka baka la tlolo ya molao ya go otswa le dikgoši tša Yuropa.</w:t>
      </w:r>
    </w:p>
    <w:p>
      <w:pPr>
        <w:pStyle w:val="ArticleScripture"/>
        <w:jc w:val="left"/>
      </w:pPr>
      <w:r>
        <w:rPr>
          <w:rFonts w:ascii="Times New Roman" w:hAnsi="Times New Roman" w:eastAsia="Times New Roman" w:cs="Times New Roman"/>
        </w:rPr>
        <w:t>Mme go ne a newa yena kgatlhanong le setlhabelo sa ka metlha ka ntlha ya tlolo, mme ya latlhela boammaaruri fa fatshe; mme ya dira, ya ba ya atlega. Daniele 8:12.</w:t>
      </w:r>
    </w:p>
    <w:p>
      <w:pPr>
        <w:pStyle w:val="ArticleBody"/>
        <w:jc w:val="left"/>
      </w:pPr>
      <w:r>
        <w:rPr>
          <w:rFonts w:ascii="Times New Roman" w:hAnsi="Times New Roman" w:eastAsia="Times New Roman" w:cs="Times New Roman"/>
        </w:rPr>
        <w:t>“Host” dalam ayat itu melambangkan kuasa ketenteraan yang diberikan kepada kepausan “terhadap yang sehari-hari.” Perkataan “terhadap” bererti “daripada”. Daripada raja-raja kafir Eropah (Rom kafir), yang dilambangkan oleh “yang sehari-hari,” sokongan ketenteraan (suatu bala tentera) telah diberikan kepada kepausan “oleh sebab pelanggaran.” Gabungan gereja dan negara, dengan gereja menguasai hubungan itu, ialah “pelanggaran” tersebut. Anggur pelanggaran itu ialah darah orang Kristian. Setelah kepausan menguasai bala tentera Rom kafir, Rom kepausan (“ia”) “melemparkan kebenaran ke tanah; dan ia bertindak, serta berjaya.”</w:t>
      </w:r>
    </w:p>
    <w:p>
      <w:pPr>
        <w:pStyle w:val="ArticleBody"/>
        <w:jc w:val="left"/>
      </w:pPr>
      <w:r>
        <w:rPr>
          <w:rFonts w:ascii="Times New Roman" w:hAnsi="Times New Roman" w:eastAsia="Times New Roman" w:cs="Times New Roman"/>
        </w:rPr>
        <w:t>Dalam Daniel pasal sebelas, ayat tiga puluh satu, penyerahan bala tentera kepada Rom kepausan juga digambarkan:</w:t>
      </w:r>
    </w:p>
    <w:p>
      <w:pPr>
        <w:pStyle w:val="ArticleScripture"/>
        <w:jc w:val="left"/>
      </w:pPr>
      <w:r>
        <w:rPr>
          <w:rFonts w:ascii="Times New Roman" w:hAnsi="Times New Roman" w:eastAsia="Times New Roman" w:cs="Times New Roman"/>
        </w:rPr>
        <w:t>Le mabotho a tla ema ka lehlakoreng la hae, ’me a tla silafatsa sehalalelo sa matla, ’me a tla tlosa sehlabelo sa kamehla, ’me a tla beha manyala a etsang lesupi. Daniele 11:31.</w:t>
      </w:r>
    </w:p>
    <w:p>
      <w:pPr>
        <w:pStyle w:val="ArticleBody"/>
        <w:jc w:val="left"/>
      </w:pPr>
      <w:r>
        <w:rPr>
          <w:rFonts w:ascii="Times New Roman" w:hAnsi="Times New Roman" w:eastAsia="Times New Roman" w:cs="Times New Roman"/>
        </w:rPr>
        <w:t>Ayat itu mengenal pasti peralihan sejarah daripada Rom kafir kepada Rom kepausan. Dalam ayat itu, “lengan-lengan” ialah raja-raja Eropah yang mula bangkit untuk menyokong kepausan bermula dengan Clovis, raja orang Frank (Perancis), pada tahun 496. “Lengan-lengan” itu juga telah mencemarkan “tempat kudus kekuatan” (kota Rom), melalui peperangan yang berterusan dari abad keempat dan seterusnya hingga tahun 538. “Lengan-lengan” itu juga telah menyingkirkan penentangan kafir terhadap kebangkitan kepausan, dan menjelang tahun 508, penentangan kafir itu telah berakhir.</w:t>
      </w:r>
    </w:p>
    <w:p>
      <w:pPr>
        <w:pStyle w:val="ArticleBody"/>
        <w:jc w:val="left"/>
      </w:pPr>
      <w:r>
        <w:rPr>
          <w:rFonts w:ascii="Times New Roman" w:hAnsi="Times New Roman" w:eastAsia="Times New Roman" w:cs="Times New Roman"/>
        </w:rPr>
        <w:t>Kata yang diterjemahkan sebagai “mengambil,” ialah perkataan Ibrani “sur” dan bererti “menyingkirkan”. “Lengan-lengan” itu menempatkan “kekejian yang membinasakan” (kepausan) di atas takhta bumi pada tahun 538. Apabila Daniel fasal lapan, ayat dua belas menyatakan bahawa “suatu pasukan” telah diberikan kepada tanduk kecil yang bersifat feminin itu, hal itu sependapat dengan kesaksian ayat tiga puluh satu dalam fasal sebelas. Kitab Wahyu juga memberikan kesaksian tentang kebenaran yang sama dalam fasal tiga belas.</w:t>
      </w:r>
    </w:p>
    <w:p>
      <w:pPr>
        <w:pStyle w:val="ArticleScripture"/>
        <w:jc w:val="left"/>
      </w:pPr>
      <w:r>
        <w:rPr>
          <w:rFonts w:ascii="Times New Roman" w:hAnsi="Times New Roman" w:eastAsia="Times New Roman" w:cs="Times New Roman"/>
        </w:rPr>
        <w:t>Dan haiwan yang kulihat itu seperti seekor harimau bintang, dan kakinya seperti kaki beruang, dan mulutnya seperti mulut singa; dan naga itu memberikan kepadanya kuasanya, takhtanya, dan wewenang yang besar. Wahyu 13:2.</w:t>
      </w:r>
    </w:p>
    <w:p>
      <w:pPr>
        <w:pStyle w:val="ArticleBody"/>
        <w:jc w:val="left"/>
      </w:pPr>
      <w:r>
        <w:rPr>
          <w:rFonts w:ascii="Times New Roman" w:hAnsi="Times New Roman" w:eastAsia="Times New Roman" w:cs="Times New Roman"/>
        </w:rPr>
        <w:t>Kgaitsadi White o supa sebata sa temana ya bobedi ka go lebanya e le bopapa, gape o supa gore kgogela ya mo temaneng eo ke Roma ya boheitene. Roma ya boheitene e ne ya nea bopapa dilo tse tharo: “maatla a gagwe, le setulo sa gagwe, le taolo e kgolo.”</w:t>
      </w:r>
    </w:p>
    <w:p>
      <w:pPr>
        <w:pStyle w:val="ArticleBody"/>
        <w:jc w:val="left"/>
      </w:pPr>
      <w:r>
        <w:rPr>
          <w:rFonts w:ascii="Times New Roman" w:hAnsi="Times New Roman" w:eastAsia="Times New Roman" w:cs="Times New Roman"/>
        </w:rPr>
        <w:t>Ku nguzu ya kijeshi yo yahiwe n’i Roma y’abapagani itanguriye kuri Clovis mu mwaka wa 496. “Intebe” yo gutegekeraho yahawe ubupapa mu mwaka wa 330, igihe umwami w’abami Konstantini yimuriraga umurwa mukuru we i Constantinople, agasiga umujyi wari umurwa mukuru we wa mbere, ari wo Roma, utegekwa n’itorero rya papa. Mu mwaka wa 533, umwami w’abami Justiniani yategetse ko papa ari umutwe w’itorero kandi ko ari we ukosora abahakanyi, bityo ahindurira papa w’i Roma “ubutware bukomeye” bwe. Umurongo wa cumi na kabiri wo muri Daniyeli igice cya munani, werekana igihe “ingabo” zatangiwe, kandi uko kuri kwa gihanuzi guhamywa n’abahamya benshi. Uhereye kuri iyo ngingo y’igihe (guhera mu mwaka wa 496), ubupapa “bwungutse imbaraga.”</w:t>
      </w:r>
    </w:p>
    <w:p>
      <w:pPr>
        <w:pStyle w:val="ArticleBody"/>
        <w:jc w:val="left"/>
      </w:pPr>
      <w:r>
        <w:rPr>
          <w:rFonts w:ascii="Times New Roman" w:hAnsi="Times New Roman" w:eastAsia="Times New Roman" w:cs="Times New Roman"/>
        </w:rPr>
        <w:t>E tla tsoela pele go “dira” le go “atlega” go fihlela bofelo bja pefelo kgahlanong le mmušo wa lebowa wa Isiraele bo fela ka 1798, gomme bopapa bo amogela ntho ya bjona ya go bolaya.</w:t>
      </w:r>
    </w:p>
    <w:p>
      <w:pPr>
        <w:pStyle w:val="ArticleScripture"/>
        <w:jc w:val="left"/>
      </w:pPr>
      <w:r>
        <w:rPr>
          <w:rFonts w:ascii="Times New Roman" w:hAnsi="Times New Roman" w:eastAsia="Times New Roman" w:cs="Times New Roman"/>
        </w:rPr>
        <w:t>Rajalah akan bertindak menurut kehendaknya sendiri; ia akan meninggikan dirinya dan membesarkan dirinya di atas setiap allah, dan akan mengucapkan hal-hal yang ajaib menentang Allah segala allah, dan akan berhasil sampai kemurkaan itu digenapi; sebab apa yang telah ditetapkan akan terlaksana. Daniel 11:36.</w:t>
      </w:r>
    </w:p>
    <w:p>
      <w:pPr>
        <w:pStyle w:val="ArticleBody"/>
        <w:jc w:val="left"/>
      </w:pPr>
      <w:r>
        <w:rPr>
          <w:rFonts w:ascii="Times New Roman" w:hAnsi="Times New Roman" w:eastAsia="Times New Roman" w:cs="Times New Roman"/>
        </w:rPr>
        <w:t>Verse 9 dalam pasal 8 menggambarkan Roma maskulin (Roma kafir), dan melambangkan proses penaklukan tiga langkah yang telah dilaksanakan oleh Roma kafir, yang juga menipologikan tiga wilayah geografis yang harus ditaklukkan agar Roma kepausan ditegakkan di atas takhta bumi, sebagaimana dilambangkan oleh tiga tanduk yang dicabut dalam pasal 7. Kedua penaklukan tiga langkah oleh Roma kafir dan Roma kepausan itu melambangkan tiga rintangan geografis bagi Roma modern, dalam ayat 40 sampai 43 dari Daniel 11. Kemudian dalam pasal 8, ayat 11, tanduk kecil maskulin (Roma kafir) kembali digambarkan. Dalam ayat itu, logika yang disucikan begitu kokoh, sehingga orang-orang pencemooh yang memerintah Yerusalem terpaksa memperkenalkan beberapa dusta teologis untuk menegakkan dasar palsu mereka.</w:t>
      </w:r>
    </w:p>
    <w:p>
      <w:pPr>
        <w:pStyle w:val="ArticleScripture"/>
        <w:jc w:val="left"/>
      </w:pPr>
      <w:r>
        <w:rPr>
          <w:rFonts w:ascii="Times New Roman" w:hAnsi="Times New Roman" w:eastAsia="Times New Roman" w:cs="Times New Roman"/>
        </w:rPr>
        <w:t>Ee, o ne a ikgodisa go fitlha go Kgosana ya lesomosomo, mme ka ene setlhabelo sa ka metlha sa tlosiwa, mme lefelo la boitshepo jwa gagwe la digwa. Daniele 8:11.</w:t>
      </w:r>
    </w:p>
    <w:p>
      <w:pPr>
        <w:pStyle w:val="ArticleBody"/>
        <w:jc w:val="left"/>
      </w:pPr>
      <w:r>
        <w:rPr>
          <w:rFonts w:ascii="Times New Roman" w:hAnsi="Times New Roman" w:eastAsia="Times New Roman" w:cs="Times New Roman"/>
        </w:rPr>
        <w:t>Semasa kita mula membicarakan syiling dan permata palsu yang telah diperkenalkan ke dalam Adventisme sejak tahun 1863, perlulah diperhatikan bahawa terdapat dua bidang utama kepakaran teologi yang kononnya dimiliki oleh Adventisme, yang dijadikan dasar untuk mempertahankan doktrin-doktrin Protestantisme murtad dan Katolik. Dakwaan yang dibuat oleh para teolog moden Adventisme ialah bahawa mereka sama ada pakar dalam sejarah Alkitab, atau pakar dalam bahasa-bahasa Alkitab. Penerapan mereka terhadap ayat itu menyingkapkan bahawa firman nubuatan telah menjadi seperti sebuah kitab yang termeterai bagi mereka, dan juga menyingkapkan bahawa dakwaan mereka sebagai pakar dalam bahasa-bahasa Alkitab hanyalah manifestasi moden Fariseisme.</w:t>
      </w:r>
    </w:p>
    <w:p>
      <w:pPr>
        <w:pStyle w:val="ArticleBody"/>
        <w:jc w:val="left"/>
      </w:pPr>
      <w:r>
        <w:rPr>
          <w:rFonts w:ascii="Leelawadee UI" w:hAnsi="Leelawadee UI" w:eastAsia="Leelawadee UI" w:cs="Leelawadee UI"/>
        </w:rPr>
        <w:t>ទីមួយ</w:t>
      </w:r>
      <w:r>
        <w:rPr>
          <w:rFonts w:ascii="Times New Roman" w:hAnsi="Times New Roman" w:eastAsia="Times New Roman" w:cs="Times New Roman"/>
        </w:rPr>
        <w:t xml:space="preserve"> </w:t>
      </w:r>
      <w:r>
        <w:rPr>
          <w:rFonts w:ascii="Leelawadee UI" w:hAnsi="Leelawadee UI" w:eastAsia="Leelawadee UI" w:cs="Leelawadee UI"/>
        </w:rPr>
        <w:t>គឺការមិនអើពើចំពោះការប្រែប្រួលទៅវិញទៅមកនៃភេទវេយ្យាករណ៍</w:t>
      </w:r>
      <w:r>
        <w:rPr>
          <w:rFonts w:ascii="Times New Roman" w:hAnsi="Times New Roman" w:eastAsia="Times New Roman" w:cs="Times New Roman"/>
        </w:rPr>
        <w:t xml:space="preserve"> </w:t>
      </w:r>
      <w:r>
        <w:rPr>
          <w:rFonts w:ascii="Leelawadee UI" w:hAnsi="Leelawadee UI" w:eastAsia="Leelawadee UI" w:cs="Leelawadee UI"/>
        </w:rPr>
        <w:t>សម្រាប់ស្នែងតូចនៅក្នុងខទីប្រាំបួនដល់ខទីដប់ពីរ។</w:t>
      </w:r>
      <w:r>
        <w:rPr>
          <w:rFonts w:ascii="Times New Roman" w:hAnsi="Times New Roman" w:eastAsia="Times New Roman" w:cs="Times New Roman"/>
        </w:rPr>
        <w:t xml:space="preserve"> </w:t>
      </w:r>
      <w:r>
        <w:rPr>
          <w:rFonts w:ascii="Leelawadee UI" w:hAnsi="Leelawadee UI" w:eastAsia="Leelawadee UI" w:cs="Leelawadee UI"/>
        </w:rPr>
        <w:t>បើពួកគេពិតជាអ្នកជំនាញខាងភាសាហេប្រឺមែន</w:t>
      </w:r>
      <w:r>
        <w:rPr>
          <w:rFonts w:ascii="Times New Roman" w:hAnsi="Times New Roman" w:eastAsia="Times New Roman" w:cs="Times New Roman"/>
        </w:rPr>
        <w:t xml:space="preserve"> </w:t>
      </w:r>
      <w:r>
        <w:rPr>
          <w:rFonts w:ascii="Leelawadee UI" w:hAnsi="Leelawadee UI" w:eastAsia="Leelawadee UI" w:cs="Leelawadee UI"/>
        </w:rPr>
        <w:t>នោះពួកគេមិនគួរបដិសេធ</w:t>
      </w:r>
      <w:r>
        <w:rPr>
          <w:rFonts w:ascii="Times New Roman" w:hAnsi="Times New Roman" w:eastAsia="Times New Roman" w:cs="Times New Roman"/>
        </w:rPr>
        <w:t xml:space="preserve"> </w:t>
      </w:r>
      <w:r>
        <w:rPr>
          <w:rFonts w:ascii="Leelawadee UI" w:hAnsi="Leelawadee UI" w:eastAsia="Leelawadee UI" w:cs="Leelawadee UI"/>
        </w:rPr>
        <w:t>ឬបន្ថយទម្ងន់</w:t>
      </w:r>
      <w:r>
        <w:rPr>
          <w:rFonts w:ascii="Times New Roman" w:hAnsi="Times New Roman" w:eastAsia="Times New Roman" w:cs="Times New Roman"/>
        </w:rPr>
        <w:t xml:space="preserve"> </w:t>
      </w:r>
      <w:r>
        <w:rPr>
          <w:rFonts w:ascii="Leelawadee UI" w:hAnsi="Leelawadee UI" w:eastAsia="Leelawadee UI" w:cs="Leelawadee UI"/>
        </w:rPr>
        <w:t>នៃការពិតដែលថា</w:t>
      </w:r>
      <w:r>
        <w:rPr>
          <w:rFonts w:ascii="Times New Roman" w:hAnsi="Times New Roman" w:eastAsia="Times New Roman" w:cs="Times New Roman"/>
        </w:rPr>
        <w:t xml:space="preserve"> </w:t>
      </w:r>
      <w:r>
        <w:rPr>
          <w:rFonts w:ascii="Leelawadee UI" w:hAnsi="Leelawadee UI" w:eastAsia="Leelawadee UI" w:cs="Leelawadee UI"/>
        </w:rPr>
        <w:t>ដានីយ៉ែលបានប្រើដោយចេតនានូវការប្រែប្រួលភេទវេយ្យាករណ៍នៅក្នុងខទាំងនោះឡើយ។</w:t>
      </w:r>
      <w:r>
        <w:rPr>
          <w:rFonts w:ascii="Times New Roman" w:hAnsi="Times New Roman" w:eastAsia="Times New Roman" w:cs="Times New Roman"/>
        </w:rPr>
        <w:t xml:space="preserve"> </w:t>
      </w:r>
      <w:r>
        <w:rPr>
          <w:rFonts w:ascii="Leelawadee UI" w:hAnsi="Leelawadee UI" w:eastAsia="Leelawadee UI" w:cs="Leelawadee UI"/>
        </w:rPr>
        <w:t>ស្នែងតូចត្រូវបានតំណាងទាំងក្នុងភេទទាំងពីរ</w:t>
      </w:r>
      <w:r>
        <w:rPr>
          <w:rFonts w:ascii="Times New Roman" w:hAnsi="Times New Roman" w:eastAsia="Times New Roman" w:cs="Times New Roman"/>
        </w:rPr>
        <w:t xml:space="preserve"> </w:t>
      </w:r>
      <w:r>
        <w:rPr>
          <w:rFonts w:ascii="Leelawadee UI" w:hAnsi="Leelawadee UI" w:eastAsia="Leelawadee UI" w:cs="Leelawadee UI"/>
        </w:rPr>
        <w:t>ហើយភេទទាំងនោះប្រែប្រួលទៅមកតាមខទាំងនោះ។</w:t>
      </w:r>
      <w:r>
        <w:rPr>
          <w:rFonts w:ascii="Times New Roman" w:hAnsi="Times New Roman" w:eastAsia="Times New Roman" w:cs="Times New Roman"/>
        </w:rPr>
        <w:t xml:space="preserve"> </w:t>
      </w:r>
      <w:r>
        <w:rPr>
          <w:rFonts w:ascii="Leelawadee UI" w:hAnsi="Leelawadee UI" w:eastAsia="Leelawadee UI" w:cs="Leelawadee UI"/>
        </w:rPr>
        <w:t>ពួកទេវវិទូព្យាយាមបិទបាំងការពិតនេះដោយរឿងឥតន័យ</w:t>
      </w:r>
      <w:r>
        <w:rPr>
          <w:rFonts w:ascii="Times New Roman" w:hAnsi="Times New Roman" w:eastAsia="Times New Roman" w:cs="Times New Roman"/>
        </w:rPr>
        <w:t xml:space="preserve"> </w:t>
      </w:r>
      <w:r>
        <w:rPr>
          <w:rFonts w:ascii="Leelawadee UI" w:hAnsi="Leelawadee UI" w:eastAsia="Leelawadee UI" w:cs="Leelawadee UI"/>
        </w:rPr>
        <w:t>និងកាក់ក្លែងក្លាយ</w:t>
      </w:r>
      <w:r>
        <w:rPr>
          <w:rFonts w:ascii="Times New Roman" w:hAnsi="Times New Roman" w:eastAsia="Times New Roman" w:cs="Times New Roman"/>
        </w:rPr>
        <w:t xml:space="preserve"> </w:t>
      </w:r>
      <w:r>
        <w:rPr>
          <w:rFonts w:ascii="Leelawadee UI" w:hAnsi="Leelawadee UI" w:eastAsia="Leelawadee UI" w:cs="Leelawadee UI"/>
        </w:rPr>
        <w:t>ពីព្រោះវាបញ្ជាក់យ៉ាងច្បាស់ថា</w:t>
      </w:r>
      <w:r>
        <w:rPr>
          <w:rFonts w:ascii="Times New Roman" w:hAnsi="Times New Roman" w:eastAsia="Times New Roman" w:cs="Times New Roman"/>
        </w:rPr>
        <w:t xml:space="preserve"> </w:t>
      </w:r>
      <w:r>
        <w:rPr>
          <w:rFonts w:ascii="Leelawadee UI" w:hAnsi="Leelawadee UI" w:eastAsia="Leelawadee UI" w:cs="Leelawadee UI"/>
        </w:rPr>
        <w:t>ខទីដប់មួយកំពុងកំណត់សម្គាល់ទៅលើរ៉ូមបាកាន</w:t>
      </w:r>
      <w:r>
        <w:rPr>
          <w:rFonts w:ascii="Times New Roman" w:hAnsi="Times New Roman" w:eastAsia="Times New Roman" w:cs="Times New Roman"/>
        </w:rPr>
        <w:t xml:space="preserve"> </w:t>
      </w:r>
      <w:r>
        <w:rPr>
          <w:rFonts w:ascii="Leelawadee UI" w:hAnsi="Leelawadee UI" w:eastAsia="Leelawadee UI" w:cs="Leelawadee UI"/>
        </w:rPr>
        <w:t>មិនមែនរ៉ូមប៉ាបឡើយ។</w:t>
      </w:r>
      <w:r>
        <w:rPr>
          <w:rFonts w:ascii="Times New Roman" w:hAnsi="Times New Roman" w:eastAsia="Times New Roman" w:cs="Times New Roman"/>
        </w:rPr>
        <w:t xml:space="preserve"> </w:t>
      </w:r>
      <w:r>
        <w:rPr>
          <w:rFonts w:ascii="Leelawadee UI" w:hAnsi="Leelawadee UI" w:eastAsia="Leelawadee UI" w:cs="Leelawadee UI"/>
        </w:rPr>
        <w:t>ជាការពិត</w:t>
      </w:r>
      <w:r>
        <w:rPr>
          <w:rFonts w:ascii="Times New Roman" w:hAnsi="Times New Roman" w:eastAsia="Times New Roman" w:cs="Times New Roman"/>
        </w:rPr>
        <w:t xml:space="preserve"> </w:t>
      </w:r>
      <w:r>
        <w:rPr>
          <w:rFonts w:ascii="Leelawadee UI" w:hAnsi="Leelawadee UI" w:eastAsia="Leelawadee UI" w:cs="Leelawadee UI"/>
        </w:rPr>
        <w:t>ពួកគេទទូចថា</w:t>
      </w:r>
      <w:r>
        <w:rPr>
          <w:rFonts w:ascii="Times New Roman" w:hAnsi="Times New Roman" w:eastAsia="Times New Roman" w:cs="Times New Roman"/>
        </w:rPr>
        <w:t xml:space="preserve"> </w:t>
      </w:r>
      <w:r>
        <w:rPr>
          <w:rFonts w:ascii="Leelawadee UI" w:hAnsi="Leelawadee UI" w:eastAsia="Leelawadee UI" w:cs="Leelawadee UI"/>
        </w:rPr>
        <w:t>ស្នែងតូចនៅក្នុងខទីដប់មួយគឺជាសម្តេចប៉ាប</w:t>
      </w:r>
      <w:r>
        <w:rPr>
          <w:rFonts w:ascii="Times New Roman" w:hAnsi="Times New Roman" w:eastAsia="Times New Roman" w:cs="Times New Roman"/>
        </w:rPr>
        <w:t xml:space="preserve"> </w:t>
      </w:r>
      <w:r>
        <w:rPr>
          <w:rFonts w:ascii="Leelawadee UI" w:hAnsi="Leelawadee UI" w:eastAsia="Leelawadee UI" w:cs="Leelawadee UI"/>
        </w:rPr>
        <w:t>ខណៈដែលតាមពិតវាគឺជារ៉ូមបាកាន។</w:t>
      </w:r>
    </w:p>
    <w:p>
      <w:pPr>
        <w:pStyle w:val="ArticleBody"/>
        <w:jc w:val="left"/>
      </w:pPr>
      <w:r>
        <w:rPr>
          <w:rFonts w:ascii="Times New Roman" w:hAnsi="Times New Roman" w:eastAsia="Times New Roman" w:cs="Times New Roman"/>
        </w:rPr>
        <w:t>Apabila diakui bahawa dua daripada empat ayat tentang tanduk kecil itu bersifat maskulin dan dua lagi bersifat feminin, maka mudah untuk memasukkan kebenaran alkitabiah bahawa seorang perempuan dalam nubuatan Alkitab melambangkan sebuah gereja, dan seorang lelaki melambangkan sebuah negara. Mengetahui hal ini memungkinkan semua orang yang mahu melihat, bahawa tanduk kecil dalam ayat sebelas ialah Rom yang maskulin (Rom pagan), bukan Rom yang feminin (Rom kepausan).</w:t>
      </w:r>
    </w:p>
    <w:p>
      <w:pPr>
        <w:pStyle w:val="ArticleBody"/>
        <w:jc w:val="left"/>
      </w:pPr>
      <w:r>
        <w:rPr>
          <w:rFonts w:ascii="Times New Roman" w:hAnsi="Times New Roman" w:eastAsia="Times New Roman" w:cs="Times New Roman"/>
        </w:rPr>
        <w:t>Ayat itu, dengan demikian, dipahami sebagai mengajarkan bahwa Roma kafir (ia) membesarkan dirinya terhadap Panglima bala tentara, sebagaimana Roma kafir telah lakukan ketika ia menempatkan Panglima bala tentara di atas salib Kalvari. Bukan sahaja Roma kafir membesarkan dirinya menentang Kristus di salib, ayat itu seterusnya mengatakan bahawa olehnya (Roma kafir) “korban harian telah dihapuskan.”</w:t>
      </w:r>
    </w:p>
    <w:p>
      <w:pPr>
        <w:pStyle w:val="ArticleBody"/>
        <w:jc w:val="left"/>
      </w:pPr>
      <w:r>
        <w:rPr>
          <w:rFonts w:ascii="Times New Roman" w:hAnsi="Times New Roman" w:eastAsia="Times New Roman" w:cs="Times New Roman"/>
        </w:rPr>
        <w:t>Dalam kitab Daniel terdapat dua perkataan Ibrani yang kedua-duanya diterjemahkan sebagai “mengambil away.” Perkataan-perkataan itu ialah “sur” dan “rum”. Kedua-dua perkataan ini digunakan dalam pelayanan tempat kudus. “Sur” bererti mengambil away atau menyingkirkan, dan apabila abu dari mezbah di tempat kudus disingkirkan, perkataan yang digunakan untuk menggambarkan penyingkiran abu itu ialah “sur”. Perkataan “rum” bererti mengangkat dan meninggikan, dan apabila imam di tempat kudus harus mengangkat persembahan unjukan, dia harus “rum” (mengangkat) persembahan itu. Dalam ayat sebelas, Rom kafir (“the daily”) akan “rum” (mengambil away) kekafiran dengan mengangkat dan meninggikan agama kekafiran.</w:t>
      </w:r>
    </w:p>
    <w:p>
      <w:pPr>
        <w:pStyle w:val="ArticleBody"/>
        <w:jc w:val="left"/>
      </w:pPr>
      <w:r>
        <w:rPr>
          <w:rFonts w:ascii="Times New Roman" w:hAnsi="Times New Roman" w:eastAsia="Times New Roman" w:cs="Times New Roman"/>
        </w:rPr>
        <w:t>Rom Kafir akan meninggikan dan memuliakan agama kekafiran. Para ahli teologi Advent yang mengaku mahir dalam bahasa-bahasa Alkitab memilih untuk memperlakukan setiap kemunculan frasa “take away” dalam kitab Daniel sebagai “remove”. Mereka gagal mengakui penulisan Daniel yang khas dan tepat, dan dengan demikian menempatkan diri mereka di atas nabi Daniel.</w:t>
      </w:r>
    </w:p>
    <w:p>
      <w:pPr>
        <w:pStyle w:val="ArticleBody"/>
        <w:jc w:val="left"/>
      </w:pPr>
      <w:r>
        <w:rPr>
          <w:rFonts w:ascii="Times New Roman" w:hAnsi="Times New Roman" w:eastAsia="Times New Roman" w:cs="Times New Roman"/>
        </w:rPr>
        <w:t>ꞌOo theologians dhálíi biblikal bizaad yee haneʼgo bee nitsáhákees tʼáá ajiłiiʼígíí, Daniel naaltsoos bee haneʼgo tʼáá íiyisí dóó bee haneʼgo aadóóshłį́į́ʼgo, tʼáá łikanígo nídahwiidoolʼaahígíí biniiyé haneʼ dooleełgo bee yáhootʼééł. Áádóó daʼdíílwoʼígíí bizaad biniiyé nitsáhákees doo nidaalnish da, áádóó tʼáá nihá átʼéego yáhootʼééłígíí bee daʼdeeshʼą́ą́łgo, tʼáá ałtsonígo łahgo daalnish dóó tʼáá dineʼégo haneʼ yáhootʼééł. Biblikal history yee haneʼgo bee nitsáhákees tʼáá ajiłiiʼígíí, haneʼgo daatsʼíísí bee haneʼ baa nitsáhákeesgo, history biyiʼ dóó bee hodíílnihígíí tʼáá łahgo átʼéego, tʼáá íiyisí bizaad shí éí tʼáá ałtso yáhootʼééł da dooleeł, áádóó Daniel aadóó tʼáá ałtsʼísí da bizaad náásgóógo, history yee átʼéego bee nitsáhákeesíí tʼáá éí hwiinítʼį́į́łgo Daniel tʼáá áníłtsoíígíí bee yáhootʼééł. Díí naaki łahda hózhǫ́ǫ́gi doo nisin da bee haneʼgo baa nitsáhákeesgo hwiinítʼį́į́ł níłchʼiʼígíí, tʼáá ákótʼéego theologians “line upon line” hodoolnih biyiʼgóó doo nidaalnish da nitsáhákeesgo, díí bee saad daatsʼíísí yee dah naashá.</w:t>
      </w:r>
    </w:p>
    <w:p>
      <w:pPr>
        <w:pStyle w:val="ArticleScripture"/>
        <w:jc w:val="left"/>
      </w:pPr>
      <w:r>
        <w:rPr>
          <w:rFonts w:ascii="Times New Roman" w:hAnsi="Times New Roman" w:eastAsia="Times New Roman" w:cs="Times New Roman"/>
        </w:rPr>
        <w:t>Ia meninggikan dirinya bahkan sampai kepada Panglima bala tentera, dan oleh dia korban sehari-hari itu telah diambil, dan tempat tempat kudus-Nya telah dirobohkan. Daniel 8:11.</w:t>
      </w:r>
    </w:p>
    <w:p>
      <w:pPr>
        <w:pStyle w:val="ArticleBody"/>
        <w:jc w:val="left"/>
      </w:pPr>
      <w:r>
        <w:rPr>
          <w:rFonts w:ascii="Times New Roman" w:hAnsi="Times New Roman" w:eastAsia="Times New Roman" w:cs="Times New Roman"/>
        </w:rPr>
        <w:t>Perkataan yang diterjemahkan sebagai “diambil” dalam ayat itu bererti “diangkat dan ditinggikan”. Perkataan itu tidak bererti disingkirkan. Fakta ini menimbulkan kekeliruan dan percanggahan bagi para teolog Adventis, kerana premis mereka tidak dapat bertahan di bawah penilaian yang sederhana terhadap ayat itu, apabila takrif sebenar bagi perkataan yang digunakan Daniel diterapkan pada ayat tersebut. Mereka berhujah bahawa tanduk kecil dalam ayat itu ialah Roma kepausan, dan oleh itu ayat itu akan berbunyi bahawa “olehnya” (Roma kepausan) “yang berterusan itu diangkat.”</w:t>
      </w:r>
    </w:p>
    <w:p>
      <w:pPr>
        <w:pStyle w:val="ArticleBody"/>
        <w:jc w:val="left"/>
      </w:pPr>
      <w:r>
        <w:rPr>
          <w:rFonts w:ascii="Times New Roman" w:hAnsi="Times New Roman" w:eastAsia="Times New Roman" w:cs="Times New Roman"/>
        </w:rPr>
        <w:t>Mereka, tentu saja, tidak mempunyai masalah untuk memasukkan kata tambahan yang menurut Sister White secara langsung telah ditambahkan oleh hikmat manusia dan tidak berlaku bagi teks itu.</w:t>
      </w:r>
    </w:p>
    <w:p>
      <w:pPr>
        <w:pStyle w:val="ArticleScripture"/>
        <w:jc w:val="left"/>
      </w:pPr>
      <w:r>
        <w:rPr>
          <w:rFonts w:ascii="Times New Roman" w:hAnsi="Times New Roman" w:eastAsia="Times New Roman" w:cs="Times New Roman"/>
        </w:rPr>
        <w:t>“</w:t>
      </w:r>
      <w:r>
        <w:rPr>
          <w:rFonts w:ascii="Nirmala UI" w:hAnsi="Nirmala UI" w:eastAsia="Nirmala UI" w:cs="Nirmala UI"/>
        </w:rPr>
        <w:t>ਦਾਨੀਏਲ</w:t>
      </w:r>
      <w:r>
        <w:rPr>
          <w:rFonts w:ascii="Times New Roman" w:hAnsi="Times New Roman" w:eastAsia="Times New Roman" w:cs="Times New Roman"/>
        </w:rPr>
        <w:t xml:space="preserve"> 8:12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ਰੋਜ਼ਾਨਾ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ਸੰਬੰਧ</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ਮੈਨੂੰ</w:t>
      </w:r>
      <w:r>
        <w:rPr>
          <w:rFonts w:ascii="Times New Roman" w:hAnsi="Times New Roman" w:eastAsia="Times New Roman" w:cs="Times New Roman"/>
        </w:rPr>
        <w:t xml:space="preserve"> </w:t>
      </w:r>
      <w:r>
        <w:rPr>
          <w:rFonts w:ascii="Nirmala UI" w:hAnsi="Nirmala UI" w:eastAsia="Nirmala UI" w:cs="Nirmala UI"/>
        </w:rPr>
        <w:t>ਫਿਰ</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ਵਿਖਾਇਆ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ਬਲੀਦਾਨ</w:t>
      </w:r>
      <w:r>
        <w:rPr>
          <w:rFonts w:ascii="Times New Roman" w:hAnsi="Times New Roman" w:eastAsia="Times New Roman" w:cs="Times New Roman"/>
        </w:rPr>
        <w:t xml:space="preserve">’ </w:t>
      </w:r>
      <w:r>
        <w:rPr>
          <w:rFonts w:ascii="Nirmala UI" w:hAnsi="Nirmala UI" w:eastAsia="Nirmala UI" w:cs="Nirmala UI"/>
        </w:rPr>
        <w:t>ਸ਼ਬਦ</w:t>
      </w:r>
      <w:r>
        <w:rPr>
          <w:rFonts w:ascii="Times New Roman" w:hAnsi="Times New Roman" w:eastAsia="Times New Roman" w:cs="Times New Roman"/>
        </w:rPr>
        <w:t xml:space="preserve"> </w:t>
      </w:r>
      <w:r>
        <w:rPr>
          <w:rFonts w:ascii="Nirmala UI" w:hAnsi="Nirmala UI" w:eastAsia="Nirmala UI" w:cs="Nirmala UI"/>
        </w:rPr>
        <w:t>ਮਨੁੱਖੀ</w:t>
      </w:r>
      <w:r>
        <w:rPr>
          <w:rFonts w:ascii="Times New Roman" w:hAnsi="Times New Roman" w:eastAsia="Times New Roman" w:cs="Times New Roman"/>
        </w:rPr>
        <w:t xml:space="preserve"> </w:t>
      </w:r>
      <w:r>
        <w:rPr>
          <w:rFonts w:ascii="Nirmala UI" w:hAnsi="Nirmala UI" w:eastAsia="Nirmala UI" w:cs="Nirmala UI"/>
        </w:rPr>
        <w:t>ਬੁੱਧੀ</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ਜੋੜਿਆ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ਮੂਲ</w:t>
      </w:r>
      <w:r>
        <w:rPr>
          <w:rFonts w:ascii="Times New Roman" w:hAnsi="Times New Roman" w:eastAsia="Times New Roman" w:cs="Times New Roman"/>
        </w:rPr>
        <w:t xml:space="preserve"> </w:t>
      </w:r>
      <w:r>
        <w:rPr>
          <w:rFonts w:ascii="Nirmala UI" w:hAnsi="Nirmala UI" w:eastAsia="Nirmala UI" w:cs="Nirmala UI"/>
        </w:rPr>
        <w:t>ਪਾਠ</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ਹਿੱਸਾ</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ਪ੍ਰਭੂ</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ਸਹੀ</w:t>
      </w:r>
      <w:r>
        <w:rPr>
          <w:rFonts w:ascii="Times New Roman" w:hAnsi="Times New Roman" w:eastAsia="Times New Roman" w:cs="Times New Roman"/>
        </w:rPr>
        <w:t xml:space="preserve"> </w:t>
      </w:r>
      <w:r>
        <w:rPr>
          <w:rFonts w:ascii="Nirmala UI" w:hAnsi="Nirmala UI" w:eastAsia="Nirmala UI" w:cs="Nirmala UI"/>
        </w:rPr>
        <w:t>ਸਮਝ</w:t>
      </w:r>
      <w:r>
        <w:rPr>
          <w:rFonts w:ascii="Times New Roman" w:hAnsi="Times New Roman" w:eastAsia="Times New Roman" w:cs="Times New Roman"/>
        </w:rPr>
        <w:t xml:space="preserve"> </w:t>
      </w:r>
      <w:r>
        <w:rPr>
          <w:rFonts w:ascii="Nirmala UI" w:hAnsi="Nirmala UI" w:eastAsia="Nirmala UI" w:cs="Nirmala UI"/>
        </w:rPr>
        <w:t>ਉਹਨਾਂ</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ਨਿਆਂ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ਘੜੀ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ਪੁਕਾਰ</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Early Writings, 74.</w:t>
      </w:r>
    </w:p>
    <w:p>
      <w:pPr>
        <w:pStyle w:val="ArticleBody"/>
        <w:jc w:val="left"/>
      </w:pPr>
      <w:r>
        <w:rPr>
          <w:rFonts w:ascii="Times New Roman" w:hAnsi="Times New Roman" w:eastAsia="Times New Roman" w:cs="Times New Roman"/>
        </w:rPr>
        <w:t>Yane kaning “the daily” bilang ministerio ni Cristo sa santuario, kaya ang “araw-adlaw nga halad” nagapalig-on sa konsepto nga ang “the daily” amo ang haladnon nga buluhaton ni Cristo sa langitnon nga santuario. Apang ang inspirasyon nagapaila nga ang pulong nga “sacrifice” “indi kabahin sang teksto”.</w:t>
      </w:r>
    </w:p>
    <w:p>
      <w:pPr>
        <w:pStyle w:val="ArticleBody"/>
        <w:jc w:val="left"/>
      </w:pPr>
      <w:r>
        <w:rPr>
          <w:rFonts w:ascii="Times New Roman" w:hAnsi="Times New Roman" w:eastAsia="Times New Roman" w:cs="Times New Roman"/>
        </w:rPr>
        <w:t>Apabila para pemabuk Efraim mengenal pasti “yang berterusan” sebagai pekerjaan tempat kudus Kristus, maka ayat itu akan berbunyi, “olehnya” (Roma kepausan) “yang berterusan itu telah diambil,” atau ia akan berbunyi, “oleh kuasa kepausan, pelayanan tempat kudus Kristus telah diambil.” Mereka benar-benar mengajarkan kepalsuan ini. Mereka menegaskan bahawa melalui kegelapan pemerintahan kepausan, pemahaman yang benar tentang pelayanan tempat kudus Kristus telah disingkirkan dari fikiran manusia.</w:t>
      </w:r>
    </w:p>
    <w:p>
      <w:pPr>
        <w:pStyle w:val="ArticleBody"/>
        <w:jc w:val="left"/>
      </w:pPr>
      <w:r>
        <w:rPr>
          <w:rFonts w:ascii="Times New Roman" w:hAnsi="Times New Roman" w:eastAsia="Times New Roman" w:cs="Times New Roman"/>
        </w:rPr>
        <w:t>Amasu agahinduwe ngo “gukuraho,” ntashaka kuvanaho, ahubwo asobanura kuzamura no gushyira hejuru. Iyaba abiyita inzobere mu ndimi za Bibiliya bashyiraga neza ku murongo uwo busobanuro bw’ijambo ry’Igiheburayo “rum,” ihindurwamvugo ryabo ryagombaga kuvuga riti, “kubw’ububasha bwa papa, umurimo wa Kristo wo mu buturo bwera warazamuwe kandi ushyirwa hejuru.” Ni ryari ubupapa bwigeze buzamura kandi bugashyira Kristo hejuru?</w:t>
      </w:r>
    </w:p>
    <w:p>
      <w:pPr>
        <w:pStyle w:val="ArticleBody"/>
        <w:jc w:val="left"/>
      </w:pPr>
      <w:r>
        <w:rPr>
          <w:rFonts w:ascii="Times New Roman" w:hAnsi="Times New Roman" w:eastAsia="Times New Roman" w:cs="Times New Roman"/>
        </w:rPr>
        <w:t>Bɔ wɔyɛ mmerɛ sɛ wɔde nkyerɛase a ɛwɔ Hebri asɛmfua “sur” no bɛhyɛ Hebri asɛmfua “rum” no so. Daniel de asɛmfua “sur,” a ne nkyerɛase ne yi fi hɔ, dii dwuma wɔ “daa daa no” ho wɔ nkyekyɛm foforo abien mu, nanso wɔ nkyekyɛm dubaako mu no, Daniel paw asɛmfua “rum” a ɛkyerɛ ma so ne kamfo. Ɛnyɛ sɛ anansesɛm a wɔaka afa nkyekyɛm yi ho no yɛ nkwaseasɛm esiane asɛmfua a wɔakyerɛ ase sɛ “yi fi hɔ” no nkyerɛase a wɔatwa no akyea nti nkutoo, na mmom bere biara nni hɔ a wɔyii Kristo kronkronbea mu ne som adwuma fii nnipa nsam wɔ ɔkwan biara so.</w:t>
      </w:r>
    </w:p>
    <w:p>
      <w:pPr>
        <w:pStyle w:val="ArticleScripture"/>
        <w:jc w:val="left"/>
      </w:pPr>
      <w:r>
        <w:rPr>
          <w:rFonts w:ascii="Times New Roman" w:hAnsi="Times New Roman" w:eastAsia="Times New Roman" w:cs="Times New Roman"/>
        </w:rPr>
        <w:t>Tetapi orang ini, oleh sebab Ia tetap selama-lamanya, mempunyai imamat yang tidak berubah. Karena itu Ia juga sanggup menyelamatkan dengan sempurna mereka yang datang kepada Allah melalui Dia, sebab Ia hidup senantiasa untuk menjadi pengantara bagi mereka. Ibrani 7:24, 25.</w:t>
      </w:r>
    </w:p>
    <w:p>
      <w:pPr>
        <w:pStyle w:val="ArticleBody"/>
        <w:jc w:val="left"/>
      </w:pPr>
      <w:r>
        <w:rPr>
          <w:rFonts w:ascii="Times New Roman" w:hAnsi="Times New Roman" w:eastAsia="Times New Roman" w:cs="Times New Roman"/>
        </w:rPr>
        <w:t>Go tsea, jaaka boratheoloji ba Adventist ba dira, mo maitekong a go tshegetsa tiriso ya bone e e phoso ya temana eno, gore go kile ga nna le lobaka lo ka lone bopapa bo neng jwa dirisa mofuta mongwe wa maatla go tlosa botsereganyi jwa ga Keresete jwa mo sehalalelong, ke boeleele!</w:t>
      </w:r>
    </w:p>
    <w:p>
      <w:pPr>
        <w:pStyle w:val="ArticleBody"/>
        <w:jc w:val="left"/>
      </w:pPr>
      <w:r>
        <w:rPr>
          <w:rFonts w:ascii="Times New Roman" w:hAnsi="Times New Roman" w:eastAsia="Times New Roman" w:cs="Times New Roman"/>
        </w:rPr>
        <w:t>Tetapi para ahli teologi tidak mengajarkan bahawa ayat itu mengenal pasti bahawa kepausan telah mengangkat dan meninggikan pelayanan tempat kudus Kristus. Mereka mengelakkan makna kata-kata Daniel, dan nasihat yang diilhamkan daripada Ellen White, untuk mengajarkan apa yang mereka pilih untuk ajarkan meskipun bertentangan dengan kesaksian kata-kata Daniel.</w:t>
      </w:r>
    </w:p>
    <w:p>
      <w:pPr>
        <w:pStyle w:val="ArticleScripture"/>
        <w:jc w:val="left"/>
      </w:pPr>
      <w:r>
        <w:rPr>
          <w:rFonts w:ascii="Times New Roman" w:hAnsi="Times New Roman" w:eastAsia="Times New Roman" w:cs="Times New Roman"/>
        </w:rPr>
        <w:t>Ya, ia membesarkan dirinya bahkan sampai kepada Panglima bala tentara, dan oleh dia korban sehari-hari dihapuskan, dan tempat tempat kudus-Nya dirobohkan. Daniel 8:11.</w:t>
      </w:r>
    </w:p>
    <w:p>
      <w:pPr>
        <w:pStyle w:val="ArticleBody"/>
        <w:jc w:val="left"/>
      </w:pPr>
      <w:r>
        <w:rPr>
          <w:rFonts w:ascii="Times New Roman" w:hAnsi="Times New Roman" w:eastAsia="Times New Roman" w:cs="Times New Roman"/>
        </w:rPr>
        <w:t>Para ahli teologi mengajarkan bahwa ayat itu berarti “melalui kuasa kepausan, pelayanan Kristus di tempat kudus disingkirkan,” dan penyingkiran pelayanan Kristus di tempat kudus dari pikiran manusia didukung oleh kenyataan bahwa sehubungan dengan penyingkiran itu, tempat “tempat kudus”-Nya Kristus “dirobohkan.” Tidak ada satu ayat pun dalam Firman Allah yang menyatakan bahwa tempat kudus sorgawi, yaitu tempat Kristus melaksanakan pengantaraan-Nya, pernah dirobohkan. Demikian pula, tidak ada satu pun bagian Alkitab yang menyatakan bahwa sorga itu sendiri, yang adalah “tempat tempat kudus-Nya”, pernah dirobohkan. Sekali lagi, para teolog menempatkan diri mereka di atas nabi Daniel, sebab mereka bersikeras bahwa “tempat tempat kudus-Nya” dalam ayat itu mengacu kepada tempat kudus Allah, meskipun Daniel mengajarkan kebalikan langsung dari gagasan tersebut.</w:t>
      </w:r>
    </w:p>
    <w:p>
      <w:pPr>
        <w:pStyle w:val="ArticleBody"/>
        <w:jc w:val="left"/>
      </w:pPr>
      <w:r>
        <w:rPr>
          <w:rFonts w:ascii="Times New Roman" w:hAnsi="Times New Roman" w:eastAsia="Times New Roman" w:cs="Times New Roman"/>
        </w:rPr>
        <w:t>Bao ba nuat na mingtian te ei tawng mi Hebrew tawng thiam in a tih dan chu, he changah Hebrew tawngkam “rum” hi Hebrew tawngkam “sur” awmzia nen hriat tur a ni an ti. Anni chuan Hebrew tawngkam “miqdash” pawh Hebrew tawngkam “qodesh” angin hriat tur a ni an ti bawk. Daniel bu-ah “miqdash” leh “qodesh” pahnihte hi a tlangpuiin “biak bûk” tia lehlin an ni a, mahse an awmzia chu a dang. “Miqdash” chuan biak bûk eng pawh a entîr thei a, chu chu Pathian biak bûk emaw, milem be mite biak bûk emaw pawh a ni thei. Chu chu biak bûk sawina tawngkam tlangpui a ni a; mahse “qodesh” erawh Bible-ah chuan Pathian biak bûk chauh entîrna atan hman a ni.</w:t>
      </w:r>
    </w:p>
    <w:p>
      <w:pPr>
        <w:pStyle w:val="ArticleBody"/>
        <w:jc w:val="left"/>
      </w:pPr>
      <w:r>
        <w:rPr>
          <w:rFonts w:ascii="Times New Roman" w:hAnsi="Times New Roman" w:eastAsia="Times New Roman" w:cs="Times New Roman"/>
        </w:rPr>
        <w:t>Daniel amatse phapano magareng ga lefelo le lekgethwa la boheitene le lefelo le lekgethwa la Modimo. Ge e ba Daniele a be a tlo šupa lefelo le lekgethwa la boheitene, o be a tla diriša lentšu “miqdash.” Go a makatša go nna gore bao go bolelwago ka bona e le ditsebi tša polelo ya Seheberu ga ba ka ba kgoma le ge e le taba ya gore ditemaneng tše nne tše di latelanago, Daniele o diriša mantšu ka bobedi gararo. Tirišo ya Daniele ya mantšu a mabedi a Seheberu, ka bobedi ao a fetolelwago e le “lefelo le lekgethwa,” e hlaloša tlhalošo yeo Daniele a bego a ikemišeditše gore e kwešišwe.</w:t>
      </w:r>
    </w:p>
    <w:p>
      <w:pPr>
        <w:pStyle w:val="ArticleScripture"/>
        <w:jc w:val="left"/>
      </w:pPr>
      <w:r>
        <w:rPr>
          <w:rFonts w:ascii="Times New Roman" w:hAnsi="Times New Roman" w:eastAsia="Times New Roman" w:cs="Times New Roman"/>
        </w:rPr>
        <w:t>Ya, ia membesarkan dirinya bahkan sampai kepada penghulu bala tentara itu, dan olehnya korban yang sehari-hari itu dihapuskan, dan tempat kudus-Nya dirobohkan. Dan suatu bala tentara diberikan kepadanya melawan korban yang sehari-hari itu oleh sebab pelanggaran, dan ia melemparkan kebenaran ke tanah; dan ia bertindak, dan berhasil. Lalu aku mendengar seorang kudus berbicara, dan seorang kudus yang lain berkata kepada kudus tertentu yang berbicara itu, Berapa lamakah penglihatan mengenai korban yang sehari-hari itu, dan pelanggaran yang mendatangkan kebinasaan, sehingga baik tempat kudus maupun bala tentara diserahkan untuk diinjak-injak? Dan ia berkata kepadaku, Sampai dua ribu tiga ratus hari; kemudian tempat kudus itu akan ditahirkan. Daniel 8:11–14.</w:t>
      </w:r>
    </w:p>
    <w:p>
      <w:pPr>
        <w:pStyle w:val="ArticleBody"/>
        <w:jc w:val="left"/>
      </w:pPr>
      <w:r>
        <w:rPr>
          <w:rFonts w:ascii="Times New Roman" w:hAnsi="Times New Roman" w:eastAsia="Times New Roman" w:cs="Times New Roman"/>
        </w:rPr>
        <w:t>Dalam bagian yang sama yang memuat dasar Adventisme, Daniel menggunakan dua kata Ibrani yang berbeda yang keduanya diterjemahkan sebagai “bait suci.” Dalam ayat tiga belas dan empat belas, Daniel memilih menggunakan kata Ibrani untuk “bait suci” yang secara biblis hanya digunakan untuk menunjuk kepada bait suci Allah, tetapi dalam ayat sebelas, Daniel menggunakan kata Ibrani yang umum atau generik, yang dapat merujuk kepada bait suci Allah, atau dapat pula merujuk kepada bait suci kafir.</w:t>
      </w:r>
    </w:p>
    <w:p>
      <w:pPr>
        <w:pStyle w:val="ArticleBody"/>
        <w:jc w:val="left"/>
      </w:pPr>
      <w:r>
        <w:rPr>
          <w:rFonts w:ascii="Times New Roman" w:hAnsi="Times New Roman" w:eastAsia="Times New Roman" w:cs="Times New Roman"/>
        </w:rPr>
        <w:t>Sekiranya Daniel mahu mengenal pasti “tempat kudus” dalam ayat sebelas sebagai tempat kudus Allah, dia tentu akan menggunakan perkataan Ibrani yang sama yang digunakannya dua kali dalam tiga ayat berikutnya. Jelas sekali bahawa Daniel sedang membuat suatu perbezaan antara tempat kudus kafir dalam ayat sebelas dengan tempat kudus Allah dalam ayat tiga belas dan empat belas! Namun para pemabuk Efraim berhujah bahawa “tempat tempat kudusnya” yang “dirobohkan” dalam ayat sebelas itu ialah tempat tempat kudus Allah, walaupun mereka mengelakkan perkataan “tempat.”</w:t>
      </w:r>
    </w:p>
    <w:p>
      <w:pPr>
        <w:pStyle w:val="ArticleBody"/>
        <w:jc w:val="left"/>
      </w:pPr>
      <w:r>
        <w:rPr>
          <w:rFonts w:ascii="Times New Roman" w:hAnsi="Times New Roman" w:eastAsia="Times New Roman" w:cs="Times New Roman"/>
        </w:rPr>
        <w:t>Mereka mengajarkan bahawa kepausan telah meniadakan pelayanan pengantaraan Kristus dan menjatuhkan kebenaran tentang tempat kudus syurgawi. Tetapi Daniel dengan jelas menyatakan bahawa “tempat kudus” dalam ayat sebelas bukanlah tempat kudus Allah, melainkan suatu tempat kudus kafir. Daniel juga sama jelasnya bahawa yang dijatuhkan itu bukanlah “tempat kudus” itu, melainkan “tempat” tempat kudusnya itu.</w:t>
      </w:r>
    </w:p>
    <w:p>
      <w:pPr>
        <w:pStyle w:val="ArticleBody"/>
        <w:jc w:val="left"/>
      </w:pPr>
      <w:r>
        <w:rPr>
          <w:rFonts w:ascii="Times New Roman" w:hAnsi="Times New Roman" w:eastAsia="Times New Roman" w:cs="Times New Roman"/>
        </w:rPr>
        <w:t>Dengan menolak untuk mengakui peralihan gender yang disengajakan dalam ayat sembilan hingga dua belas, para teolog modern mengadopsi definisi “yang sehari-hari” yang berasal dari Protestantisme murtad, lalu mulai membangun suatu dasar di atas pasir sangkaan manusia, tradisi, dan adat kebiasaan. Ketika mereka sampai pada ayat sebelas, mereka bahkan menolak nasihat ilham dari Sister White yang menyatakan bahwa pemahaman Miller tentang “yang sehari-hari” sebagai paganisme adalah benar, dan mulai mempergunakan seni pengelabuan serta sangkaan untuk mempertahankan kecintaan mereka kepada teologi Katolik dan Protestan.</w:t>
      </w:r>
    </w:p>
    <w:p>
      <w:pPr>
        <w:pStyle w:val="ArticleBody"/>
        <w:jc w:val="left"/>
      </w:pPr>
      <w:r>
        <w:rPr>
          <w:rFonts w:ascii="Times New Roman" w:hAnsi="Times New Roman" w:eastAsia="Times New Roman" w:cs="Times New Roman"/>
        </w:rPr>
        <w:t>Mereka mengubah Roma pagan menjadi Roma kepausan dalam ayat itu, dan mereka memaksakan makna “menyingkirkan” ke atas kata yang bererti “mengangkat dan meninggikan”. Mereka mentakrifkan lambang Iblis, iaitu “yang berterusan”, sebagai lambang yang ilahi, lalu menegaskan bahawa sebuah kuil pagan ialah bait Allah, sambil mengelakkan rujukan langsung kepada “tempat” tempat kudus itu. Dan golongan “yang tidak terpelajar” (sebagaimana Yesaya mengenal pasti mereka), yang hanya akan memahami jika golongan “terpelajar” memberitahu mereka bahawa demikianlah halnya, menerima hidangan dongeng itu menuju kebinasaan mereka sendiri.</w:t>
      </w:r>
    </w:p>
    <w:p>
      <w:pPr>
        <w:pStyle w:val="ArticleBody"/>
        <w:jc w:val="left"/>
      </w:pPr>
      <w:r>
        <w:rPr>
          <w:rFonts w:ascii="Times New Roman" w:hAnsi="Times New Roman" w:eastAsia="Times New Roman" w:cs="Times New Roman"/>
        </w:rPr>
        <w:t>Akan re mpṳn la ngaihruaitute kha, Miller’a mang le a ummi suangman ṭha te hmanin a entîrmi hriatna a punna cu, a ra um dingmi article ah kan zawmchih lai.</w:t>
      </w:r>
    </w:p>
    <w:p>
      <w:pPr>
        <w:pStyle w:val="ArticleScripture"/>
        <w:jc w:val="left"/>
      </w:pPr>
      <w:r>
        <w:rPr>
          <w:rFonts w:ascii="Times New Roman" w:hAnsi="Times New Roman" w:eastAsia="Times New Roman" w:cs="Times New Roman"/>
        </w:rPr>
        <w:t>“Moapostola Paulo o re tlhagisa gore, ‘ba bangwe ba tla tlogela tumelo, ba reetsa meya e timetsang le dithuto tsa bademona.’ Ke se re ka se lebelelang. Diteko tsa rona tse dikgolo di tla tla ka ntlha ya setlhopha seo se kileng sa emela boammaaruri, mme se bo bo fapoga sa ya lefatsheng, sa bo gataka ka dinao ka letlhoo le tshotlo. Modimo o na le tiro eo a e abetseng batlhanka ba gagwe ba ba ikanyegang. Ditlhaselo tsa mmaba di tshwanetse go kgatlhanngwa ka boammaaruri jwa Lefoko la gagwe. Maaka a tshwanetse go senolwa, semelo sa one sa mmatota se tshwanetse go bonadiwa, mme lesedi la molao wa ga Jehofa le tshwanetse go phatsima la tsena mo lefifing la boitsholo la lefatshe. Re tshwanetse go baya fa pele ditshwanelo tsa Lefoko la gagwe. Ga re kitla re bo re se na molato fa re tlhokomologa tiro eno e e boitshegang. Mme le fa re eme re sireletsa boammaaruri, a re se keng ra ema re sireletsa bo rona, le go dira modumo o mogolo ka ntlha ya gore re bidiwa go rwala kgobo le go emelwa ka tsela e e sa siamang. A re se keng ra ikuela botlhoko, mme a re nne pelotlhomogi thata ka ntlha ya molao wa Mogodimodimo.”</w:t>
      </w:r>
    </w:p>
    <w:p>
      <w:pPr>
        <w:pStyle w:val="ArticleScripture"/>
        <w:jc w:val="left"/>
      </w:pPr>
      <w:r>
        <w:rPr>
          <w:rFonts w:ascii="Leelawadee UI" w:hAnsi="Leelawadee UI" w:eastAsia="Leelawadee UI" w:cs="Leelawadee UI"/>
        </w:rPr>
        <w:t>បានមានសេចក្ដីថា</w:t>
      </w:r>
      <w:r>
        <w:rPr>
          <w:rFonts w:ascii="Times New Roman" w:hAnsi="Times New Roman" w:eastAsia="Times New Roman" w:cs="Times New Roman"/>
        </w:rPr>
        <w:t xml:space="preserve"> </w:t>
      </w:r>
      <w:r>
        <w:rPr>
          <w:rFonts w:ascii="Leelawadee UI" w:hAnsi="Leelawadee UI" w:eastAsia="Leelawadee UI" w:cs="Leelawadee UI"/>
        </w:rPr>
        <w:t>សាវកមានប្រសាសន៍ថា</w:t>
      </w:r>
      <w:r>
        <w:rPr>
          <w:rFonts w:ascii="Times New Roman" w:hAnsi="Times New Roman" w:eastAsia="Times New Roman" w:cs="Times New Roman"/>
        </w:rPr>
        <w:t xml:space="preserve"> «</w:t>
      </w:r>
      <w:r>
        <w:rPr>
          <w:rFonts w:ascii="Leelawadee UI" w:hAnsi="Leelawadee UI" w:eastAsia="Leelawadee UI" w:cs="Leelawadee UI"/>
        </w:rPr>
        <w:t>ដ្បិត</w:t>
      </w:r>
      <w:r>
        <w:rPr>
          <w:rFonts w:ascii="Times New Roman" w:hAnsi="Times New Roman" w:eastAsia="Times New Roman" w:cs="Times New Roman"/>
        </w:rPr>
        <w:t xml:space="preserve"> </w:t>
      </w:r>
      <w:r>
        <w:rPr>
          <w:rFonts w:ascii="Leelawadee UI" w:hAnsi="Leelawadee UI" w:eastAsia="Leelawadee UI" w:cs="Leelawadee UI"/>
        </w:rPr>
        <w:t>នឹងមានគ្រាមក</w:t>
      </w:r>
      <w:r>
        <w:rPr>
          <w:rFonts w:ascii="Times New Roman" w:hAnsi="Times New Roman" w:eastAsia="Times New Roman" w:cs="Times New Roman"/>
        </w:rPr>
        <w:t xml:space="preserve"> </w:t>
      </w:r>
      <w:r>
        <w:rPr>
          <w:rFonts w:ascii="Leelawadee UI" w:hAnsi="Leelawadee UI" w:eastAsia="Leelawadee UI" w:cs="Leelawadee UI"/>
        </w:rPr>
        <w:t>ដល់ពេលដែលគេមិនអត់ទ្រាំនឹងសេចក្ដីបង្រៀនដ៏ត្រឹមត្រូវទេ</w:t>
      </w:r>
      <w:r>
        <w:rPr>
          <w:rFonts w:ascii="Times New Roman" w:hAnsi="Times New Roman" w:eastAsia="Times New Roman" w:cs="Times New Roman"/>
        </w:rPr>
        <w:t xml:space="preserve"> </w:t>
      </w:r>
      <w:r>
        <w:rPr>
          <w:rFonts w:ascii="Leelawadee UI" w:hAnsi="Leelawadee UI" w:eastAsia="Leelawadee UI" w:cs="Leelawadee UI"/>
        </w:rPr>
        <w:t>ប៉ុន្តែតាមសេចក្ដីប៉ងប្រាថ្នារបស់ខ្លួន</w:t>
      </w:r>
      <w:r>
        <w:rPr>
          <w:rFonts w:ascii="Times New Roman" w:hAnsi="Times New Roman" w:eastAsia="Times New Roman" w:cs="Times New Roman"/>
        </w:rPr>
        <w:t xml:space="preserve"> </w:t>
      </w:r>
      <w:r>
        <w:rPr>
          <w:rFonts w:ascii="Leelawadee UI" w:hAnsi="Leelawadee UI" w:eastAsia="Leelawadee UI" w:cs="Leelawadee UI"/>
        </w:rPr>
        <w:t>គេនឹងប្រមូលគ្រូទុកសម្រាប់ខ្លួនជាច្រើន</w:t>
      </w:r>
      <w:r>
        <w:rPr>
          <w:rFonts w:ascii="Times New Roman" w:hAnsi="Times New Roman" w:eastAsia="Times New Roman" w:cs="Times New Roman"/>
        </w:rPr>
        <w:t xml:space="preserve"> </w:t>
      </w:r>
      <w:r>
        <w:rPr>
          <w:rFonts w:ascii="Leelawadee UI" w:hAnsi="Leelawadee UI" w:eastAsia="Leelawadee UI" w:cs="Leelawadee UI"/>
        </w:rPr>
        <w:t>ដោយមានត្រចៀករមាស់</w:t>
      </w:r>
      <w:r>
        <w:rPr>
          <w:rFonts w:ascii="Times New Roman" w:hAnsi="Times New Roman" w:eastAsia="Times New Roman" w:cs="Times New Roman"/>
        </w:rPr>
        <w:t xml:space="preserve"> </w:t>
      </w:r>
      <w:r>
        <w:rPr>
          <w:rFonts w:ascii="Leelawadee UI" w:hAnsi="Leelawadee UI" w:eastAsia="Leelawadee UI" w:cs="Leelawadee UI"/>
        </w:rPr>
        <w:t>ហើយគេនឹងបង្វែរត្រចៀកចេញពីសេចក្ដីពិត</w:t>
      </w:r>
      <w:r>
        <w:rPr>
          <w:rFonts w:ascii="Times New Roman" w:hAnsi="Times New Roman" w:eastAsia="Times New Roman" w:cs="Times New Roman"/>
        </w:rPr>
        <w:t xml:space="preserve"> </w:t>
      </w:r>
      <w:r>
        <w:rPr>
          <w:rFonts w:ascii="Leelawadee UI" w:hAnsi="Leelawadee UI" w:eastAsia="Leelawadee UI" w:cs="Leelawadee UI"/>
        </w:rPr>
        <w:t>ហើយនឹងបែរទៅរឿងព្រេងវិញ</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នៅគ្រប់ទិសទី</w:t>
      </w:r>
      <w:r>
        <w:rPr>
          <w:rFonts w:ascii="Times New Roman" w:hAnsi="Times New Roman" w:eastAsia="Times New Roman" w:cs="Times New Roman"/>
        </w:rPr>
        <w:t xml:space="preserve"> </w:t>
      </w:r>
      <w:r>
        <w:rPr>
          <w:rFonts w:ascii="Leelawadee UI" w:hAnsi="Leelawadee UI" w:eastAsia="Leelawadee UI" w:cs="Leelawadee UI"/>
        </w:rPr>
        <w:t>យើងឃើញមនុស្សត្រូវបាននាំឲ្យជាប់ជាឈ្លើយដោយងាយ</w:t>
      </w:r>
      <w:r>
        <w:rPr>
          <w:rFonts w:ascii="Times New Roman" w:hAnsi="Times New Roman" w:eastAsia="Times New Roman" w:cs="Times New Roman"/>
        </w:rPr>
        <w:t xml:space="preserve"> </w:t>
      </w:r>
      <w:r>
        <w:rPr>
          <w:rFonts w:ascii="Leelawadee UI" w:hAnsi="Leelawadee UI" w:eastAsia="Leelawadee UI" w:cs="Leelawadee UI"/>
        </w:rPr>
        <w:t>ដោយសារការស្រមើស្រមៃបោកបញ្ឆោតរបស់អ្នកដែលធ្វើឲ្យព្រះបន្ទូលរបស់ព្រះជាអសារបង់</w:t>
      </w:r>
      <w:r>
        <w:rPr>
          <w:rFonts w:ascii="Times New Roman" w:hAnsi="Times New Roman" w:eastAsia="Times New Roman" w:cs="Times New Roman"/>
        </w:rPr>
        <w:t xml:space="preserve">; </w:t>
      </w:r>
      <w:r>
        <w:rPr>
          <w:rFonts w:ascii="Leelawadee UI" w:hAnsi="Leelawadee UI" w:eastAsia="Leelawadee UI" w:cs="Leelawadee UI"/>
        </w:rPr>
        <w:t>ប៉ុន្តែ</w:t>
      </w:r>
      <w:r>
        <w:rPr>
          <w:rFonts w:ascii="Times New Roman" w:hAnsi="Times New Roman" w:eastAsia="Times New Roman" w:cs="Times New Roman"/>
        </w:rPr>
        <w:t xml:space="preserve"> </w:t>
      </w:r>
      <w:r>
        <w:rPr>
          <w:rFonts w:ascii="Leelawadee UI" w:hAnsi="Leelawadee UI" w:eastAsia="Leelawadee UI" w:cs="Leelawadee UI"/>
        </w:rPr>
        <w:t>នៅពេលសេចក្ដីពិតត្រូវបានដាក់បង្ហាញនៅចំពោះមុខពួកគេ</w:t>
      </w:r>
      <w:r>
        <w:rPr>
          <w:rFonts w:ascii="Times New Roman" w:hAnsi="Times New Roman" w:eastAsia="Times New Roman" w:cs="Times New Roman"/>
        </w:rPr>
        <w:t xml:space="preserve"> </w:t>
      </w:r>
      <w:r>
        <w:rPr>
          <w:rFonts w:ascii="Leelawadee UI" w:hAnsi="Leelawadee UI" w:eastAsia="Leelawadee UI" w:cs="Leelawadee UI"/>
        </w:rPr>
        <w:t>នោះពួកគេពោរពេញដោយការអត់ធ្មត់មិនបាន</w:t>
      </w:r>
      <w:r>
        <w:rPr>
          <w:rFonts w:ascii="Times New Roman" w:hAnsi="Times New Roman" w:eastAsia="Times New Roman" w:cs="Times New Roman"/>
        </w:rPr>
        <w:t xml:space="preserve"> </w:t>
      </w:r>
      <w:r>
        <w:rPr>
          <w:rFonts w:ascii="Leelawadee UI" w:hAnsi="Leelawadee UI" w:eastAsia="Leelawadee UI" w:cs="Leelawadee UI"/>
        </w:rPr>
        <w:t>និងកំហឹង។</w:t>
      </w:r>
      <w:r>
        <w:rPr>
          <w:rFonts w:ascii="Times New Roman" w:hAnsi="Times New Roman" w:eastAsia="Times New Roman" w:cs="Times New Roman"/>
        </w:rPr>
        <w:t xml:space="preserve"> </w:t>
      </w:r>
      <w:r>
        <w:rPr>
          <w:rFonts w:ascii="Leelawadee UI" w:hAnsi="Leelawadee UI" w:eastAsia="Leelawadee UI" w:cs="Leelawadee UI"/>
        </w:rPr>
        <w:t>ប៉ុន្តែ</w:t>
      </w:r>
      <w:r>
        <w:rPr>
          <w:rFonts w:ascii="Times New Roman" w:hAnsi="Times New Roman" w:eastAsia="Times New Roman" w:cs="Times New Roman"/>
        </w:rPr>
        <w:t xml:space="preserve"> </w:t>
      </w:r>
      <w:r>
        <w:rPr>
          <w:rFonts w:ascii="Leelawadee UI" w:hAnsi="Leelawadee UI" w:eastAsia="Leelawadee UI" w:cs="Leelawadee UI"/>
        </w:rPr>
        <w:t>សេចក្ដីទូន្មានរបស់សាវកដល់អ្នកបម្រើរបស់ព្រះគឺថា</w:t>
      </w:r>
      <w:r>
        <w:rPr>
          <w:rFonts w:ascii="Times New Roman" w:hAnsi="Times New Roman" w:eastAsia="Times New Roman" w:cs="Times New Roman"/>
        </w:rPr>
        <w:t xml:space="preserve"> «</w:t>
      </w:r>
      <w:r>
        <w:rPr>
          <w:rFonts w:ascii="Leelawadee UI" w:hAnsi="Leelawadee UI" w:eastAsia="Leelawadee UI" w:cs="Leelawadee UI"/>
        </w:rPr>
        <w:t>ចូរប្រុងប្រយ័ត្នក្នុងគ្រប់ការ</w:t>
      </w:r>
      <w:r>
        <w:rPr>
          <w:rFonts w:ascii="Times New Roman" w:hAnsi="Times New Roman" w:eastAsia="Times New Roman" w:cs="Times New Roman"/>
        </w:rPr>
        <w:t xml:space="preserve"> </w:t>
      </w:r>
      <w:r>
        <w:rPr>
          <w:rFonts w:ascii="Leelawadee UI" w:hAnsi="Leelawadee UI" w:eastAsia="Leelawadee UI" w:cs="Leelawadee UI"/>
        </w:rPr>
        <w:t>ចូរស៊ូទ្រាំនឹងទុក្ខលំបាក</w:t>
      </w:r>
      <w:r>
        <w:rPr>
          <w:rFonts w:ascii="Times New Roman" w:hAnsi="Times New Roman" w:eastAsia="Times New Roman" w:cs="Times New Roman"/>
        </w:rPr>
        <w:t xml:space="preserve"> </w:t>
      </w:r>
      <w:r>
        <w:rPr>
          <w:rFonts w:ascii="Leelawadee UI" w:hAnsi="Leelawadee UI" w:eastAsia="Leelawadee UI" w:cs="Leelawadee UI"/>
        </w:rPr>
        <w:t>ចូរធ្វើការរបស់អ្នកផ្សាយដំណឹងល្អ</w:t>
      </w:r>
      <w:r>
        <w:rPr>
          <w:rFonts w:ascii="Times New Roman" w:hAnsi="Times New Roman" w:eastAsia="Times New Roman" w:cs="Times New Roman"/>
        </w:rPr>
        <w:t xml:space="preserve"> </w:t>
      </w:r>
      <w:r>
        <w:rPr>
          <w:rFonts w:ascii="Leelawadee UI" w:hAnsi="Leelawadee UI" w:eastAsia="Leelawadee UI" w:cs="Leelawadee UI"/>
        </w:rPr>
        <w:t>ហើយចូរបំពេញកិច្ចបម្រើរបស់អ្នកឲ្យគ្រប់លេញ</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នៅសម័យរបស់លោក</w:t>
      </w:r>
      <w:r>
        <w:rPr>
          <w:rFonts w:ascii="Times New Roman" w:hAnsi="Times New Roman" w:eastAsia="Times New Roman" w:cs="Times New Roman"/>
        </w:rPr>
        <w:t xml:space="preserve"> </w:t>
      </w:r>
      <w:r>
        <w:rPr>
          <w:rFonts w:ascii="Leelawadee UI" w:hAnsi="Leelawadee UI" w:eastAsia="Leelawadee UI" w:cs="Leelawadee UI"/>
        </w:rPr>
        <w:t>មានអ្នកខ្លះបានបោះបង់ចោលបុព្វហេតុរបស់ព្រះអម្ចាស់។</w:t>
      </w:r>
      <w:r>
        <w:rPr>
          <w:rFonts w:ascii="Times New Roman" w:hAnsi="Times New Roman" w:eastAsia="Times New Roman" w:cs="Times New Roman"/>
        </w:rPr>
        <w:t xml:space="preserve"> </w:t>
      </w:r>
      <w:r>
        <w:rPr>
          <w:rFonts w:ascii="Leelawadee UI" w:hAnsi="Leelawadee UI" w:eastAsia="Leelawadee UI" w:cs="Leelawadee UI"/>
        </w:rPr>
        <w:t>លោកសរសេរថា</w:t>
      </w:r>
      <w:r>
        <w:rPr>
          <w:rFonts w:ascii="Times New Roman" w:hAnsi="Times New Roman" w:eastAsia="Times New Roman" w:cs="Times New Roman"/>
        </w:rPr>
        <w:t xml:space="preserve"> «</w:t>
      </w:r>
      <w:r>
        <w:rPr>
          <w:rFonts w:ascii="Leelawadee UI" w:hAnsi="Leelawadee UI" w:eastAsia="Leelawadee UI" w:cs="Leelawadee UI"/>
        </w:rPr>
        <w:t>ដេម៉ាសបានបោះបង់ខ្ញុំចោលទៅហើយ</w:t>
      </w:r>
      <w:r>
        <w:rPr>
          <w:rFonts w:ascii="Times New Roman" w:hAnsi="Times New Roman" w:eastAsia="Times New Roman" w:cs="Times New Roman"/>
        </w:rPr>
        <w:t xml:space="preserve"> </w:t>
      </w:r>
      <w:r>
        <w:rPr>
          <w:rFonts w:ascii="Leelawadee UI" w:hAnsi="Leelawadee UI" w:eastAsia="Leelawadee UI" w:cs="Leelawadee UI"/>
        </w:rPr>
        <w:t>ដោយស្រឡាញ់លោកិយបច្ចុប្បន្ននេះ</w:t>
      </w:r>
      <w:r>
        <w:rPr>
          <w:rFonts w:ascii="Times New Roman" w:hAnsi="Times New Roman" w:eastAsia="Times New Roman" w:cs="Times New Roman"/>
        </w:rPr>
        <w:t xml:space="preserve">»; </w:t>
      </w:r>
      <w:r>
        <w:rPr>
          <w:rFonts w:ascii="Leelawadee UI" w:hAnsi="Leelawadee UI" w:eastAsia="Leelawadee UI" w:cs="Leelawadee UI"/>
        </w:rPr>
        <w:t>ហើយម្ដងទៀត</w:t>
      </w:r>
      <w:r>
        <w:rPr>
          <w:rFonts w:ascii="Times New Roman" w:hAnsi="Times New Roman" w:eastAsia="Times New Roman" w:cs="Times New Roman"/>
        </w:rPr>
        <w:t xml:space="preserve"> </w:t>
      </w:r>
      <w:r>
        <w:rPr>
          <w:rFonts w:ascii="Leelawadee UI" w:hAnsi="Leelawadee UI" w:eastAsia="Leelawadee UI" w:cs="Leelawadee UI"/>
        </w:rPr>
        <w:t>លោកមានប្រសាសន៍ថា</w:t>
      </w:r>
      <w:r>
        <w:rPr>
          <w:rFonts w:ascii="Times New Roman" w:hAnsi="Times New Roman" w:eastAsia="Times New Roman" w:cs="Times New Roman"/>
        </w:rPr>
        <w:t xml:space="preserve"> «</w:t>
      </w:r>
      <w:r>
        <w:rPr>
          <w:rFonts w:ascii="Leelawadee UI" w:hAnsi="Leelawadee UI" w:eastAsia="Leelawadee UI" w:cs="Leelawadee UI"/>
        </w:rPr>
        <w:t>អាឡិចសាន់ឌ័រ</w:t>
      </w:r>
      <w:r>
        <w:rPr>
          <w:rFonts w:ascii="Times New Roman" w:hAnsi="Times New Roman" w:eastAsia="Times New Roman" w:cs="Times New Roman"/>
        </w:rPr>
        <w:t xml:space="preserve"> </w:t>
      </w:r>
      <w:r>
        <w:rPr>
          <w:rFonts w:ascii="Leelawadee UI" w:hAnsi="Leelawadee UI" w:eastAsia="Leelawadee UI" w:cs="Leelawadee UI"/>
        </w:rPr>
        <w:t>ជាងដែកស្ពាន់</w:t>
      </w:r>
      <w:r>
        <w:rPr>
          <w:rFonts w:ascii="Times New Roman" w:hAnsi="Times New Roman" w:eastAsia="Times New Roman" w:cs="Times New Roman"/>
        </w:rPr>
        <w:t xml:space="preserve"> </w:t>
      </w:r>
      <w:r>
        <w:rPr>
          <w:rFonts w:ascii="Leelawadee UI" w:hAnsi="Leelawadee UI" w:eastAsia="Leelawadee UI" w:cs="Leelawadee UI"/>
        </w:rPr>
        <w:t>បានធ្វើអាក្រក់ដល់ខ្ញុំជាច្រើន</w:t>
      </w:r>
      <w:r>
        <w:rPr>
          <w:rFonts w:ascii="Times New Roman" w:hAnsi="Times New Roman" w:eastAsia="Times New Roman" w:cs="Times New Roman"/>
        </w:rPr>
        <w:t xml:space="preserve">: </w:t>
      </w:r>
      <w:r>
        <w:rPr>
          <w:rFonts w:ascii="Leelawadee UI" w:hAnsi="Leelawadee UI" w:eastAsia="Leelawadee UI" w:cs="Leelawadee UI"/>
        </w:rPr>
        <w:t>សូមព្រះអម្ចាស់តបស្នងដល់គាត់តាមការដែលគាត់បានប្រព្រឹត្ត</w:t>
      </w:r>
      <w:r>
        <w:rPr>
          <w:rFonts w:ascii="Times New Roman" w:hAnsi="Times New Roman" w:eastAsia="Times New Roman" w:cs="Times New Roman"/>
        </w:rPr>
        <w:t xml:space="preserve">: </w:t>
      </w:r>
      <w:r>
        <w:rPr>
          <w:rFonts w:ascii="Leelawadee UI" w:hAnsi="Leelawadee UI" w:eastAsia="Leelawadee UI" w:cs="Leelawadee UI"/>
        </w:rPr>
        <w:t>ចូរប្រុងប្រយ័ត្នពីគាត់ដែរ</w:t>
      </w:r>
      <w:r>
        <w:rPr>
          <w:rFonts w:ascii="Times New Roman" w:hAnsi="Times New Roman" w:eastAsia="Times New Roman" w:cs="Times New Roman"/>
        </w:rPr>
        <w:t xml:space="preserve"> </w:t>
      </w:r>
      <w:r>
        <w:rPr>
          <w:rFonts w:ascii="Leelawadee UI" w:hAnsi="Leelawadee UI" w:eastAsia="Leelawadee UI" w:cs="Leelawadee UI"/>
        </w:rPr>
        <w:t>ព្រោះគាត់បានប្រឆាំងនឹងពាក្យរបស់យើងយ៉ាងខ្លាំង</w:t>
      </w:r>
      <w:r>
        <w:rPr>
          <w:rFonts w:ascii="Times New Roman" w:hAnsi="Times New Roman" w:eastAsia="Times New Roman" w:cs="Times New Roman"/>
        </w:rPr>
        <w:t>»</w:t>
      </w:r>
      <w:r>
        <w:rPr>
          <w:rFonts w:ascii="Leelawadee UI" w:hAnsi="Leelawadee UI" w:eastAsia="Leelawadee UI" w:cs="Leelawadee UI"/>
        </w:rPr>
        <w:t>។</w:t>
      </w:r>
    </w:p>
    <w:p>
      <w:pPr>
        <w:pStyle w:val="ArticleScripture"/>
        <w:jc w:val="left"/>
      </w:pPr>
      <w:r>
        <w:rPr>
          <w:rFonts w:ascii="Times New Roman" w:hAnsi="Times New Roman" w:eastAsia="Times New Roman" w:cs="Times New Roman"/>
        </w:rPr>
        <w:t>“Baporofeti le baapostola ba ile ba feta ditsietsing tse tshwanang tsa kganetso le kgobošo, gomme le Kwana ya Modimo ye e se nago bosodi e ile ya lekwa dilong tšohle go swana le rena. O kgotleletše kganetšo ya badiradibe kgahlanong le yena ka noši.</w:t>
      </w:r>
    </w:p>
    <w:p>
      <w:pPr>
        <w:pStyle w:val="ArticleScripture"/>
        <w:jc w:val="left"/>
      </w:pPr>
      <w:r>
        <w:rPr>
          <w:rFonts w:ascii="Times New Roman" w:hAnsi="Times New Roman" w:eastAsia="Times New Roman" w:cs="Times New Roman"/>
        </w:rPr>
        <w:t>“Amaran pahiin hrang hrang chu hun hian rinawm takin a puan chhuah tur a ni; mahse, ‘Lalpa rawngbawlpa chuan intau lo tur a ni; mi zawng zawng hnenah thuhla takin, zirtir thei takin, tuar thei takin; anmahni mahni inkalh te chu nunnem takin zirtir tur a ni.’ Kan Pathian thu te hi fimkhur takin kan vawng tur a ni, ringlohna an kalsan tawh mite bumna hnathawh avanga kan tihbawlhsak loh nan. Kan Puipatepa chu thim lalpa’n a rawn bei khan a hman hmanrua ang bawkin an thlarau leh an h influence chu kan do tur a ni,—‘Ziaka a awm.’ Pathian Thu hmang thiam turin kan zir tur a ni. Fuihna chu hei hi a ni, ‘Nangmah Pathian hmaah pawm tlaka inlan turin zir rawh; zahawm loh tur awm lova thawktu, thutak thu dik taka then hrang thiam.’ Zirtirtu dik lo leh bumtu te chhiatna hripui ang zelin kalh theih nan, thawh rim tak, tawngtaihna tak tak, leh rinna a ngai; ‘ni hnuhnungah hun hlauhawm tak a lo thleng dawn’ tih avangin. ‘Mihringte chu anmahni ngei hmangaih, sum hmangaih, chhuangchhia, chapo, Pathian sawisel, nu leh pa thu awih lo, lawmthu sawi lo, thianghlim lo, hmangaihna pianpui nei lo, remna siam duh lo, mi hehchhiahtu, mahni inthunun thei lo, rual lo tak, tha tihte hmuhsit, bumna nei, rilru hruai lova thawk, inthupuisak, Pathian hmangaih aiin nawmsak hmangaih zawk an ni ang; Pathian biakna ang pu takin, a thiltihtheihna erawh an hnawl ang: chutiang mite lakah chuan kian ang che u.’ Hêng thu te hian Pathian rawngbawltute’n an tawh tur mihringte nungchang a sawi fiah a. ‘Mi hehchhiahtute,’ ‘tha tihte hmuhsitte’ chuan he hun sual tawrh takah hian an Pathian rinawm taka zuitu te chu an be dawn a ni. Mahse, Vana tirhkoh chuan Puipatepa’n a lantir thlarau kha a lantir ve tur a ni. Inhnialna nei lova inngaitlawmna leh hmangaihnain, mihringte chhandamna atan a thawh tur a ni.”</w:t>
      </w:r>
    </w:p>
    <w:p>
      <w:pPr>
        <w:pStyle w:val="ArticleScripture"/>
        <w:jc w:val="left"/>
      </w:pPr>
      <w:r>
        <w:rPr>
          <w:rFonts w:ascii="Times New Roman" w:hAnsi="Times New Roman" w:eastAsia="Times New Roman" w:cs="Times New Roman"/>
        </w:rPr>
        <w:t>“Paulo a tsoela pele mabapi le ba hanyetsang mosebetsi oa Molimo, a ba bapisa le banna ba ileng ba loantša ba tšepahalang mehleng ea Iseraele oa boholo-holo. O re: ‘Joale joalo ka ha Jannese le Jambrese ba ile ba hanyetsa Moshe, le bona bana ba hanyetsa ’nete; ke batho ba nang le likelello tse silafetseng, ba lahliloeng tabeng ea tumelo. Empa ba ke ke ba tsoela pele ho feta moo; hobane bohlanya ba bona bo tla bonahala ho batho bohle, joalo ka ha le ba bona bo ile ba bonahala.’ Rea tseba hore nako ea tla eo ka eona bohlanya ba ho loantša Molimo bo tla senoloa. Re ka khona ho leta ka mamello e khutsitseng le ka tšepo, ho sa tsotellehe hore na re nyefoloa le ho nyatsoa hakae; hobane ‘ha ho letho le patehileng le ke keng la senoloa,’ ’me ba hlomphang Molimo ba tla hlomphuoa ke eena pela batho le mangeloi. Re tshwanetse ho ba le kabelo mahlomoleng a bafetoheli. Ho ngoliloe hore: ‘Linyefolo tsa ba neng ba u nyefola li oetse holim’a ka.’ Kreste o utloisisa bohloko ba rōna. Ha ho le a mong ho rōna ea bitselitsoeng ho jara sefapano a le mong. Monna ea utloileng bohloko oa Kalvari o angoa ke kutloelo-bohloko bakeng sa mahlomola a rōna, ’me kaha eena ka boeena o utloile bohloko ha a ne a lekoa, o khona le ho thusa ba leng mahlomoleng le litekong ka lebaka la hae. ‘E, le bohle ba ratang ho phela ka bomolimo ho Kreste Jesu ba tla hlorisoa. Empa batho ba babe le bathetsi ba tla mpefala le ho feta, ba khelosa, ’me le bona ba khelosoe. Empa u tsoele pele linthong tseo u ithutileng tsona.’” Review and Herald, January 10, 1888.</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Книгата на Даниел - Четириесет и седум број</dc:title>
  <dc:subject>Menyingkap Doktrin-Doktrin yang Menyesatkan: Suatu Analisis Kritis atas Daniel 8 dan Tantangan-Tantangan terhadap Teologi Adventist</dc:subject>
  <dc:creator>Jeff Pippenger</dc:creator>
  <cp:keywords/>
  <dc:description>Generated by ArticleDigger from daniel\47_daniel.json</dc:description>
  <cp:lastModifiedBy>ArticleDigger</cp:lastModifiedBy>
  <cp:revision>1</cp:revision>
  <dcterms:created xsi:type="dcterms:W3CDTF">2000-01-01T00:00:00Z</dcterms:created>
  <dcterms:modified xsi:type="dcterms:W3CDTF">2000-01-01T00:00:00Z</dcterms:modified>
  <cp:category>daniel</cp:category>
  <cp:lastPrinted>2000-01-01T00:00:00Z</cp:lastPrinted>
</cp:coreProperties>
</file>