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Kitab Daniel - Nombor Empat Puluh Lapan</w:t>
      </w:r>
    </w:p>
    <w:p>
      <w:pPr>
        <w:pStyle w:val="ArticleSubtitle"/>
        <w:jc w:val="left"/>
      </w:pPr>
      <w:r>
        <w:rPr>
          <w:rFonts w:ascii="Arial" w:hAnsi="Arial" w:eastAsia="Arial" w:cs="Arial"/>
        </w:rPr>
        <w:t>Kupesula Ulosi: Tanthauzo la Masomphenya a Habakuku, Miyala Iwiri, ndi Chinsinsi cha Nsembe ya Tsiku ndi Tsiku m’Kutanthauzira kwa Baibulo</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2024-01-12</w:t>
      </w:r>
    </w:p>
    <w:p>
      <w:pPr>
        <w:pStyle w:val="ArticleBody"/>
        <w:jc w:val="left"/>
      </w:pPr>
      <w:r>
        <w:rPr>
          <w:rFonts w:ascii="Times New Roman" w:hAnsi="Times New Roman" w:eastAsia="Times New Roman" w:cs="Times New Roman"/>
        </w:rPr>
        <w:t>Go oketsega ga kitso, mo go emelwang ke ponatshegelo ya Noka ya Ulai, ke gone mo kgabagare go neng ga kwalwa mo dipatlapaneng tse pedi tsa ga Habakuke.</w:t>
      </w:r>
    </w:p>
    <w:p>
      <w:pPr>
        <w:pStyle w:val="ArticleScripture"/>
        <w:jc w:val="left"/>
      </w:pPr>
      <w:r>
        <w:rPr>
          <w:rFonts w:ascii="Times New Roman" w:hAnsi="Times New Roman" w:eastAsia="Times New Roman" w:cs="Times New Roman"/>
        </w:rPr>
        <w:t>“E sa hlokagantswe le diporofeto tse ba neng ba di tsaya e le tse di amanang le nako ya go tla ga bobedi, go ne go na le thuto e e neng e rulagantswe ka tsela e e kgethegileng gore e tshwanela seemo sa bone sa go sa tlhomamisege le go lebelela ka letshwenyego, e bile e ba kgothatsa go leta ka bopelotelele mo tumelong gore se jaanong se neng se fifetse tlhaloganyo ya bone se tla mo nakong e e tshwanetseng sa dirwa phepa.”</w:t>
      </w:r>
    </w:p>
    <w:p>
      <w:pPr>
        <w:pStyle w:val="ArticleScripture"/>
        <w:jc w:val="left"/>
      </w:pPr>
      <w:r>
        <w:rPr>
          <w:rFonts w:ascii="Times New Roman" w:hAnsi="Times New Roman" w:eastAsia="Times New Roman" w:cs="Times New Roman"/>
        </w:rPr>
        <w:t>“Ntwa me nkorɔfoɔ yi mu ne deɛ ɛwɔ Habakkuk 2:1–4 no mu no: ‘Mɛgyina me wɛnbea so, na mede me ho bɛsi aban no so, na mɛhwɛ ahu deɛ Ɔbɛka akyerɛ me, ne deɛ mɛbua sɛ wɔka m’anim. Na Awurade buaa me kae sɛ, Kyerɛw anisoadehunu no, na ma no nyɛ pefee wɔ adansesɛmpono so, na nea ɔkenkan no ntumi mmirika. Na anisoadehunu no da so ara wɔ bere a wɔahyɛ ama no; nanso awiei no, ɛbɛkasa, na ɛrenni atorɔ. Sɛ ɛtwa kyɛ mpo a, twɛn no; efisɛ ɛbɛba ampa, ɛrenkyɛ. Hwɛ, nea ne kra ama so no, ne koma nteɛ wɔ ne mu; na ɔtreneeni de, ne gyidi na ɔde bɛtena nkwa mu.’”</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၁၈၄၂</w:t>
      </w:r>
      <w:r>
        <w:rPr>
          <w:rFonts w:ascii="Times New Roman" w:hAnsi="Times New Roman" w:eastAsia="Times New Roman" w:cs="Times New Roman"/>
        </w:rPr>
        <w:t xml:space="preserve"> </w:t>
      </w:r>
      <w:r>
        <w:rPr>
          <w:rFonts w:ascii="Myanmar Text" w:hAnsi="Myanmar Text" w:eastAsia="Myanmar Text" w:cs="Myanmar Text"/>
        </w:rPr>
        <w:t>ခုနှစ်ကတည်းကပင်</w:t>
      </w:r>
      <w:r>
        <w:rPr>
          <w:rFonts w:ascii="Times New Roman" w:hAnsi="Times New Roman" w:eastAsia="Times New Roman" w:cs="Times New Roman"/>
        </w:rPr>
        <w:t xml:space="preserve"> </w:t>
      </w:r>
      <w:r>
        <w:rPr>
          <w:rFonts w:ascii="Myanmar Text" w:hAnsi="Myanmar Text" w:eastAsia="Myanmar Text" w:cs="Myanmar Text"/>
        </w:rPr>
        <w:t>ဤပရောဖက်ပြုချက်အတွင်းရှိ</w:t>
      </w:r>
      <w:r>
        <w:rPr>
          <w:rFonts w:ascii="Times New Roman" w:hAnsi="Times New Roman" w:eastAsia="Times New Roman" w:cs="Times New Roman"/>
        </w:rPr>
        <w:t xml:space="preserve"> ‘</w:t>
      </w:r>
      <w:r>
        <w:rPr>
          <w:rFonts w:ascii="Myanmar Text" w:hAnsi="Myanmar Text" w:eastAsia="Myanmar Text" w:cs="Myanmar Text"/>
        </w:rPr>
        <w:t>ဗျာဒိတ်တော်ကို</w:t>
      </w:r>
      <w:r>
        <w:rPr>
          <w:rFonts w:ascii="Times New Roman" w:hAnsi="Times New Roman" w:eastAsia="Times New Roman" w:cs="Times New Roman"/>
        </w:rPr>
        <w:t xml:space="preserve"> </w:t>
      </w:r>
      <w:r>
        <w:rPr>
          <w:rFonts w:ascii="Myanmar Text" w:hAnsi="Myanmar Text" w:eastAsia="Myanmar Text" w:cs="Myanmar Text"/>
        </w:rPr>
        <w:t>ရေးမှတ်၍</w:t>
      </w:r>
      <w:r>
        <w:rPr>
          <w:rFonts w:ascii="Times New Roman" w:hAnsi="Times New Roman" w:eastAsia="Times New Roman" w:cs="Times New Roman"/>
        </w:rPr>
        <w:t xml:space="preserve"> </w:t>
      </w:r>
      <w:r>
        <w:rPr>
          <w:rFonts w:ascii="Myanmar Text" w:hAnsi="Myanmar Text" w:eastAsia="Myanmar Text" w:cs="Myanmar Text"/>
        </w:rPr>
        <w:t>ဖတ်သောသူသည်</w:t>
      </w:r>
      <w:r>
        <w:rPr>
          <w:rFonts w:ascii="Times New Roman" w:hAnsi="Times New Roman" w:eastAsia="Times New Roman" w:cs="Times New Roman"/>
        </w:rPr>
        <w:t xml:space="preserve"> </w:t>
      </w:r>
      <w:r>
        <w:rPr>
          <w:rFonts w:ascii="Myanmar Text" w:hAnsi="Myanmar Text" w:eastAsia="Myanmar Text" w:cs="Myanmar Text"/>
        </w:rPr>
        <w:t>ပြေးနိုင်စေခြင်းငှာ</w:t>
      </w:r>
      <w:r>
        <w:rPr>
          <w:rFonts w:ascii="Times New Roman" w:hAnsi="Times New Roman" w:eastAsia="Times New Roman" w:cs="Times New Roman"/>
        </w:rPr>
        <w:t xml:space="preserve"> </w:t>
      </w:r>
      <w:r>
        <w:rPr>
          <w:rFonts w:ascii="Myanmar Text" w:hAnsi="Myanmar Text" w:eastAsia="Myanmar Text" w:cs="Myanmar Text"/>
        </w:rPr>
        <w:t>ပြားများပေါ်တွင်</w:t>
      </w:r>
      <w:r>
        <w:rPr>
          <w:rFonts w:ascii="Times New Roman" w:hAnsi="Times New Roman" w:eastAsia="Times New Roman" w:cs="Times New Roman"/>
        </w:rPr>
        <w:t xml:space="preserve"> </w:t>
      </w:r>
      <w:r>
        <w:rPr>
          <w:rFonts w:ascii="Myanmar Text" w:hAnsi="Myanmar Text" w:eastAsia="Myanmar Text" w:cs="Myanmar Text"/>
        </w:rPr>
        <w:t>ထင်ရှားစွာရေးထားလော့</w:t>
      </w:r>
      <w:r>
        <w:rPr>
          <w:rFonts w:ascii="Times New Roman" w:hAnsi="Times New Roman" w:eastAsia="Times New Roman" w:cs="Times New Roman"/>
        </w:rPr>
        <w:t xml:space="preserve">’ </w:t>
      </w:r>
      <w:r>
        <w:rPr>
          <w:rFonts w:ascii="Myanmar Text" w:hAnsi="Myanmar Text" w:eastAsia="Myanmar Text" w:cs="Myanmar Text"/>
        </w:rPr>
        <w:t>ဟူသော</w:t>
      </w:r>
      <w:r>
        <w:rPr>
          <w:rFonts w:ascii="Times New Roman" w:hAnsi="Times New Roman" w:eastAsia="Times New Roman" w:cs="Times New Roman"/>
        </w:rPr>
        <w:t xml:space="preserve"> </w:t>
      </w:r>
      <w:r>
        <w:rPr>
          <w:rFonts w:ascii="Myanmar Text" w:hAnsi="Myanmar Text" w:eastAsia="Myanmar Text" w:cs="Myanmar Text"/>
        </w:rPr>
        <w:t>ညွှန်ကြားချက်သည်</w:t>
      </w:r>
      <w:r>
        <w:rPr>
          <w:rFonts w:ascii="Times New Roman" w:hAnsi="Times New Roman" w:eastAsia="Times New Roman" w:cs="Times New Roman"/>
        </w:rPr>
        <w:t xml:space="preserve"> </w:t>
      </w:r>
      <w:r>
        <w:rPr>
          <w:rFonts w:ascii="Myanmar Text" w:hAnsi="Myanmar Text" w:eastAsia="Myanmar Text" w:cs="Myanmar Text"/>
        </w:rPr>
        <w:t>ဒန်နီယေလ်နှင့်</w:t>
      </w:r>
      <w:r>
        <w:rPr>
          <w:rFonts w:ascii="Times New Roman" w:hAnsi="Times New Roman" w:eastAsia="Times New Roman" w:cs="Times New Roman"/>
        </w:rPr>
        <w:t xml:space="preserve"> </w:t>
      </w:r>
      <w:r>
        <w:rPr>
          <w:rFonts w:ascii="Myanmar Text" w:hAnsi="Myanmar Text" w:eastAsia="Myanmar Text" w:cs="Myanmar Text"/>
        </w:rPr>
        <w:t>ဗျာဒိတ်ကျမ်းတို့၏</w:t>
      </w:r>
      <w:r>
        <w:rPr>
          <w:rFonts w:ascii="Times New Roman" w:hAnsi="Times New Roman" w:eastAsia="Times New Roman" w:cs="Times New Roman"/>
        </w:rPr>
        <w:t xml:space="preserve"> </w:t>
      </w:r>
      <w:r>
        <w:rPr>
          <w:rFonts w:ascii="Myanmar Text" w:hAnsi="Myanmar Text" w:eastAsia="Myanmar Text" w:cs="Myanmar Text"/>
        </w:rPr>
        <w:t>ရူပါရုံများကို</w:t>
      </w:r>
      <w:r>
        <w:rPr>
          <w:rFonts w:ascii="Times New Roman" w:hAnsi="Times New Roman" w:eastAsia="Times New Roman" w:cs="Times New Roman"/>
        </w:rPr>
        <w:t xml:space="preserve"> </w:t>
      </w:r>
      <w:r>
        <w:rPr>
          <w:rFonts w:ascii="Myanmar Text" w:hAnsi="Myanmar Text" w:eastAsia="Myanmar Text" w:cs="Myanmar Text"/>
        </w:rPr>
        <w:t>ရှင်းလင်းဖော်ပြရန်</w:t>
      </w:r>
      <w:r>
        <w:rPr>
          <w:rFonts w:ascii="Times New Roman" w:hAnsi="Times New Roman" w:eastAsia="Times New Roman" w:cs="Times New Roman"/>
        </w:rPr>
        <w:t xml:space="preserve"> </w:t>
      </w:r>
      <w:r>
        <w:rPr>
          <w:rFonts w:ascii="Myanmar Text" w:hAnsi="Myanmar Text" w:eastAsia="Myanmar Text" w:cs="Myanmar Text"/>
        </w:rPr>
        <w:t>ပရောဖက်ပြဇယားတစ်ခု</w:t>
      </w:r>
      <w:r>
        <w:rPr>
          <w:rFonts w:ascii="Times New Roman" w:hAnsi="Times New Roman" w:eastAsia="Times New Roman" w:cs="Times New Roman"/>
        </w:rPr>
        <w:t xml:space="preserve"> </w:t>
      </w:r>
      <w:r>
        <w:rPr>
          <w:rFonts w:ascii="Myanmar Text" w:hAnsi="Myanmar Text" w:eastAsia="Myanmar Text" w:cs="Myanmar Text"/>
        </w:rPr>
        <w:t>ပြင်ဆင်ရေးဆွဲရန်</w:t>
      </w:r>
      <w:r>
        <w:rPr>
          <w:rFonts w:ascii="Times New Roman" w:hAnsi="Times New Roman" w:eastAsia="Times New Roman" w:cs="Times New Roman"/>
        </w:rPr>
        <w:t xml:space="preserve"> Charles Fitch </w:t>
      </w:r>
      <w:r>
        <w:rPr>
          <w:rFonts w:ascii="Myanmar Text" w:hAnsi="Myanmar Text" w:eastAsia="Myanmar Text" w:cs="Myanmar Text"/>
        </w:rPr>
        <w:t>အား</w:t>
      </w:r>
      <w:r>
        <w:rPr>
          <w:rFonts w:ascii="Times New Roman" w:hAnsi="Times New Roman" w:eastAsia="Times New Roman" w:cs="Times New Roman"/>
        </w:rPr>
        <w:t xml:space="preserve"> </w:t>
      </w:r>
      <w:r>
        <w:rPr>
          <w:rFonts w:ascii="Myanmar Text" w:hAnsi="Myanmar Text" w:eastAsia="Myanmar Text" w:cs="Myanmar Text"/>
        </w:rPr>
        <w:t>အကြံပေးလှုံ့ဆော်ခဲ့သည်။</w:t>
      </w:r>
      <w:r>
        <w:rPr>
          <w:rFonts w:ascii="Times New Roman" w:hAnsi="Times New Roman" w:eastAsia="Times New Roman" w:cs="Times New Roman"/>
        </w:rPr>
        <w:t xml:space="preserve"> </w:t>
      </w:r>
      <w:r>
        <w:rPr>
          <w:rFonts w:ascii="Myanmar Text" w:hAnsi="Myanmar Text" w:eastAsia="Myanmar Text" w:cs="Myanmar Text"/>
        </w:rPr>
        <w:t>ထိုပြဇယားကို</w:t>
      </w:r>
      <w:r>
        <w:rPr>
          <w:rFonts w:ascii="Times New Roman" w:hAnsi="Times New Roman" w:eastAsia="Times New Roman" w:cs="Times New Roman"/>
        </w:rPr>
        <w:t xml:space="preserve"> </w:t>
      </w:r>
      <w:r>
        <w:rPr>
          <w:rFonts w:ascii="Myanmar Text" w:hAnsi="Myanmar Text" w:eastAsia="Myanmar Text" w:cs="Myanmar Text"/>
        </w:rPr>
        <w:t>ထုတ်ဝေခြင်းကို</w:t>
      </w:r>
      <w:r>
        <w:rPr>
          <w:rFonts w:ascii="Times New Roman" w:hAnsi="Times New Roman" w:eastAsia="Times New Roman" w:cs="Times New Roman"/>
        </w:rPr>
        <w:t xml:space="preserve"> </w:t>
      </w:r>
      <w:r>
        <w:rPr>
          <w:rFonts w:ascii="Myanmar Text" w:hAnsi="Myanmar Text" w:eastAsia="Myanmar Text" w:cs="Myanmar Text"/>
        </w:rPr>
        <w:t>ဟဗက္ကုက်အား</w:t>
      </w:r>
      <w:r>
        <w:rPr>
          <w:rFonts w:ascii="Times New Roman" w:hAnsi="Times New Roman" w:eastAsia="Times New Roman" w:cs="Times New Roman"/>
        </w:rPr>
        <w:t xml:space="preserve"> </w:t>
      </w:r>
      <w:r>
        <w:rPr>
          <w:rFonts w:ascii="Myanmar Text" w:hAnsi="Myanmar Text" w:eastAsia="Myanmar Text" w:cs="Myanmar Text"/>
        </w:rPr>
        <w:t>ပေးထားသော</w:t>
      </w:r>
      <w:r>
        <w:rPr>
          <w:rFonts w:ascii="Times New Roman" w:hAnsi="Times New Roman" w:eastAsia="Times New Roman" w:cs="Times New Roman"/>
        </w:rPr>
        <w:t xml:space="preserve"> </w:t>
      </w:r>
      <w:r>
        <w:rPr>
          <w:rFonts w:ascii="Myanmar Text" w:hAnsi="Myanmar Text" w:eastAsia="Myanmar Text" w:cs="Myanmar Text"/>
        </w:rPr>
        <w:t>အမိန့်၏</w:t>
      </w:r>
      <w:r>
        <w:rPr>
          <w:rFonts w:ascii="Times New Roman" w:hAnsi="Times New Roman" w:eastAsia="Times New Roman" w:cs="Times New Roman"/>
        </w:rPr>
        <w:t xml:space="preserve"> </w:t>
      </w:r>
      <w:r>
        <w:rPr>
          <w:rFonts w:ascii="Myanmar Text" w:hAnsi="Myanmar Text" w:eastAsia="Myanmar Text" w:cs="Myanmar Text"/>
        </w:rPr>
        <w:t>ပြည့်စုံခြင်းတစ်ရပ်အဖြစ်</w:t>
      </w:r>
      <w:r>
        <w:rPr>
          <w:rFonts w:ascii="Times New Roman" w:hAnsi="Times New Roman" w:eastAsia="Times New Roman" w:cs="Times New Roman"/>
        </w:rPr>
        <w:t xml:space="preserve"> </w:t>
      </w:r>
      <w:r>
        <w:rPr>
          <w:rFonts w:ascii="Myanmar Text" w:hAnsi="Myanmar Text" w:eastAsia="Myanmar Text" w:cs="Myanmar Text"/>
        </w:rPr>
        <w:t>မှတ်ယူခဲ့ကြသည်။</w:t>
      </w:r>
      <w:r>
        <w:rPr>
          <w:rFonts w:ascii="Times New Roman" w:hAnsi="Times New Roman" w:eastAsia="Times New Roman" w:cs="Times New Roman"/>
        </w:rPr>
        <w:t xml:space="preserve"> </w:t>
      </w:r>
      <w:r>
        <w:rPr>
          <w:rFonts w:ascii="Myanmar Text" w:hAnsi="Myanmar Text" w:eastAsia="Myanmar Text" w:cs="Myanmar Text"/>
        </w:rPr>
        <w:t>သို့ရာတွင်</w:t>
      </w:r>
      <w:r>
        <w:rPr>
          <w:rFonts w:ascii="Times New Roman" w:hAnsi="Times New Roman" w:eastAsia="Times New Roman" w:cs="Times New Roman"/>
        </w:rPr>
        <w:t xml:space="preserve"> </w:t>
      </w:r>
      <w:r>
        <w:rPr>
          <w:rFonts w:ascii="Myanmar Text" w:hAnsi="Myanmar Text" w:eastAsia="Myanmar Text" w:cs="Myanmar Text"/>
        </w:rPr>
        <w:t>ထိုအချိန်၌</w:t>
      </w:r>
      <w:r>
        <w:rPr>
          <w:rFonts w:ascii="Times New Roman" w:hAnsi="Times New Roman" w:eastAsia="Times New Roman" w:cs="Times New Roman"/>
        </w:rPr>
        <w:t xml:space="preserve"> </w:t>
      </w:r>
      <w:r>
        <w:rPr>
          <w:rFonts w:ascii="Myanmar Text" w:hAnsi="Myanmar Text" w:eastAsia="Myanmar Text" w:cs="Myanmar Text"/>
        </w:rPr>
        <w:t>ရူပါရုံ၏</w:t>
      </w:r>
      <w:r>
        <w:rPr>
          <w:rFonts w:ascii="Times New Roman" w:hAnsi="Times New Roman" w:eastAsia="Times New Roman" w:cs="Times New Roman"/>
        </w:rPr>
        <w:t xml:space="preserve"> </w:t>
      </w:r>
      <w:r>
        <w:rPr>
          <w:rFonts w:ascii="Myanmar Text" w:hAnsi="Myanmar Text" w:eastAsia="Myanmar Text" w:cs="Myanmar Text"/>
        </w:rPr>
        <w:t>ပြည့်စုံအကောင်အထည်ပေါ်လာခြင်းတွင်</w:t>
      </w:r>
      <w:r>
        <w:rPr>
          <w:rFonts w:ascii="Times New Roman" w:hAnsi="Times New Roman" w:eastAsia="Times New Roman" w:cs="Times New Roman"/>
        </w:rPr>
        <w:t xml:space="preserve"> </w:t>
      </w:r>
      <w:r>
        <w:rPr>
          <w:rFonts w:ascii="Myanmar Text" w:hAnsi="Myanmar Text" w:eastAsia="Myanmar Text" w:cs="Myanmar Text"/>
        </w:rPr>
        <w:t>ထင်ရှားသော</w:t>
      </w:r>
      <w:r>
        <w:rPr>
          <w:rFonts w:ascii="Times New Roman" w:hAnsi="Times New Roman" w:eastAsia="Times New Roman" w:cs="Times New Roman"/>
        </w:rPr>
        <w:t xml:space="preserve"> </w:t>
      </w:r>
      <w:r>
        <w:rPr>
          <w:rFonts w:ascii="Myanmar Text" w:hAnsi="Myanmar Text" w:eastAsia="Myanmar Text" w:cs="Myanmar Text"/>
        </w:rPr>
        <w:t>နှောင့်နှေးချိန်တစ်ရပ်</w:t>
      </w:r>
      <w:r>
        <w:rPr>
          <w:rFonts w:ascii="Times New Roman" w:hAnsi="Times New Roman" w:eastAsia="Times New Roman" w:cs="Times New Roman"/>
        </w:rPr>
        <w:t>—</w:t>
      </w:r>
      <w:r>
        <w:rPr>
          <w:rFonts w:ascii="Myanmar Text" w:hAnsi="Myanmar Text" w:eastAsia="Myanmar Text" w:cs="Myanmar Text"/>
        </w:rPr>
        <w:t>ဆိုင်းငံ့သောကာလတစ်ရပ်</w:t>
      </w:r>
      <w:r>
        <w:rPr>
          <w:rFonts w:ascii="Times New Roman" w:hAnsi="Times New Roman" w:eastAsia="Times New Roman" w:cs="Times New Roman"/>
        </w:rPr>
        <w:t>—</w:t>
      </w:r>
      <w:r>
        <w:rPr>
          <w:rFonts w:ascii="Myanmar Text" w:hAnsi="Myanmar Text" w:eastAsia="Myanmar Text" w:cs="Myanmar Text"/>
        </w:rPr>
        <w:t>ကို</w:t>
      </w:r>
      <w:r>
        <w:rPr>
          <w:rFonts w:ascii="Times New Roman" w:hAnsi="Times New Roman" w:eastAsia="Times New Roman" w:cs="Times New Roman"/>
        </w:rPr>
        <w:t xml:space="preserve"> </w:t>
      </w:r>
      <w:r>
        <w:rPr>
          <w:rFonts w:ascii="Myanmar Text" w:hAnsi="Myanmar Text" w:eastAsia="Myanmar Text" w:cs="Myanmar Text"/>
        </w:rPr>
        <w:t>တူညီသော</w:t>
      </w:r>
      <w:r>
        <w:rPr>
          <w:rFonts w:ascii="Times New Roman" w:hAnsi="Times New Roman" w:eastAsia="Times New Roman" w:cs="Times New Roman"/>
        </w:rPr>
        <w:t xml:space="preserve"> </w:t>
      </w:r>
      <w:r>
        <w:rPr>
          <w:rFonts w:ascii="Myanmar Text" w:hAnsi="Myanmar Text" w:eastAsia="Myanmar Text" w:cs="Myanmar Text"/>
        </w:rPr>
        <w:t>ပရောဖက်ပြုချက်အတွင်း</w:t>
      </w:r>
      <w:r>
        <w:rPr>
          <w:rFonts w:ascii="Times New Roman" w:hAnsi="Times New Roman" w:eastAsia="Times New Roman" w:cs="Times New Roman"/>
        </w:rPr>
        <w:t xml:space="preserve"> </w:t>
      </w:r>
      <w:r>
        <w:rPr>
          <w:rFonts w:ascii="Myanmar Text" w:hAnsi="Myanmar Text" w:eastAsia="Myanmar Text" w:cs="Myanmar Text"/>
        </w:rPr>
        <w:t>တင်ပြထားကြောင်း</w:t>
      </w:r>
      <w:r>
        <w:rPr>
          <w:rFonts w:ascii="Times New Roman" w:hAnsi="Times New Roman" w:eastAsia="Times New Roman" w:cs="Times New Roman"/>
        </w:rPr>
        <w:t xml:space="preserve"> </w:t>
      </w:r>
      <w:r>
        <w:rPr>
          <w:rFonts w:ascii="Myanmar Text" w:hAnsi="Myanmar Text" w:eastAsia="Myanmar Text" w:cs="Myanmar Text"/>
        </w:rPr>
        <w:t>မည်သူမျှ</w:t>
      </w:r>
      <w:r>
        <w:rPr>
          <w:rFonts w:ascii="Times New Roman" w:hAnsi="Times New Roman" w:eastAsia="Times New Roman" w:cs="Times New Roman"/>
        </w:rPr>
        <w:t xml:space="preserve"> </w:t>
      </w:r>
      <w:r>
        <w:rPr>
          <w:rFonts w:ascii="Myanmar Text" w:hAnsi="Myanmar Text" w:eastAsia="Myanmar Text" w:cs="Myanmar Text"/>
        </w:rPr>
        <w:t>သတိမပြုမိခဲ့ကြ။</w:t>
      </w:r>
      <w:r>
        <w:rPr>
          <w:rFonts w:ascii="Times New Roman" w:hAnsi="Times New Roman" w:eastAsia="Times New Roman" w:cs="Times New Roman"/>
        </w:rPr>
        <w:t xml:space="preserve"> </w:t>
      </w:r>
      <w:r>
        <w:rPr>
          <w:rFonts w:ascii="Myanmar Text" w:hAnsi="Myanmar Text" w:eastAsia="Myanmar Text" w:cs="Myanmar Text"/>
        </w:rPr>
        <w:t>စိတ်ပျက်ခြင်းနောက်ပိုင်းတွင်</w:t>
      </w:r>
      <w:r>
        <w:rPr>
          <w:rFonts w:ascii="Times New Roman" w:hAnsi="Times New Roman" w:eastAsia="Times New Roman" w:cs="Times New Roman"/>
        </w:rPr>
        <w:t xml:space="preserve"> </w:t>
      </w:r>
      <w:r>
        <w:rPr>
          <w:rFonts w:ascii="Myanmar Text" w:hAnsi="Myanmar Text" w:eastAsia="Myanmar Text" w:cs="Myanmar Text"/>
        </w:rPr>
        <w:t>ဤကျမ်းပိုဒ်သည်</w:t>
      </w:r>
      <w:r>
        <w:rPr>
          <w:rFonts w:ascii="Times New Roman" w:hAnsi="Times New Roman" w:eastAsia="Times New Roman" w:cs="Times New Roman"/>
        </w:rPr>
        <w:t xml:space="preserve"> </w:t>
      </w:r>
      <w:r>
        <w:rPr>
          <w:rFonts w:ascii="Myanmar Text" w:hAnsi="Myanmar Text" w:eastAsia="Myanmar Text" w:cs="Myanmar Text"/>
        </w:rPr>
        <w:t>အလွန်အရေးပါသည့်အရာအဖြစ်</w:t>
      </w:r>
      <w:r>
        <w:rPr>
          <w:rFonts w:ascii="Times New Roman" w:hAnsi="Times New Roman" w:eastAsia="Times New Roman" w:cs="Times New Roman"/>
        </w:rPr>
        <w:t xml:space="preserve"> </w:t>
      </w:r>
      <w:r>
        <w:rPr>
          <w:rFonts w:ascii="Myanmar Text" w:hAnsi="Myanmar Text" w:eastAsia="Myanmar Text" w:cs="Myanmar Text"/>
        </w:rPr>
        <w:t>ပေါ်ထွက်လာခဲ့သည်။</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ထိုရူပါရုံသည်</w:t>
      </w:r>
      <w:r>
        <w:rPr>
          <w:rFonts w:ascii="Times New Roman" w:hAnsi="Times New Roman" w:eastAsia="Times New Roman" w:cs="Times New Roman"/>
        </w:rPr>
        <w:t xml:space="preserve"> </w:t>
      </w:r>
      <w:r>
        <w:rPr>
          <w:rFonts w:ascii="Myanmar Text" w:hAnsi="Myanmar Text" w:eastAsia="Myanmar Text" w:cs="Myanmar Text"/>
        </w:rPr>
        <w:t>သတ်မှတ်ထားသောအချိန်အတွက်သာ</w:t>
      </w:r>
      <w:r>
        <w:rPr>
          <w:rFonts w:ascii="Times New Roman" w:hAnsi="Times New Roman" w:eastAsia="Times New Roman" w:cs="Times New Roman"/>
        </w:rPr>
        <w:t xml:space="preserve"> </w:t>
      </w:r>
      <w:r>
        <w:rPr>
          <w:rFonts w:ascii="Myanmar Text" w:hAnsi="Myanmar Text" w:eastAsia="Myanmar Text" w:cs="Myanmar Text"/>
        </w:rPr>
        <w:t>ဖြစ်သေး၏။</w:t>
      </w:r>
      <w:r>
        <w:rPr>
          <w:rFonts w:ascii="Times New Roman" w:hAnsi="Times New Roman" w:eastAsia="Times New Roman" w:cs="Times New Roman"/>
        </w:rPr>
        <w:t xml:space="preserve"> </w:t>
      </w:r>
      <w:r>
        <w:rPr>
          <w:rFonts w:ascii="Myanmar Text" w:hAnsi="Myanmar Text" w:eastAsia="Myanmar Text" w:cs="Myanmar Text"/>
        </w:rPr>
        <w:t>သို့ရာတွင်</w:t>
      </w:r>
      <w:r>
        <w:rPr>
          <w:rFonts w:ascii="Times New Roman" w:hAnsi="Times New Roman" w:eastAsia="Times New Roman" w:cs="Times New Roman"/>
        </w:rPr>
        <w:t xml:space="preserve"> </w:t>
      </w:r>
      <w:r>
        <w:rPr>
          <w:rFonts w:ascii="Myanmar Text" w:hAnsi="Myanmar Text" w:eastAsia="Myanmar Text" w:cs="Myanmar Text"/>
        </w:rPr>
        <w:t>အဆုံး၌</w:t>
      </w:r>
      <w:r>
        <w:rPr>
          <w:rFonts w:ascii="Times New Roman" w:hAnsi="Times New Roman" w:eastAsia="Times New Roman" w:cs="Times New Roman"/>
        </w:rPr>
        <w:t xml:space="preserve"> </w:t>
      </w:r>
      <w:r>
        <w:rPr>
          <w:rFonts w:ascii="Myanmar Text" w:hAnsi="Myanmar Text" w:eastAsia="Myanmar Text" w:cs="Myanmar Text"/>
        </w:rPr>
        <w:t>၎င်းသည်</w:t>
      </w:r>
      <w:r>
        <w:rPr>
          <w:rFonts w:ascii="Times New Roman" w:hAnsi="Times New Roman" w:eastAsia="Times New Roman" w:cs="Times New Roman"/>
        </w:rPr>
        <w:t xml:space="preserve"> </w:t>
      </w:r>
      <w:r>
        <w:rPr>
          <w:rFonts w:ascii="Myanmar Text" w:hAnsi="Myanmar Text" w:eastAsia="Myanmar Text" w:cs="Myanmar Text"/>
        </w:rPr>
        <w:t>ပြောဆိုမည်ဖြစ်၍</w:t>
      </w:r>
      <w:r>
        <w:rPr>
          <w:rFonts w:ascii="Times New Roman" w:hAnsi="Times New Roman" w:eastAsia="Times New Roman" w:cs="Times New Roman"/>
        </w:rPr>
        <w:t xml:space="preserve"> </w:t>
      </w:r>
      <w:r>
        <w:rPr>
          <w:rFonts w:ascii="Myanmar Text" w:hAnsi="Myanmar Text" w:eastAsia="Myanmar Text" w:cs="Myanmar Text"/>
        </w:rPr>
        <w:t>မလိမ်မည်။</w:t>
      </w:r>
      <w:r>
        <w:rPr>
          <w:rFonts w:ascii="Times New Roman" w:hAnsi="Times New Roman" w:eastAsia="Times New Roman" w:cs="Times New Roman"/>
        </w:rPr>
        <w:t xml:space="preserve"> </w:t>
      </w:r>
      <w:r>
        <w:rPr>
          <w:rFonts w:ascii="Myanmar Text" w:hAnsi="Myanmar Text" w:eastAsia="Myanmar Text" w:cs="Myanmar Text"/>
        </w:rPr>
        <w:t>နှောင့်နှေးသည်ဟု</w:t>
      </w:r>
      <w:r>
        <w:rPr>
          <w:rFonts w:ascii="Times New Roman" w:hAnsi="Times New Roman" w:eastAsia="Times New Roman" w:cs="Times New Roman"/>
        </w:rPr>
        <w:t xml:space="preserve"> </w:t>
      </w:r>
      <w:r>
        <w:rPr>
          <w:rFonts w:ascii="Myanmar Text" w:hAnsi="Myanmar Text" w:eastAsia="Myanmar Text" w:cs="Myanmar Text"/>
        </w:rPr>
        <w:t>ထင်ရလျှင်ပင်</w:t>
      </w:r>
      <w:r>
        <w:rPr>
          <w:rFonts w:ascii="Times New Roman" w:hAnsi="Times New Roman" w:eastAsia="Times New Roman" w:cs="Times New Roman"/>
        </w:rPr>
        <w:t xml:space="preserve"> </w:t>
      </w:r>
      <w:r>
        <w:rPr>
          <w:rFonts w:ascii="Myanmar Text" w:hAnsi="Myanmar Text" w:eastAsia="Myanmar Text" w:cs="Myanmar Text"/>
        </w:rPr>
        <w:t>၎င်းကို</w:t>
      </w:r>
      <w:r>
        <w:rPr>
          <w:rFonts w:ascii="Times New Roman" w:hAnsi="Times New Roman" w:eastAsia="Times New Roman" w:cs="Times New Roman"/>
        </w:rPr>
        <w:t xml:space="preserve"> </w:t>
      </w:r>
      <w:r>
        <w:rPr>
          <w:rFonts w:ascii="Myanmar Text" w:hAnsi="Myanmar Text" w:eastAsia="Myanmar Text" w:cs="Myanmar Text"/>
        </w:rPr>
        <w:t>စောင့်လော့။</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၎င်းသည်</w:t>
      </w:r>
      <w:r>
        <w:rPr>
          <w:rFonts w:ascii="Times New Roman" w:hAnsi="Times New Roman" w:eastAsia="Times New Roman" w:cs="Times New Roman"/>
        </w:rPr>
        <w:t xml:space="preserve"> </w:t>
      </w:r>
      <w:r>
        <w:rPr>
          <w:rFonts w:ascii="Myanmar Text" w:hAnsi="Myanmar Text" w:eastAsia="Myanmar Text" w:cs="Myanmar Text"/>
        </w:rPr>
        <w:t>အမှန်ပင်</w:t>
      </w:r>
      <w:r>
        <w:rPr>
          <w:rFonts w:ascii="Times New Roman" w:hAnsi="Times New Roman" w:eastAsia="Times New Roman" w:cs="Times New Roman"/>
        </w:rPr>
        <w:t xml:space="preserve"> </w:t>
      </w:r>
      <w:r>
        <w:rPr>
          <w:rFonts w:ascii="Myanmar Text" w:hAnsi="Myanmar Text" w:eastAsia="Myanmar Text" w:cs="Myanmar Text"/>
        </w:rPr>
        <w:t>ရောက်လာမည်ဖြစ်၍</w:t>
      </w:r>
      <w:r>
        <w:rPr>
          <w:rFonts w:ascii="Times New Roman" w:hAnsi="Times New Roman" w:eastAsia="Times New Roman" w:cs="Times New Roman"/>
        </w:rPr>
        <w:t xml:space="preserve"> </w:t>
      </w:r>
      <w:r>
        <w:rPr>
          <w:rFonts w:ascii="Myanmar Text" w:hAnsi="Myanmar Text" w:eastAsia="Myanmar Text" w:cs="Myanmar Text"/>
        </w:rPr>
        <w:t>မနှောင့်နှေးမည်</w:t>
      </w:r>
      <w:r>
        <w:rPr>
          <w:rFonts w:ascii="Times New Roman" w:hAnsi="Times New Roman" w:eastAsia="Times New Roman" w:cs="Times New Roman"/>
        </w:rPr>
        <w:t xml:space="preserve">…. </w:t>
      </w:r>
      <w:r>
        <w:rPr>
          <w:rFonts w:ascii="Myanmar Text" w:hAnsi="Myanmar Text" w:eastAsia="Myanmar Text" w:cs="Myanmar Text"/>
        </w:rPr>
        <w:t>ဖြောင့်မတ်သောသူမူကား</w:t>
      </w:r>
      <w:r>
        <w:rPr>
          <w:rFonts w:ascii="Times New Roman" w:hAnsi="Times New Roman" w:eastAsia="Times New Roman" w:cs="Times New Roman"/>
        </w:rPr>
        <w:t xml:space="preserve"> </w:t>
      </w:r>
      <w:r>
        <w:rPr>
          <w:rFonts w:ascii="Myanmar Text" w:hAnsi="Myanmar Text" w:eastAsia="Myanmar Text" w:cs="Myanmar Text"/>
        </w:rPr>
        <w:t>မိမိ၏</w:t>
      </w:r>
      <w:r>
        <w:rPr>
          <w:rFonts w:ascii="Times New Roman" w:hAnsi="Times New Roman" w:eastAsia="Times New Roman" w:cs="Times New Roman"/>
        </w:rPr>
        <w:t xml:space="preserve"> </w:t>
      </w:r>
      <w:r>
        <w:rPr>
          <w:rFonts w:ascii="Myanmar Text" w:hAnsi="Myanmar Text" w:eastAsia="Myanmar Text" w:cs="Myanmar Text"/>
        </w:rPr>
        <w:t>ယုံကြည်ခြင်းအားဖြင့်</w:t>
      </w:r>
      <w:r>
        <w:rPr>
          <w:rFonts w:ascii="Times New Roman" w:hAnsi="Times New Roman" w:eastAsia="Times New Roman" w:cs="Times New Roman"/>
        </w:rPr>
        <w:t xml:space="preserve"> </w:t>
      </w:r>
      <w:r>
        <w:rPr>
          <w:rFonts w:ascii="Myanmar Text" w:hAnsi="Myanmar Text" w:eastAsia="Myanmar Text" w:cs="Myanmar Text"/>
        </w:rPr>
        <w:t>အသက်ရှင်လိမ့်မည်။</w:t>
      </w:r>
      <w:r>
        <w:rPr>
          <w:rFonts w:ascii="Times New Roman" w:hAnsi="Times New Roman" w:eastAsia="Times New Roman" w:cs="Times New Roman"/>
        </w:rPr>
        <w:t>’ The Great Controversy, 391, 392.”</w:t>
      </w:r>
    </w:p>
    <w:p>
      <w:pPr>
        <w:pStyle w:val="ArticleBody"/>
        <w:jc w:val="left"/>
      </w:pPr>
      <w:r>
        <w:rPr>
          <w:rFonts w:ascii="Times New Roman" w:hAnsi="Times New Roman" w:eastAsia="Times New Roman" w:cs="Times New Roman"/>
        </w:rPr>
        <w:t>Tabel ka nyngkong bad ka ba ar jong u Habakkuk ki long ha ka jingïathuhlypa ki ar ngut ki sakhi. Katkum ka Baibl, dei ban wallam lang ïa ar ngut ki sakhi ban pynskhem ïa ka jingshisha.</w:t>
      </w:r>
    </w:p>
    <w:p>
      <w:pPr>
        <w:pStyle w:val="ArticleScripture"/>
        <w:jc w:val="left"/>
      </w:pPr>
      <w:r>
        <w:rPr>
          <w:rFonts w:ascii="Times New Roman" w:hAnsi="Times New Roman" w:eastAsia="Times New Roman" w:cs="Times New Roman"/>
        </w:rPr>
        <w:t>Empa ariho eho, ka take lole nwere mayen mo: ‘Take myen-ko tituwa, with one or two more, that in the mouth of two or three witnesses every word may be established’ (Matthew 18:16).</w:t>
      </w:r>
    </w:p>
    <w:p>
      <w:pPr>
        <w:pStyle w:val="ArticleBody"/>
        <w:jc w:val="left"/>
      </w:pPr>
      <w:r>
        <w:rPr>
          <w:rFonts w:ascii="Times New Roman" w:hAnsi="Times New Roman" w:eastAsia="Times New Roman" w:cs="Times New Roman"/>
        </w:rPr>
        <w:t>Ha Habakkuk ah ƛhutepuan pakhatnihte (1843 leh 1850 pioneer chart-te) chu pakhat chunga pakhat an dah khawm chuan, an chhanna hi Miller-a mang “jewel” pawimawhte nihna thutak a nemnghet a. 1843-a palhna, table hmasa zuala entîr chu, table pahnihna nena an chunga an dah khawm hnuah, vision-a hun tlaihna a dinhmun ṭha takin a nemnghet a. Miller (chu hun chanchina watchman entîrnaa hmanga awm) chuan, a hun chanchina debate laia eng nge sawi tûr a nih tih a zawt a.</w:t>
      </w:r>
    </w:p>
    <w:p>
      <w:pPr>
        <w:pStyle w:val="ArticleScripture"/>
        <w:jc w:val="left"/>
      </w:pPr>
      <w:r>
        <w:rPr>
          <w:rFonts w:ascii="Times New Roman" w:hAnsi="Times New Roman" w:eastAsia="Times New Roman" w:cs="Times New Roman"/>
        </w:rPr>
        <w:t>Ndzi ta yima eka ntirho wa mina wo rindza, ndzi tiyimisela ehenhla ka xihondzo, ndzi rindza ku vona leswi a nga ta swi vula eka mina, ni leswi ndzi nga ta swi hlamula loko ndzi tshinyiwa. Habakuki 2:1.</w:t>
      </w:r>
    </w:p>
    <w:p>
      <w:pPr>
        <w:pStyle w:val="ArticleBody"/>
        <w:jc w:val="left"/>
      </w:pPr>
      <w:r>
        <w:rPr>
          <w:rFonts w:ascii="Times New Roman" w:hAnsi="Times New Roman" w:eastAsia="Times New Roman" w:cs="Times New Roman"/>
        </w:rPr>
        <w:t>Morena o ile a laela Miller hore a ngole pono, ’me torong ea hae a beha lebokose le neng le tšoere pono holim’a tafole e bohareng ba kamore ea hae.</w:t>
      </w:r>
    </w:p>
    <w:p>
      <w:pPr>
        <w:pStyle w:val="ArticleScripture"/>
        <w:jc w:val="left"/>
      </w:pPr>
      <w:r>
        <w:rPr>
          <w:rFonts w:ascii="Times New Roman" w:hAnsi="Times New Roman" w:eastAsia="Times New Roman" w:cs="Times New Roman"/>
        </w:rPr>
        <w:t>Tuhan menjawab aku, firman-Nya: Tuliskanlah penglihatan itu dan ukirkanlah dengan jelas pada loh-loh, supaya orang yang membacanya dapat berlari. Habakuk 2:2.</w:t>
      </w:r>
    </w:p>
    <w:p>
      <w:pPr>
        <w:pStyle w:val="ArticleBody"/>
        <w:jc w:val="left"/>
      </w:pPr>
      <w:r>
        <w:rPr>
          <w:rFonts w:ascii="Times New Roman" w:hAnsi="Times New Roman" w:eastAsia="Times New Roman" w:cs="Times New Roman"/>
        </w:rPr>
        <w:t>Matlapa ao a supa nako ya go diega le tlhakatlhakano ya ntlha.</w:t>
      </w:r>
    </w:p>
    <w:p>
      <w:pPr>
        <w:pStyle w:val="ArticleScripture"/>
        <w:jc w:val="left"/>
      </w:pPr>
      <w:r>
        <w:rPr>
          <w:rFonts w:ascii="Times New Roman" w:hAnsi="Times New Roman" w:eastAsia="Times New Roman" w:cs="Times New Roman"/>
        </w:rPr>
        <w:t>Sebab penglihatan itu masih untuk suatu masa yang telah ditetapkan, tetapi pada akhirnya ia akan berbicara dan tidak berdusta; walaupun ia berlambat-lambat, nantikanlah itu, karena itu pasti akan datang, itu tidak akan berlambat-lambat. Habakuk 2:3.</w:t>
      </w:r>
    </w:p>
    <w:p>
      <w:pPr>
        <w:pStyle w:val="ArticleBody"/>
        <w:jc w:val="left"/>
      </w:pPr>
      <w:r>
        <w:rPr>
          <w:rFonts w:ascii="Times New Roman" w:hAnsi="Times New Roman" w:eastAsia="Times New Roman" w:cs="Times New Roman"/>
        </w:rPr>
        <w:t>Izinga ezintathu zenkambiso yokuvivinywa ezivezwe ukwanda kolwazi (amagugu kaMiller) zibe se zifanekiselwa.</w:t>
      </w:r>
    </w:p>
    <w:p>
      <w:pPr>
        <w:pStyle w:val="ArticleScripture"/>
        <w:jc w:val="left"/>
      </w:pPr>
      <w:r>
        <w:rPr>
          <w:rFonts w:ascii="Times New Roman" w:hAnsi="Times New Roman" w:eastAsia="Times New Roman" w:cs="Times New Roman"/>
        </w:rPr>
        <w:t>Lihatlah, jiwanya yang membesar diri itu tidak lurus di dalamnya; tetapi orang benar akan hidup oleh imannya. Habakuk 2:4.</w:t>
      </w:r>
    </w:p>
    <w:p>
      <w:pPr>
        <w:pStyle w:val="ArticleBody"/>
        <w:jc w:val="left"/>
      </w:pPr>
      <w:r>
        <w:rPr>
          <w:rFonts w:ascii="Times New Roman" w:hAnsi="Times New Roman" w:eastAsia="Times New Roman" w:cs="Times New Roman"/>
        </w:rPr>
        <w:t>Magulu ge mbali ya bambelela gaba monikidibwe na njira ja kuyesa ja Danieli chapta twelve.</w:t>
      </w:r>
    </w:p>
    <w:p>
      <w:pPr>
        <w:pStyle w:val="ArticleScripture"/>
        <w:jc w:val="left"/>
      </w:pPr>
      <w:r>
        <w:rPr>
          <w:rFonts w:ascii="Times New Roman" w:hAnsi="Times New Roman" w:eastAsia="Times New Roman" w:cs="Times New Roman"/>
        </w:rPr>
        <w:t>Maka katanya, Pergilah, Daniel, kerana segala firman itu tertutup dan termeterai sampai pada waktu kesudahan. Banyak orang akan disucikan, diputihkan, dan diuji; tetapi orang fasik akan terus berlaku fasik; dan tidak seorang pun daripada orang fasik akan mengerti; tetapi orang bijaksana akan mengerti. Daniel 12:9, 10.</w:t>
      </w:r>
    </w:p>
    <w:p>
      <w:pPr>
        <w:pStyle w:val="ArticleBody"/>
        <w:jc w:val="left"/>
      </w:pPr>
      <w:r>
        <w:rPr>
          <w:rFonts w:ascii="Times New Roman" w:hAnsi="Times New Roman" w:eastAsia="Times New Roman" w:cs="Times New Roman"/>
        </w:rPr>
        <w:t>Bahlale ba Daniele ke barwetsana ba bohlale ba Mattheu 25 ba ileng ba lokafatsoa ka tumelo, ’me ba khopo ke barwetsana ba maoatla ba ileng ba iphahamisa ka boikakaso. Qetellong ea toro ea Miller, mabenyane a emela oli papisong ea barwetsana ba leshome, e leng molaetsa.</w:t>
      </w:r>
    </w:p>
    <w:p>
      <w:pPr>
        <w:pStyle w:val="ArticleScripture"/>
        <w:jc w:val="left"/>
      </w:pPr>
      <w:r>
        <w:rPr>
          <w:rFonts w:ascii="Times New Roman" w:hAnsi="Times New Roman" w:eastAsia="Times New Roman" w:cs="Times New Roman"/>
        </w:rPr>
        <w:t>“</w:t>
      </w:r>
      <w:r>
        <w:rPr>
          <w:rFonts w:ascii="Nirmala UI" w:hAnsi="Nirmala UI" w:eastAsia="Nirmala UI" w:cs="Nirmala UI"/>
        </w:rPr>
        <w:t>जब</w:t>
      </w:r>
      <w:r>
        <w:rPr>
          <w:rFonts w:ascii="Times New Roman" w:hAnsi="Times New Roman" w:eastAsia="Times New Roman" w:cs="Times New Roman"/>
        </w:rPr>
        <w:t xml:space="preserve"> </w:t>
      </w:r>
      <w:r>
        <w:rPr>
          <w:rFonts w:ascii="Nirmala UI" w:hAnsi="Nirmala UI" w:eastAsia="Nirmala UI" w:cs="Nirmala UI"/>
        </w:rPr>
        <w:t>हम</w:t>
      </w:r>
      <w:r>
        <w:rPr>
          <w:rFonts w:ascii="Times New Roman" w:hAnsi="Times New Roman" w:eastAsia="Times New Roman" w:cs="Times New Roman"/>
        </w:rPr>
        <w:t xml:space="preserve"> </w:t>
      </w:r>
      <w:r>
        <w:rPr>
          <w:rFonts w:ascii="Nirmala UI" w:hAnsi="Nirmala UI" w:eastAsia="Nirmala UI" w:cs="Nirmala UI"/>
        </w:rPr>
        <w:t>परमेश्</w:t>
      </w:r>
      <w:r>
        <w:rPr>
          <w:rFonts w:ascii="Times New Roman" w:hAnsi="Times New Roman" w:eastAsia="Times New Roman" w:cs="Times New Roman"/>
        </w:rPr>
        <w:t>‍</w:t>
      </w:r>
      <w:r>
        <w:rPr>
          <w:rFonts w:ascii="Nirmala UI" w:hAnsi="Nirmala UI" w:eastAsia="Nirmala UI" w:cs="Nirmala UI"/>
        </w:rPr>
        <w:t>वर</w:t>
      </w:r>
      <w:r>
        <w:rPr>
          <w:rFonts w:ascii="Times New Roman" w:hAnsi="Times New Roman" w:eastAsia="Times New Roman" w:cs="Times New Roman"/>
        </w:rPr>
        <w:t xml:space="preserve"> </w:t>
      </w:r>
      <w:r>
        <w:rPr>
          <w:rFonts w:ascii="Nirmala UI" w:hAnsi="Nirmala UI" w:eastAsia="Nirmala UI" w:cs="Nirmala UI"/>
        </w:rPr>
        <w:t>द्वारा</w:t>
      </w:r>
      <w:r>
        <w:rPr>
          <w:rFonts w:ascii="Times New Roman" w:hAnsi="Times New Roman" w:eastAsia="Times New Roman" w:cs="Times New Roman"/>
        </w:rPr>
        <w:t xml:space="preserve"> </w:t>
      </w:r>
      <w:r>
        <w:rPr>
          <w:rFonts w:ascii="Nirmala UI" w:hAnsi="Nirmala UI" w:eastAsia="Nirmala UI" w:cs="Nirmala UI"/>
        </w:rPr>
        <w:t>हमें</w:t>
      </w:r>
      <w:r>
        <w:rPr>
          <w:rFonts w:ascii="Times New Roman" w:hAnsi="Times New Roman" w:eastAsia="Times New Roman" w:cs="Times New Roman"/>
        </w:rPr>
        <w:t xml:space="preserve"> </w:t>
      </w:r>
      <w:r>
        <w:rPr>
          <w:rFonts w:ascii="Nirmala UI" w:hAnsi="Nirmala UI" w:eastAsia="Nirmala UI" w:cs="Nirmala UI"/>
        </w:rPr>
        <w:t>भेजे</w:t>
      </w:r>
      <w:r>
        <w:rPr>
          <w:rFonts w:ascii="Times New Roman" w:hAnsi="Times New Roman" w:eastAsia="Times New Roman" w:cs="Times New Roman"/>
        </w:rPr>
        <w:t xml:space="preserve"> </w:t>
      </w:r>
      <w:r>
        <w:rPr>
          <w:rFonts w:ascii="Nirmala UI" w:hAnsi="Nirmala UI" w:eastAsia="Nirmala UI" w:cs="Nirmala UI"/>
        </w:rPr>
        <w:t>गए</w:t>
      </w:r>
      <w:r>
        <w:rPr>
          <w:rFonts w:ascii="Times New Roman" w:hAnsi="Times New Roman" w:eastAsia="Times New Roman" w:cs="Times New Roman"/>
        </w:rPr>
        <w:t xml:space="preserve"> </w:t>
      </w:r>
      <w:r>
        <w:rPr>
          <w:rFonts w:ascii="Nirmala UI" w:hAnsi="Nirmala UI" w:eastAsia="Nirmala UI" w:cs="Nirmala UI"/>
        </w:rPr>
        <w:t>संदेशों</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ग्रहण</w:t>
      </w:r>
      <w:r>
        <w:rPr>
          <w:rFonts w:ascii="Times New Roman" w:hAnsi="Times New Roman" w:eastAsia="Times New Roman" w:cs="Times New Roman"/>
        </w:rPr>
        <w:t xml:space="preserve"> </w:t>
      </w:r>
      <w:r>
        <w:rPr>
          <w:rFonts w:ascii="Nirmala UI" w:hAnsi="Nirmala UI" w:eastAsia="Nirmala UI" w:cs="Nirmala UI"/>
        </w:rPr>
        <w:t>नहीं</w:t>
      </w:r>
      <w:r>
        <w:rPr>
          <w:rFonts w:ascii="Times New Roman" w:hAnsi="Times New Roman" w:eastAsia="Times New Roman" w:cs="Times New Roman"/>
        </w:rPr>
        <w:t xml:space="preserve"> </w:t>
      </w:r>
      <w:r>
        <w:rPr>
          <w:rFonts w:ascii="Nirmala UI" w:hAnsi="Nirmala UI" w:eastAsia="Nirmala UI" w:cs="Nirmala UI"/>
        </w:rPr>
        <w:t>करते</w:t>
      </w:r>
      <w:r>
        <w:rPr>
          <w:rFonts w:ascii="Times New Roman" w:hAnsi="Times New Roman" w:eastAsia="Times New Roman" w:cs="Times New Roman"/>
        </w:rPr>
        <w:t xml:space="preserve">, </w:t>
      </w:r>
      <w:r>
        <w:rPr>
          <w:rFonts w:ascii="Nirmala UI" w:hAnsi="Nirmala UI" w:eastAsia="Nirmala UI" w:cs="Nirmala UI"/>
        </w:rPr>
        <w:t>तब</w:t>
      </w:r>
      <w:r>
        <w:rPr>
          <w:rFonts w:ascii="Times New Roman" w:hAnsi="Times New Roman" w:eastAsia="Times New Roman" w:cs="Times New Roman"/>
        </w:rPr>
        <w:t xml:space="preserve"> </w:t>
      </w:r>
      <w:r>
        <w:rPr>
          <w:rFonts w:ascii="Nirmala UI" w:hAnsi="Nirmala UI" w:eastAsia="Nirmala UI" w:cs="Nirmala UI"/>
        </w:rPr>
        <w:t>परमेश्</w:t>
      </w:r>
      <w:r>
        <w:rPr>
          <w:rFonts w:ascii="Times New Roman" w:hAnsi="Times New Roman" w:eastAsia="Times New Roman" w:cs="Times New Roman"/>
        </w:rPr>
        <w:t>‍</w:t>
      </w:r>
      <w:r>
        <w:rPr>
          <w:rFonts w:ascii="Nirmala UI" w:hAnsi="Nirmala UI" w:eastAsia="Nirmala UI" w:cs="Nirmala UI"/>
        </w:rPr>
        <w:t>वर</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अनादर</w:t>
      </w:r>
      <w:r>
        <w:rPr>
          <w:rFonts w:ascii="Times New Roman" w:hAnsi="Times New Roman" w:eastAsia="Times New Roman" w:cs="Times New Roman"/>
        </w:rPr>
        <w:t xml:space="preserve"> </w:t>
      </w:r>
      <w:r>
        <w:rPr>
          <w:rFonts w:ascii="Nirmala UI" w:hAnsi="Nirmala UI" w:eastAsia="Nirmala UI" w:cs="Nirmala UI"/>
        </w:rPr>
        <w:t>होता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इस</w:t>
      </w:r>
      <w:r>
        <w:rPr>
          <w:rFonts w:ascii="Times New Roman" w:hAnsi="Times New Roman" w:eastAsia="Times New Roman" w:cs="Times New Roman"/>
        </w:rPr>
        <w:t xml:space="preserve"> </w:t>
      </w:r>
      <w:r>
        <w:rPr>
          <w:rFonts w:ascii="Nirmala UI" w:hAnsi="Nirmala UI" w:eastAsia="Nirmala UI" w:cs="Nirmala UI"/>
        </w:rPr>
        <w:t>प्रकार</w:t>
      </w:r>
      <w:r>
        <w:rPr>
          <w:rFonts w:ascii="Times New Roman" w:hAnsi="Times New Roman" w:eastAsia="Times New Roman" w:cs="Times New Roman"/>
        </w:rPr>
        <w:t xml:space="preserve"> </w:t>
      </w:r>
      <w:r>
        <w:rPr>
          <w:rFonts w:ascii="Nirmala UI" w:hAnsi="Nirmala UI" w:eastAsia="Nirmala UI" w:cs="Nirmala UI"/>
        </w:rPr>
        <w:t>हम</w:t>
      </w:r>
      <w:r>
        <w:rPr>
          <w:rFonts w:ascii="Times New Roman" w:hAnsi="Times New Roman" w:eastAsia="Times New Roman" w:cs="Times New Roman"/>
        </w:rPr>
        <w:t xml:space="preserve"> </w:t>
      </w:r>
      <w:r>
        <w:rPr>
          <w:rFonts w:ascii="Nirmala UI" w:hAnsi="Nirmala UI" w:eastAsia="Nirmala UI" w:cs="Nirmala UI"/>
        </w:rPr>
        <w:t>उस</w:t>
      </w:r>
      <w:r>
        <w:rPr>
          <w:rFonts w:ascii="Times New Roman" w:hAnsi="Times New Roman" w:eastAsia="Times New Roman" w:cs="Times New Roman"/>
        </w:rPr>
        <w:t xml:space="preserve"> </w:t>
      </w:r>
      <w:r>
        <w:rPr>
          <w:rFonts w:ascii="Nirmala UI" w:hAnsi="Nirmala UI" w:eastAsia="Nirmala UI" w:cs="Nirmala UI"/>
        </w:rPr>
        <w:t>सुनहरे</w:t>
      </w:r>
      <w:r>
        <w:rPr>
          <w:rFonts w:ascii="Times New Roman" w:hAnsi="Times New Roman" w:eastAsia="Times New Roman" w:cs="Times New Roman"/>
        </w:rPr>
        <w:t xml:space="preserve"> </w:t>
      </w:r>
      <w:r>
        <w:rPr>
          <w:rFonts w:ascii="Nirmala UI" w:hAnsi="Nirmala UI" w:eastAsia="Nirmala UI" w:cs="Nirmala UI"/>
        </w:rPr>
        <w:t>तेल</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अस्वीकार</w:t>
      </w:r>
      <w:r>
        <w:rPr>
          <w:rFonts w:ascii="Times New Roman" w:hAnsi="Times New Roman" w:eastAsia="Times New Roman" w:cs="Times New Roman"/>
        </w:rPr>
        <w:t xml:space="preserve"> </w:t>
      </w:r>
      <w:r>
        <w:rPr>
          <w:rFonts w:ascii="Nirmala UI" w:hAnsi="Nirmala UI" w:eastAsia="Nirmala UI" w:cs="Nirmala UI"/>
        </w:rPr>
        <w:t>करते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जिसे</w:t>
      </w:r>
      <w:r>
        <w:rPr>
          <w:rFonts w:ascii="Times New Roman" w:hAnsi="Times New Roman" w:eastAsia="Times New Roman" w:cs="Times New Roman"/>
        </w:rPr>
        <w:t xml:space="preserve"> </w:t>
      </w:r>
      <w:r>
        <w:rPr>
          <w:rFonts w:ascii="Nirmala UI" w:hAnsi="Nirmala UI" w:eastAsia="Nirmala UI" w:cs="Nirmala UI"/>
        </w:rPr>
        <w:t>वह</w:t>
      </w:r>
      <w:r>
        <w:rPr>
          <w:rFonts w:ascii="Times New Roman" w:hAnsi="Times New Roman" w:eastAsia="Times New Roman" w:cs="Times New Roman"/>
        </w:rPr>
        <w:t xml:space="preserve"> </w:t>
      </w:r>
      <w:r>
        <w:rPr>
          <w:rFonts w:ascii="Nirmala UI" w:hAnsi="Nirmala UI" w:eastAsia="Nirmala UI" w:cs="Nirmala UI"/>
        </w:rPr>
        <w:t>हमारी</w:t>
      </w:r>
      <w:r>
        <w:rPr>
          <w:rFonts w:ascii="Times New Roman" w:hAnsi="Times New Roman" w:eastAsia="Times New Roman" w:cs="Times New Roman"/>
        </w:rPr>
        <w:t xml:space="preserve"> </w:t>
      </w:r>
      <w:r>
        <w:rPr>
          <w:rFonts w:ascii="Nirmala UI" w:hAnsi="Nirmala UI" w:eastAsia="Nirmala UI" w:cs="Nirmala UI"/>
        </w:rPr>
        <w:t>आत्माओं</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उँडेलना</w:t>
      </w:r>
      <w:r>
        <w:rPr>
          <w:rFonts w:ascii="Times New Roman" w:hAnsi="Times New Roman" w:eastAsia="Times New Roman" w:cs="Times New Roman"/>
        </w:rPr>
        <w:t xml:space="preserve"> </w:t>
      </w:r>
      <w:r>
        <w:rPr>
          <w:rFonts w:ascii="Nirmala UI" w:hAnsi="Nirmala UI" w:eastAsia="Nirmala UI" w:cs="Nirmala UI"/>
        </w:rPr>
        <w:t>चाहता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ताकि</w:t>
      </w:r>
      <w:r>
        <w:rPr>
          <w:rFonts w:ascii="Times New Roman" w:hAnsi="Times New Roman" w:eastAsia="Times New Roman" w:cs="Times New Roman"/>
        </w:rPr>
        <w:t xml:space="preserve"> </w:t>
      </w:r>
      <w:r>
        <w:rPr>
          <w:rFonts w:ascii="Nirmala UI" w:hAnsi="Nirmala UI" w:eastAsia="Nirmala UI" w:cs="Nirmala UI"/>
        </w:rPr>
        <w:t>वह</w:t>
      </w:r>
      <w:r>
        <w:rPr>
          <w:rFonts w:ascii="Times New Roman" w:hAnsi="Times New Roman" w:eastAsia="Times New Roman" w:cs="Times New Roman"/>
        </w:rPr>
        <w:t xml:space="preserve"> </w:t>
      </w:r>
      <w:r>
        <w:rPr>
          <w:rFonts w:ascii="Nirmala UI" w:hAnsi="Nirmala UI" w:eastAsia="Nirmala UI" w:cs="Nirmala UI"/>
        </w:rPr>
        <w:t>अंधकार</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रहने</w:t>
      </w:r>
      <w:r>
        <w:rPr>
          <w:rFonts w:ascii="Times New Roman" w:hAnsi="Times New Roman" w:eastAsia="Times New Roman" w:cs="Times New Roman"/>
        </w:rPr>
        <w:t xml:space="preserve"> </w:t>
      </w:r>
      <w:r>
        <w:rPr>
          <w:rFonts w:ascii="Nirmala UI" w:hAnsi="Nirmala UI" w:eastAsia="Nirmala UI" w:cs="Nirmala UI"/>
        </w:rPr>
        <w:t>वालों</w:t>
      </w:r>
      <w:r>
        <w:rPr>
          <w:rFonts w:ascii="Times New Roman" w:hAnsi="Times New Roman" w:eastAsia="Times New Roman" w:cs="Times New Roman"/>
        </w:rPr>
        <w:t xml:space="preserve"> </w:t>
      </w:r>
      <w:r>
        <w:rPr>
          <w:rFonts w:ascii="Nirmala UI" w:hAnsi="Nirmala UI" w:eastAsia="Nirmala UI" w:cs="Nirmala UI"/>
        </w:rPr>
        <w:t>तक</w:t>
      </w:r>
      <w:r>
        <w:rPr>
          <w:rFonts w:ascii="Times New Roman" w:hAnsi="Times New Roman" w:eastAsia="Times New Roman" w:cs="Times New Roman"/>
        </w:rPr>
        <w:t xml:space="preserve"> </w:t>
      </w:r>
      <w:r>
        <w:rPr>
          <w:rFonts w:ascii="Nirmala UI" w:hAnsi="Nirmala UI" w:eastAsia="Nirmala UI" w:cs="Nirmala UI"/>
        </w:rPr>
        <w:t>पहुँचाया</w:t>
      </w:r>
      <w:r>
        <w:rPr>
          <w:rFonts w:ascii="Times New Roman" w:hAnsi="Times New Roman" w:eastAsia="Times New Roman" w:cs="Times New Roman"/>
        </w:rPr>
        <w:t xml:space="preserve"> </w:t>
      </w:r>
      <w:r>
        <w:rPr>
          <w:rFonts w:ascii="Nirmala UI" w:hAnsi="Nirmala UI" w:eastAsia="Nirmala UI" w:cs="Nirmala UI"/>
        </w:rPr>
        <w:t>जाए।</w:t>
      </w:r>
      <w:r>
        <w:rPr>
          <w:rFonts w:ascii="Times New Roman" w:hAnsi="Times New Roman" w:eastAsia="Times New Roman" w:cs="Times New Roman"/>
        </w:rPr>
        <w:t xml:space="preserve"> </w:t>
      </w:r>
      <w:r>
        <w:rPr>
          <w:rFonts w:ascii="Nirmala UI" w:hAnsi="Nirmala UI" w:eastAsia="Nirmala UI" w:cs="Nirmala UI"/>
        </w:rPr>
        <w:t>जब</w:t>
      </w:r>
      <w:r>
        <w:rPr>
          <w:rFonts w:ascii="Times New Roman" w:hAnsi="Times New Roman" w:eastAsia="Times New Roman" w:cs="Times New Roman"/>
        </w:rPr>
        <w:t xml:space="preserve"> </w:t>
      </w:r>
      <w:r>
        <w:rPr>
          <w:rFonts w:ascii="Nirmala UI" w:hAnsi="Nirmala UI" w:eastAsia="Nirmala UI" w:cs="Nirmala UI"/>
        </w:rPr>
        <w:t>यह</w:t>
      </w:r>
      <w:r>
        <w:rPr>
          <w:rFonts w:ascii="Times New Roman" w:hAnsi="Times New Roman" w:eastAsia="Times New Roman" w:cs="Times New Roman"/>
        </w:rPr>
        <w:t xml:space="preserve"> </w:t>
      </w:r>
      <w:r>
        <w:rPr>
          <w:rFonts w:ascii="Nirmala UI" w:hAnsi="Nirmala UI" w:eastAsia="Nirmala UI" w:cs="Nirmala UI"/>
        </w:rPr>
        <w:t>पुकार</w:t>
      </w:r>
      <w:r>
        <w:rPr>
          <w:rFonts w:ascii="Times New Roman" w:hAnsi="Times New Roman" w:eastAsia="Times New Roman" w:cs="Times New Roman"/>
        </w:rPr>
        <w:t xml:space="preserve"> </w:t>
      </w:r>
      <w:r>
        <w:rPr>
          <w:rFonts w:ascii="Nirmala UI" w:hAnsi="Nirmala UI" w:eastAsia="Nirmala UI" w:cs="Nirmala UI"/>
        </w:rPr>
        <w:t>सुनाई</w:t>
      </w:r>
      <w:r>
        <w:rPr>
          <w:rFonts w:ascii="Times New Roman" w:hAnsi="Times New Roman" w:eastAsia="Times New Roman" w:cs="Times New Roman"/>
        </w:rPr>
        <w:t xml:space="preserve"> </w:t>
      </w:r>
      <w:r>
        <w:rPr>
          <w:rFonts w:ascii="Nirmala UI" w:hAnsi="Nirmala UI" w:eastAsia="Nirmala UI" w:cs="Nirmala UI"/>
        </w:rPr>
        <w:t>देगी</w:t>
      </w:r>
      <w:r>
        <w:rPr>
          <w:rFonts w:ascii="Times New Roman" w:hAnsi="Times New Roman" w:eastAsia="Times New Roman" w:cs="Times New Roman"/>
        </w:rPr>
        <w:t>, ‘</w:t>
      </w:r>
      <w:r>
        <w:rPr>
          <w:rFonts w:ascii="Nirmala UI" w:hAnsi="Nirmala UI" w:eastAsia="Nirmala UI" w:cs="Nirmala UI"/>
        </w:rPr>
        <w:t>देखो</w:t>
      </w:r>
      <w:r>
        <w:rPr>
          <w:rFonts w:ascii="Times New Roman" w:hAnsi="Times New Roman" w:eastAsia="Times New Roman" w:cs="Times New Roman"/>
        </w:rPr>
        <w:t xml:space="preserve">, </w:t>
      </w:r>
      <w:r>
        <w:rPr>
          <w:rFonts w:ascii="Nirmala UI" w:hAnsi="Nirmala UI" w:eastAsia="Nirmala UI" w:cs="Nirmala UI"/>
        </w:rPr>
        <w:t>दूल्हा</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रहा</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उसके</w:t>
      </w:r>
      <w:r>
        <w:rPr>
          <w:rFonts w:ascii="Times New Roman" w:hAnsi="Times New Roman" w:eastAsia="Times New Roman" w:cs="Times New Roman"/>
        </w:rPr>
        <w:t xml:space="preserve"> </w:t>
      </w:r>
      <w:r>
        <w:rPr>
          <w:rFonts w:ascii="Nirmala UI" w:hAnsi="Nirmala UI" w:eastAsia="Nirmala UI" w:cs="Nirmala UI"/>
        </w:rPr>
        <w:t>स्वागत</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लिये</w:t>
      </w:r>
      <w:r>
        <w:rPr>
          <w:rFonts w:ascii="Times New Roman" w:hAnsi="Times New Roman" w:eastAsia="Times New Roman" w:cs="Times New Roman"/>
        </w:rPr>
        <w:t xml:space="preserve"> </w:t>
      </w:r>
      <w:r>
        <w:rPr>
          <w:rFonts w:ascii="Nirmala UI" w:hAnsi="Nirmala UI" w:eastAsia="Nirmala UI" w:cs="Nirmala UI"/>
        </w:rPr>
        <w:t>बाहर</w:t>
      </w:r>
      <w:r>
        <w:rPr>
          <w:rFonts w:ascii="Times New Roman" w:hAnsi="Times New Roman" w:eastAsia="Times New Roman" w:cs="Times New Roman"/>
        </w:rPr>
        <w:t xml:space="preserve"> </w:t>
      </w:r>
      <w:r>
        <w:rPr>
          <w:rFonts w:ascii="Nirmala UI" w:hAnsi="Nirmala UI" w:eastAsia="Nirmala UI" w:cs="Nirmala UI"/>
        </w:rPr>
        <w:t>निकलो</w:t>
      </w:r>
      <w:r>
        <w:rPr>
          <w:rFonts w:ascii="Times New Roman" w:hAnsi="Times New Roman" w:eastAsia="Times New Roman" w:cs="Times New Roman"/>
        </w:rPr>
        <w:t xml:space="preserve">,’ </w:t>
      </w:r>
      <w:r>
        <w:rPr>
          <w:rFonts w:ascii="Nirmala UI" w:hAnsi="Nirmala UI" w:eastAsia="Nirmala UI" w:cs="Nirmala UI"/>
        </w:rPr>
        <w:t>तब</w:t>
      </w:r>
      <w:r>
        <w:rPr>
          <w:rFonts w:ascii="Times New Roman" w:hAnsi="Times New Roman" w:eastAsia="Times New Roman" w:cs="Times New Roman"/>
        </w:rPr>
        <w:t xml:space="preserve"> </w:t>
      </w:r>
      <w:r>
        <w:rPr>
          <w:rFonts w:ascii="Nirmala UI" w:hAnsi="Nirmala UI" w:eastAsia="Nirmala UI" w:cs="Nirmala UI"/>
        </w:rPr>
        <w:t>जिन्होंने</w:t>
      </w:r>
      <w:r>
        <w:rPr>
          <w:rFonts w:ascii="Times New Roman" w:hAnsi="Times New Roman" w:eastAsia="Times New Roman" w:cs="Times New Roman"/>
        </w:rPr>
        <w:t xml:space="preserve"> </w:t>
      </w:r>
      <w:r>
        <w:rPr>
          <w:rFonts w:ascii="Nirmala UI" w:hAnsi="Nirmala UI" w:eastAsia="Nirmala UI" w:cs="Nirmala UI"/>
        </w:rPr>
        <w:t>उस</w:t>
      </w:r>
      <w:r>
        <w:rPr>
          <w:rFonts w:ascii="Times New Roman" w:hAnsi="Times New Roman" w:eastAsia="Times New Roman" w:cs="Times New Roman"/>
        </w:rPr>
        <w:t xml:space="preserve"> </w:t>
      </w:r>
      <w:r>
        <w:rPr>
          <w:rFonts w:ascii="Nirmala UI" w:hAnsi="Nirmala UI" w:eastAsia="Nirmala UI" w:cs="Nirmala UI"/>
        </w:rPr>
        <w:t>पवित्र</w:t>
      </w:r>
      <w:r>
        <w:rPr>
          <w:rFonts w:ascii="Times New Roman" w:hAnsi="Times New Roman" w:eastAsia="Times New Roman" w:cs="Times New Roman"/>
        </w:rPr>
        <w:t xml:space="preserve"> </w:t>
      </w:r>
      <w:r>
        <w:rPr>
          <w:rFonts w:ascii="Nirmala UI" w:hAnsi="Nirmala UI" w:eastAsia="Nirmala UI" w:cs="Nirmala UI"/>
        </w:rPr>
        <w:t>तेल</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ग्रहण</w:t>
      </w:r>
      <w:r>
        <w:rPr>
          <w:rFonts w:ascii="Times New Roman" w:hAnsi="Times New Roman" w:eastAsia="Times New Roman" w:cs="Times New Roman"/>
        </w:rPr>
        <w:t xml:space="preserve"> </w:t>
      </w:r>
      <w:r>
        <w:rPr>
          <w:rFonts w:ascii="Nirmala UI" w:hAnsi="Nirmala UI" w:eastAsia="Nirmala UI" w:cs="Nirmala UI"/>
        </w:rPr>
        <w:t>नहीं</w:t>
      </w:r>
      <w:r>
        <w:rPr>
          <w:rFonts w:ascii="Times New Roman" w:hAnsi="Times New Roman" w:eastAsia="Times New Roman" w:cs="Times New Roman"/>
        </w:rPr>
        <w:t xml:space="preserve"> </w:t>
      </w:r>
      <w:r>
        <w:rPr>
          <w:rFonts w:ascii="Nirmala UI" w:hAnsi="Nirmala UI" w:eastAsia="Nirmala UI" w:cs="Nirmala UI"/>
        </w:rPr>
        <w:t>किया</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जिन्होंने</w:t>
      </w:r>
      <w:r>
        <w:rPr>
          <w:rFonts w:ascii="Times New Roman" w:hAnsi="Times New Roman" w:eastAsia="Times New Roman" w:cs="Times New Roman"/>
        </w:rPr>
        <w:t xml:space="preserve"> </w:t>
      </w:r>
      <w:r>
        <w:rPr>
          <w:rFonts w:ascii="Nirmala UI" w:hAnsi="Nirmala UI" w:eastAsia="Nirmala UI" w:cs="Nirmala UI"/>
        </w:rPr>
        <w:t>अपने</w:t>
      </w:r>
      <w:r>
        <w:rPr>
          <w:rFonts w:ascii="Times New Roman" w:hAnsi="Times New Roman" w:eastAsia="Times New Roman" w:cs="Times New Roman"/>
        </w:rPr>
        <w:t xml:space="preserve"> </w:t>
      </w:r>
      <w:r>
        <w:rPr>
          <w:rFonts w:ascii="Nirmala UI" w:hAnsi="Nirmala UI" w:eastAsia="Nirmala UI" w:cs="Nirmala UI"/>
        </w:rPr>
        <w:t>हृदयों</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मसीह</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अनुग्रह</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संजोकर</w:t>
      </w:r>
      <w:r>
        <w:rPr>
          <w:rFonts w:ascii="Times New Roman" w:hAnsi="Times New Roman" w:eastAsia="Times New Roman" w:cs="Times New Roman"/>
        </w:rPr>
        <w:t xml:space="preserve"> </w:t>
      </w:r>
      <w:r>
        <w:rPr>
          <w:rFonts w:ascii="Nirmala UI" w:hAnsi="Nirmala UI" w:eastAsia="Nirmala UI" w:cs="Nirmala UI"/>
        </w:rPr>
        <w:t>नहीं</w:t>
      </w:r>
      <w:r>
        <w:rPr>
          <w:rFonts w:ascii="Times New Roman" w:hAnsi="Times New Roman" w:eastAsia="Times New Roman" w:cs="Times New Roman"/>
        </w:rPr>
        <w:t xml:space="preserve"> </w:t>
      </w:r>
      <w:r>
        <w:rPr>
          <w:rFonts w:ascii="Nirmala UI" w:hAnsi="Nirmala UI" w:eastAsia="Nirmala UI" w:cs="Nirmala UI"/>
        </w:rPr>
        <w:t>रखा</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वे</w:t>
      </w:r>
      <w:r>
        <w:rPr>
          <w:rFonts w:ascii="Times New Roman" w:hAnsi="Times New Roman" w:eastAsia="Times New Roman" w:cs="Times New Roman"/>
        </w:rPr>
        <w:t xml:space="preserve"> </w:t>
      </w:r>
      <w:r>
        <w:rPr>
          <w:rFonts w:ascii="Nirmala UI" w:hAnsi="Nirmala UI" w:eastAsia="Nirmala UI" w:cs="Nirmala UI"/>
        </w:rPr>
        <w:t>मूर्ख</w:t>
      </w:r>
      <w:r>
        <w:rPr>
          <w:rFonts w:ascii="Times New Roman" w:hAnsi="Times New Roman" w:eastAsia="Times New Roman" w:cs="Times New Roman"/>
        </w:rPr>
        <w:t xml:space="preserve"> </w:t>
      </w:r>
      <w:r>
        <w:rPr>
          <w:rFonts w:ascii="Nirmala UI" w:hAnsi="Nirmala UI" w:eastAsia="Nirmala UI" w:cs="Nirmala UI"/>
        </w:rPr>
        <w:t>कुँवारियों</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समान</w:t>
      </w:r>
      <w:r>
        <w:rPr>
          <w:rFonts w:ascii="Times New Roman" w:hAnsi="Times New Roman" w:eastAsia="Times New Roman" w:cs="Times New Roman"/>
        </w:rPr>
        <w:t xml:space="preserve"> </w:t>
      </w:r>
      <w:r>
        <w:rPr>
          <w:rFonts w:ascii="Nirmala UI" w:hAnsi="Nirmala UI" w:eastAsia="Nirmala UI" w:cs="Nirmala UI"/>
        </w:rPr>
        <w:t>पाएँगे</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वे</w:t>
      </w:r>
      <w:r>
        <w:rPr>
          <w:rFonts w:ascii="Times New Roman" w:hAnsi="Times New Roman" w:eastAsia="Times New Roman" w:cs="Times New Roman"/>
        </w:rPr>
        <w:t xml:space="preserve"> </w:t>
      </w:r>
      <w:r>
        <w:rPr>
          <w:rFonts w:ascii="Nirmala UI" w:hAnsi="Nirmala UI" w:eastAsia="Nirmala UI" w:cs="Nirmala UI"/>
        </w:rPr>
        <w:t>अपने</w:t>
      </w:r>
      <w:r>
        <w:rPr>
          <w:rFonts w:ascii="Times New Roman" w:hAnsi="Times New Roman" w:eastAsia="Times New Roman" w:cs="Times New Roman"/>
        </w:rPr>
        <w:t xml:space="preserve"> </w:t>
      </w:r>
      <w:r>
        <w:rPr>
          <w:rFonts w:ascii="Nirmala UI" w:hAnsi="Nirmala UI" w:eastAsia="Nirmala UI" w:cs="Nirmala UI"/>
        </w:rPr>
        <w:t>प्रभु</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मिलने</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लिये</w:t>
      </w:r>
      <w:r>
        <w:rPr>
          <w:rFonts w:ascii="Times New Roman" w:hAnsi="Times New Roman" w:eastAsia="Times New Roman" w:cs="Times New Roman"/>
        </w:rPr>
        <w:t xml:space="preserve"> </w:t>
      </w:r>
      <w:r>
        <w:rPr>
          <w:rFonts w:ascii="Nirmala UI" w:hAnsi="Nirmala UI" w:eastAsia="Nirmala UI" w:cs="Nirmala UI"/>
        </w:rPr>
        <w:t>तैयार</w:t>
      </w:r>
      <w:r>
        <w:rPr>
          <w:rFonts w:ascii="Times New Roman" w:hAnsi="Times New Roman" w:eastAsia="Times New Roman" w:cs="Times New Roman"/>
        </w:rPr>
        <w:t xml:space="preserve"> </w:t>
      </w:r>
      <w:r>
        <w:rPr>
          <w:rFonts w:ascii="Nirmala UI" w:hAnsi="Nirmala UI" w:eastAsia="Nirmala UI" w:cs="Nirmala UI"/>
        </w:rPr>
        <w:t>नहीं</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उस</w:t>
      </w:r>
      <w:r>
        <w:rPr>
          <w:rFonts w:ascii="Times New Roman" w:hAnsi="Times New Roman" w:eastAsia="Times New Roman" w:cs="Times New Roman"/>
        </w:rPr>
        <w:t xml:space="preserve"> </w:t>
      </w:r>
      <w:r>
        <w:rPr>
          <w:rFonts w:ascii="Nirmala UI" w:hAnsi="Nirmala UI" w:eastAsia="Nirmala UI" w:cs="Nirmala UI"/>
        </w:rPr>
        <w:t>तेल</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प्राप्त</w:t>
      </w:r>
      <w:r>
        <w:rPr>
          <w:rFonts w:ascii="Times New Roman" w:hAnsi="Times New Roman" w:eastAsia="Times New Roman" w:cs="Times New Roman"/>
        </w:rPr>
        <w:t xml:space="preserve"> </w:t>
      </w:r>
      <w:r>
        <w:rPr>
          <w:rFonts w:ascii="Nirmala UI" w:hAnsi="Nirmala UI" w:eastAsia="Nirmala UI" w:cs="Nirmala UI"/>
        </w:rPr>
        <w:t>करने</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सामर्थ्य</w:t>
      </w:r>
      <w:r>
        <w:rPr>
          <w:rFonts w:ascii="Times New Roman" w:hAnsi="Times New Roman" w:eastAsia="Times New Roman" w:cs="Times New Roman"/>
        </w:rPr>
        <w:t xml:space="preserve"> </w:t>
      </w:r>
      <w:r>
        <w:rPr>
          <w:rFonts w:ascii="Nirmala UI" w:hAnsi="Nirmala UI" w:eastAsia="Nirmala UI" w:cs="Nirmala UI"/>
        </w:rPr>
        <w:t>उनमें</w:t>
      </w:r>
      <w:r>
        <w:rPr>
          <w:rFonts w:ascii="Times New Roman" w:hAnsi="Times New Roman" w:eastAsia="Times New Roman" w:cs="Times New Roman"/>
        </w:rPr>
        <w:t xml:space="preserve"> </w:t>
      </w:r>
      <w:r>
        <w:rPr>
          <w:rFonts w:ascii="Nirmala UI" w:hAnsi="Nirmala UI" w:eastAsia="Nirmala UI" w:cs="Nirmala UI"/>
        </w:rPr>
        <w:t>स्वयं</w:t>
      </w:r>
      <w:r>
        <w:rPr>
          <w:rFonts w:ascii="Times New Roman" w:hAnsi="Times New Roman" w:eastAsia="Times New Roman" w:cs="Times New Roman"/>
        </w:rPr>
        <w:t xml:space="preserve"> </w:t>
      </w:r>
      <w:r>
        <w:rPr>
          <w:rFonts w:ascii="Nirmala UI" w:hAnsi="Nirmala UI" w:eastAsia="Nirmala UI" w:cs="Nirmala UI"/>
        </w:rPr>
        <w:t>नहीं</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उनका</w:t>
      </w:r>
      <w:r>
        <w:rPr>
          <w:rFonts w:ascii="Times New Roman" w:hAnsi="Times New Roman" w:eastAsia="Times New Roman" w:cs="Times New Roman"/>
        </w:rPr>
        <w:t xml:space="preserve"> </w:t>
      </w:r>
      <w:r>
        <w:rPr>
          <w:rFonts w:ascii="Nirmala UI" w:hAnsi="Nirmala UI" w:eastAsia="Nirmala UI" w:cs="Nirmala UI"/>
        </w:rPr>
        <w:t>जीवन</w:t>
      </w:r>
      <w:r>
        <w:rPr>
          <w:rFonts w:ascii="Times New Roman" w:hAnsi="Times New Roman" w:eastAsia="Times New Roman" w:cs="Times New Roman"/>
        </w:rPr>
        <w:t xml:space="preserve"> </w:t>
      </w:r>
      <w:r>
        <w:rPr>
          <w:rFonts w:ascii="Nirmala UI" w:hAnsi="Nirmala UI" w:eastAsia="Nirmala UI" w:cs="Nirmala UI"/>
        </w:rPr>
        <w:t>नष्ट</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जाता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Review and Herald, July 20, 1897.</w:t>
      </w:r>
    </w:p>
    <w:p>
      <w:pPr>
        <w:pStyle w:val="ArticleBody"/>
        <w:jc w:val="left"/>
      </w:pPr>
      <w:r>
        <w:rPr>
          <w:rFonts w:ascii="Times New Roman" w:hAnsi="Times New Roman" w:eastAsia="Times New Roman" w:cs="Times New Roman"/>
        </w:rPr>
        <w:t>Santlaite jong nan Miller ha ki sngi kiba khatduh kan phyrnai khambha shiphew shah, bad ka nombor shiphew lem bad ka jingshai ki long ki dak phang jong ka jingtynjuh. Ha ki sngi kiba khatduh, kiba la pyni ha ka bynta kaba kut jong ka jingïohphohsniew jong u Miller, ka jingshai jong ka jingshisha kaba la mihkhmat ha ki miej jong u Habakkuk ka pynmih ïa ka khubor jingtynjuh, kaba ha ka pharshi shaphang ki shiphew tylli ki theisotti la mihkhmat kum ka khubor jong ka Jingpyrta Kyndit Mynsiem. Kata ka rukom jingtynjuh ka long ka jingiashem biang jong ka rukom jingtynjuh jong ka histori Millerite, namar ka pharshi jong ki shiphew tylli ki theisotti la pynpaw biang ha ki sngi kiba khatduh haduh ka dak thoh kawei pa kawei.</w:t>
      </w:r>
    </w:p>
    <w:p>
      <w:pPr>
        <w:pStyle w:val="ArticleScripture"/>
        <w:jc w:val="left"/>
      </w:pPr>
      <w:r>
        <w:rPr>
          <w:rFonts w:ascii="Times New Roman" w:hAnsi="Times New Roman" w:eastAsia="Times New Roman" w:cs="Times New Roman"/>
        </w:rPr>
        <w:t>“Ke atisa go supelelwa mo setshwantshong sa makgarebe a le lesome, ba le botlhano ba neng ba le botlhale, mme ba le botlhano e le dieleele. Setshwantsho seno se diragetse e bile se tla diragala go ya ka tlhaka nngwe le nngwe, gonne se na le tiriso e e kgethegileng mo nakong eno, mme, jaaka molaetsa wa moengele wa boraro, se diragetse e bile se tla tswelela e le boammaaruri jwa jaanong go fitlha kwa bokhutlong jwa nako.” Review and Herald, August 19, 1890.</w:t>
      </w:r>
    </w:p>
    <w:p>
      <w:pPr>
        <w:pStyle w:val="ArticleBody"/>
        <w:jc w:val="left"/>
      </w:pPr>
      <w:r>
        <w:rPr>
          <w:rFonts w:ascii="Times New Roman" w:hAnsi="Times New Roman" w:eastAsia="Times New Roman" w:cs="Times New Roman"/>
        </w:rPr>
        <w:t>Sepuluh adalah lambang suatu ujian, dan pada akhir sepuluh hari Daniel dan ketiga orang saleh itu tampak lebih elok dan lebih gemuk daripada mereka yang memakan santapan Babel. Orang-orang congkak yang dilambangkan dalam Habakuk, yang hidup oleh praduga, bukan oleh iman, mengembangkan tabiat Babel. Dalam sejarah Millerit mereka menjadi anak-anak perempuan Babel, dan dalam Habakuk ciri-ciri nubuatan kepausanlah yang digunakan untuk mengidentifikasi tabiat mereka yang memilih untuk tidak hidup oleh iman.</w:t>
      </w:r>
    </w:p>
    <w:p>
      <w:pPr>
        <w:pStyle w:val="ArticleScripture"/>
        <w:jc w:val="left"/>
      </w:pPr>
      <w:r>
        <w:rPr>
          <w:rFonts w:ascii="Times New Roman" w:hAnsi="Times New Roman" w:eastAsia="Times New Roman" w:cs="Times New Roman"/>
        </w:rPr>
        <w:t>“Сэтгэл нь бардамнан хөөрсөн нь дотор нь зөв биш; харин зөв шударга хүн итгэлээрээ амьдарна. Тийм ээ, тэр дарснаас болж гэмтэн, бардам хүн болж, гэртээ тогтдоггүй; хүсэл тачаалаа үхэгсдийн орон мэт тэлж, үхэл адил ханаж цаддаггүй, харин өөртөө бүх үндэстнийг цуглуулж, бүх ард түмнийг овоолдог. Эдгээр нь бүгд түүний эсрэг зүйрлэл өргөж, егөөт цэцэн үг хэлэн, ‘Өөрийнх биш юмыг арвижуулагчид золгүй еэ! Хэзээ хүртэл вэ? Өөрийгөө өтгөн шавраар ачаалагчид золгүй еэ!’ гэж хэлэхгүй гэж үү? Чамайг хазах хүмүүс гэнэт босож, чамайг түгшээх хүмүүс сэрэхгүй гэж үү? Тэгвэл чи тэдэнд олз болно. Учир нь чи олон үндэстнийг дээрэмдсэн тул хүмүүсийн бүх үлдэгдэл чамайг дээрэмдэнэ; хүний цусны төлөө, мөн газар нутаг, хот болон тэнд оршин суугч бүхэнд үйлдсэн хүчирхийллийн чинь төлөө.” Хабаккук 2:4–8.</w:t>
      </w:r>
    </w:p>
    <w:p>
      <w:pPr>
        <w:pStyle w:val="ArticleBody"/>
        <w:jc w:val="left"/>
      </w:pPr>
      <w:r>
        <w:rPr>
          <w:rFonts w:ascii="Times New Roman" w:hAnsi="Times New Roman" w:eastAsia="Times New Roman" w:cs="Times New Roman"/>
        </w:rPr>
        <w:t>Uji coba yang menimpa para perawan dalam Matius dua puluh lima menghasilkan suatu golongan penyembah yang telah mengembangkan tabiat raja utara (kepausan), yang juga merupakan kuasa yang “merampasi banyak bangsa.” Kuasa kepausan itulah yang tiba-tiba digigit, sama seperti Izebel dimakan oleh anjing-anjing.</w:t>
      </w:r>
    </w:p>
    <w:p>
      <w:pPr>
        <w:pStyle w:val="ArticleScripture"/>
        <w:jc w:val="left"/>
      </w:pPr>
      <w:r>
        <w:rPr>
          <w:rFonts w:ascii="Times New Roman" w:hAnsi="Times New Roman" w:eastAsia="Times New Roman" w:cs="Times New Roman"/>
        </w:rPr>
        <w:t>Aikai nga ti Apo, Adtoy, umay ti maysa a tattao manipud iti pagilian iti amianan, ket ti dakkel a nacion mapukawto manipud kadagiti ungto ti daga. Tengngelendanto ti pana ken ti pika; napintasda, ket awan asianda; ti timekda aguni a kasla baybay; ket agkabayoda kadagiti kabalio, naisagana a kas lallaki nga agpaay iti gubat a maibusor kenka, O anak a babai ti Sion. Nangngegtayo ti dangngegna: dagiti imatayo napuyat; ti ladingit tiniliwna dagiti imatayo, ken ti ut-ot, a kas iti babai nga agpasngay. Saanmo a rummuar iti talon, wenno magnaka iti dalan; ta adda ti kampilan ti kabusor ken ti buteng iti amin nga igid. O anak a babai dagiti tattaok, barakam ti bagim iti nakersang a lupot, ket aglulidka iti dapo: agaramidka iti panagsangit, a kas iti maipapan iti bugbugtong nga anak a lalaki, ti nakaam-amak a panagdanag: ta ti mangdadael umayto a kellaat kadatayo. Jeremias 6:22–26.</w:t>
      </w:r>
    </w:p>
    <w:p>
      <w:pPr>
        <w:pStyle w:val="ArticleBody"/>
        <w:jc w:val="left"/>
      </w:pPr>
      <w:r>
        <w:rPr>
          <w:rFonts w:ascii="Times New Roman" w:hAnsi="Times New Roman" w:eastAsia="Times New Roman" w:cs="Times New Roman"/>
        </w:rPr>
        <w:t>Kelas dua dalam Habakuk ialah mereka yang dibenarkan oleh iman, dan mereka yang makan serta minum ajaran-ajaran Babilon. Mereka yang pada hari-hari terakhir dalam mimpi Miller dilambangkan sebagai anak dara, sama ada membangunkan watak Kristus, lalu menerima meterai Allah, atau membangunkan watak kepausan dan menerima tanda binatang itu.</w:t>
      </w:r>
    </w:p>
    <w:p>
      <w:pPr>
        <w:pStyle w:val="ArticleScripture"/>
        <w:jc w:val="left"/>
      </w:pPr>
      <w:r>
        <w:rPr>
          <w:rFonts w:ascii="Times New Roman" w:hAnsi="Times New Roman" w:eastAsia="Times New Roman" w:cs="Times New Roman"/>
        </w:rPr>
        <w:t>“Waktu telah tiba bagi terang yang sejati untuk bersinar di tengah kegelapan moral. Pekabaran malaikat ketiga telah disampaikan kepada dunia, memperingatkan manusia agar jangan menerima tanda binatang itu atau patungnya pada dahi mereka atau pada tangan mereka. Menerima tanda ini berarti mengambil keputusan yang sama seperti yang telah diambil oleh binatang itu, dan menganjurkan gagasan-gagasan yang sama, dalam pertentangan langsung dengan firman Allah. Tentang semua orang yang menerima tanda ini, Allah berfirman, ‘Maka ia akan minum dari anggur murka Allah, yang dicurahkan tanpa campuran ke dalam cawan kemurkaan-Nya; dan ia akan disiksa dengan api dan belerang di hadapan para malaikat kudus dan di hadapan Anak Domba.’” Review and Herald, 13 Juli 1897.</w:t>
      </w:r>
    </w:p>
    <w:p>
      <w:pPr>
        <w:pStyle w:val="ArticleBody"/>
        <w:jc w:val="left"/>
      </w:pPr>
      <w:r>
        <w:rPr>
          <w:rFonts w:ascii="Times New Roman" w:hAnsi="Times New Roman" w:eastAsia="Times New Roman" w:cs="Times New Roman"/>
        </w:rPr>
        <w:t>Virgo kiba kunywa divai ya Babeli hatimaye watakunywa divai ya ghadhabu ya Mungu. Katika Isaya, walevi wa Efraimu hudhihirisha ulevi wao wa upofu kwa kugeuza mambo juu chini, na tendo hilo lapaswa kuhesabiwa kuwa “udongo wa mfinyanzi.”</w:t>
      </w:r>
    </w:p>
    <w:p>
      <w:pPr>
        <w:pStyle w:val="ArticleBody"/>
        <w:jc w:val="left"/>
      </w:pPr>
      <w:r>
        <w:rPr>
          <w:rFonts w:ascii="Leelawadee UI" w:hAnsi="Leelawadee UI" w:eastAsia="Leelawadee UI" w:cs="Leelawadee UI"/>
        </w:rPr>
        <w:t>การระบุว่า</w:t>
      </w:r>
      <w:r>
        <w:rPr>
          <w:rFonts w:ascii="Times New Roman" w:hAnsi="Times New Roman" w:eastAsia="Times New Roman" w:cs="Times New Roman"/>
        </w:rPr>
        <w:t xml:space="preserve"> “the daily” </w:t>
      </w:r>
      <w:r>
        <w:rPr>
          <w:rFonts w:ascii="Leelawadee UI" w:hAnsi="Leelawadee UI" w:eastAsia="Leelawadee UI" w:cs="Leelawadee UI"/>
        </w:rPr>
        <w:t>เป็นสัญลักษณ์ของพระคริสต์นั้น</w:t>
      </w:r>
      <w:r>
        <w:rPr>
          <w:rFonts w:ascii="Times New Roman" w:hAnsi="Times New Roman" w:eastAsia="Times New Roman" w:cs="Times New Roman"/>
        </w:rPr>
        <w:t xml:space="preserve"> </w:t>
      </w:r>
      <w:r>
        <w:rPr>
          <w:rFonts w:ascii="Leelawadee UI" w:hAnsi="Leelawadee UI" w:eastAsia="Leelawadee UI" w:cs="Leelawadee UI"/>
        </w:rPr>
        <w:t>เป็นการกลับความจริงของ</w:t>
      </w:r>
      <w:r>
        <w:rPr>
          <w:rFonts w:ascii="Times New Roman" w:hAnsi="Times New Roman" w:eastAsia="Times New Roman" w:cs="Times New Roman"/>
        </w:rPr>
        <w:t xml:space="preserve"> “the daily” </w:t>
      </w:r>
      <w:r>
        <w:rPr>
          <w:rFonts w:ascii="Leelawadee UI" w:hAnsi="Leelawadee UI" w:eastAsia="Leelawadee UI" w:cs="Leelawadee UI"/>
        </w:rPr>
        <w:t>ให้ตาลปัตร</w:t>
      </w:r>
      <w:r>
        <w:rPr>
          <w:rFonts w:ascii="Times New Roman" w:hAnsi="Times New Roman" w:eastAsia="Times New Roman" w:cs="Times New Roman"/>
        </w:rPr>
        <w:t xml:space="preserve"> </w:t>
      </w:r>
      <w:r>
        <w:rPr>
          <w:rFonts w:ascii="Leelawadee UI" w:hAnsi="Leelawadee UI" w:eastAsia="Leelawadee UI" w:cs="Leelawadee UI"/>
        </w:rPr>
        <w:t>เพราะ</w:t>
      </w:r>
      <w:r>
        <w:rPr>
          <w:rFonts w:ascii="Times New Roman" w:hAnsi="Times New Roman" w:eastAsia="Times New Roman" w:cs="Times New Roman"/>
        </w:rPr>
        <w:t xml:space="preserve"> “the daily” </w:t>
      </w:r>
      <w:r>
        <w:rPr>
          <w:rFonts w:ascii="Leelawadee UI" w:hAnsi="Leelawadee UI" w:eastAsia="Leelawadee UI" w:cs="Leelawadee UI"/>
        </w:rPr>
        <w:t>เป็นสัญลักษณ์ของซาตาน</w:t>
      </w:r>
      <w:r>
        <w:rPr>
          <w:rFonts w:ascii="Times New Roman" w:hAnsi="Times New Roman" w:eastAsia="Times New Roman" w:cs="Times New Roman"/>
        </w:rPr>
        <w:t xml:space="preserve"> </w:t>
      </w:r>
      <w:r>
        <w:rPr>
          <w:rFonts w:ascii="Leelawadee UI" w:hAnsi="Leelawadee UI" w:eastAsia="Leelawadee UI" w:cs="Leelawadee UI"/>
        </w:rPr>
        <w:t>การที่มิลเลอร์ระบุว่า</w:t>
      </w:r>
      <w:r>
        <w:rPr>
          <w:rFonts w:ascii="Times New Roman" w:hAnsi="Times New Roman" w:eastAsia="Times New Roman" w:cs="Times New Roman"/>
        </w:rPr>
        <w:t xml:space="preserve"> “the daily” </w:t>
      </w:r>
      <w:r>
        <w:rPr>
          <w:rFonts w:ascii="Leelawadee UI" w:hAnsi="Leelawadee UI" w:eastAsia="Leelawadee UI" w:cs="Leelawadee UI"/>
        </w:rPr>
        <w:t>คือศาสนาเพแกนนั้น</w:t>
      </w:r>
      <w:r>
        <w:rPr>
          <w:rFonts w:ascii="Times New Roman" w:hAnsi="Times New Roman" w:eastAsia="Times New Roman" w:cs="Times New Roman"/>
        </w:rPr>
        <w:t xml:space="preserve"> </w:t>
      </w:r>
      <w:r>
        <w:rPr>
          <w:rFonts w:ascii="Leelawadee UI" w:hAnsi="Leelawadee UI" w:eastAsia="Leelawadee UI" w:cs="Leelawadee UI"/>
        </w:rPr>
        <w:t>ได้รับการแสดงไว้อย่างตรงไปตรงมาบนตารางของฮาบากุก</w:t>
      </w:r>
      <w:r>
        <w:rPr>
          <w:rFonts w:ascii="Times New Roman" w:hAnsi="Times New Roman" w:eastAsia="Times New Roman" w:cs="Times New Roman"/>
        </w:rPr>
        <w:t xml:space="preserve"> </w:t>
      </w:r>
      <w:r>
        <w:rPr>
          <w:rFonts w:ascii="Leelawadee UI" w:hAnsi="Leelawadee UI" w:eastAsia="Leelawadee UI" w:cs="Leelawadee UI"/>
        </w:rPr>
        <w:t>การค้นพบของมิลเลอร์เกี่ยวกับข้อพระคัมภีร์ในเธสะโลนิกา</w:t>
      </w:r>
      <w:r>
        <w:rPr>
          <w:rFonts w:ascii="Times New Roman" w:hAnsi="Times New Roman" w:eastAsia="Times New Roman" w:cs="Times New Roman"/>
        </w:rPr>
        <w:t xml:space="preserve"> </w:t>
      </w:r>
      <w:r>
        <w:rPr>
          <w:rFonts w:ascii="Leelawadee UI" w:hAnsi="Leelawadee UI" w:eastAsia="Leelawadee UI" w:cs="Leelawadee UI"/>
        </w:rPr>
        <w:t>ซึ่งทำให้เขาเข้าใจว่า</w:t>
      </w:r>
      <w:r>
        <w:rPr>
          <w:rFonts w:ascii="Times New Roman" w:hAnsi="Times New Roman" w:eastAsia="Times New Roman" w:cs="Times New Roman"/>
        </w:rPr>
        <w:t xml:space="preserve"> </w:t>
      </w:r>
      <w:r>
        <w:rPr>
          <w:rFonts w:ascii="Leelawadee UI" w:hAnsi="Leelawadee UI" w:eastAsia="Leelawadee UI" w:cs="Leelawadee UI"/>
        </w:rPr>
        <w:t>สิ่งที่ถูก</w:t>
      </w:r>
      <w:r>
        <w:rPr>
          <w:rFonts w:ascii="Times New Roman" w:hAnsi="Times New Roman" w:eastAsia="Times New Roman" w:cs="Times New Roman"/>
        </w:rPr>
        <w:t xml:space="preserve"> “</w:t>
      </w:r>
      <w:r>
        <w:rPr>
          <w:rFonts w:ascii="Leelawadee UI" w:hAnsi="Leelawadee UI" w:eastAsia="Leelawadee UI" w:cs="Leelawadee UI"/>
        </w:rPr>
        <w:t>นำออกไป</w:t>
      </w:r>
      <w:r>
        <w:rPr>
          <w:rFonts w:ascii="Times New Roman" w:hAnsi="Times New Roman" w:eastAsia="Times New Roman" w:cs="Times New Roman"/>
        </w:rPr>
        <w:t xml:space="preserve">” </w:t>
      </w:r>
      <w:r>
        <w:rPr>
          <w:rFonts w:ascii="Leelawadee UI" w:hAnsi="Leelawadee UI" w:eastAsia="Leelawadee UI" w:cs="Leelawadee UI"/>
        </w:rPr>
        <w:t>นั้นคือศาสนาเพแกน</w:t>
      </w:r>
      <w:r>
        <w:rPr>
          <w:rFonts w:ascii="Times New Roman" w:hAnsi="Times New Roman" w:eastAsia="Times New Roman" w:cs="Times New Roman"/>
        </w:rPr>
        <w:t xml:space="preserve"> </w:t>
      </w:r>
      <w:r>
        <w:rPr>
          <w:rFonts w:ascii="Leelawadee UI" w:hAnsi="Leelawadee UI" w:eastAsia="Leelawadee UI" w:cs="Leelawadee UI"/>
        </w:rPr>
        <w:t>เพื่อให้</w:t>
      </w:r>
      <w:r>
        <w:rPr>
          <w:rFonts w:ascii="Times New Roman" w:hAnsi="Times New Roman" w:eastAsia="Times New Roman" w:cs="Times New Roman"/>
        </w:rPr>
        <w:t xml:space="preserve"> “</w:t>
      </w:r>
      <w:r>
        <w:rPr>
          <w:rFonts w:ascii="Leelawadee UI" w:hAnsi="Leelawadee UI" w:eastAsia="Leelawadee UI" w:cs="Leelawadee UI"/>
        </w:rPr>
        <w:t>มนุษย์แห่งบาป</w:t>
      </w:r>
      <w:r>
        <w:rPr>
          <w:rFonts w:ascii="Times New Roman" w:hAnsi="Times New Roman" w:eastAsia="Times New Roman" w:cs="Times New Roman"/>
        </w:rPr>
        <w:t xml:space="preserve">” </w:t>
      </w:r>
      <w:r>
        <w:rPr>
          <w:rFonts w:ascii="Leelawadee UI" w:hAnsi="Leelawadee UI" w:eastAsia="Leelawadee UI" w:cs="Leelawadee UI"/>
        </w:rPr>
        <w:t>ผู้ซึ่งนั่งอยู่ในพระวิหารของพระเจ้าได้รับการเปิดเผย</w:t>
      </w:r>
      <w:r>
        <w:rPr>
          <w:rFonts w:ascii="Times New Roman" w:hAnsi="Times New Roman" w:eastAsia="Times New Roman" w:cs="Times New Roman"/>
        </w:rPr>
        <w:t xml:space="preserve"> </w:t>
      </w:r>
      <w:r>
        <w:rPr>
          <w:rFonts w:ascii="Leelawadee UI" w:hAnsi="Leelawadee UI" w:eastAsia="Leelawadee UI" w:cs="Leelawadee UI"/>
        </w:rPr>
        <w:t>เป็นความจริงหลักที่อยู่ในพระธรรมเธสะโลนิกาฉบับที่สอง</w:t>
      </w:r>
      <w:r>
        <w:rPr>
          <w:rFonts w:ascii="Times New Roman" w:hAnsi="Times New Roman" w:eastAsia="Times New Roman" w:cs="Times New Roman"/>
        </w:rPr>
        <w:t xml:space="preserve"> </w:t>
      </w:r>
      <w:r>
        <w:rPr>
          <w:rFonts w:ascii="Leelawadee UI" w:hAnsi="Leelawadee UI" w:eastAsia="Leelawadee UI" w:cs="Leelawadee UI"/>
        </w:rPr>
        <w:t>บทที่สอง</w:t>
      </w:r>
    </w:p>
    <w:p>
      <w:pPr>
        <w:pStyle w:val="ArticleScripture"/>
        <w:jc w:val="left"/>
      </w:pPr>
      <w:r>
        <w:rPr>
          <w:rFonts w:ascii="Times New Roman" w:hAnsi="Times New Roman" w:eastAsia="Times New Roman" w:cs="Times New Roman"/>
        </w:rPr>
        <w:t>“Ndzi ya emahlweni ndzi hlaya, kambe a ndzi nga ha kumi nchumu wun’wana lowu a ri kona eka wona [xikarhi xin’wana ni xin’wana], handle ka le ka Daniyele ntsena. Kutani ndzi [hi ku pfuniwa hi buku ya ku lavisisa marito] teka marito lawa a ma ri karhi ma fambisana na rona, lama nge, ‘susa;’ u ta susa xikhatsi xin’wana ni xin’wana; ‘ku sukela enkarhini lowu xikhatsi xin’wana ni xin’wana xi nga ta susiwa,’ ni swin’wana. Ndzi ya emahlweni ndzi hlaya, ndzi ehleketa leswaku a ndzi nge kumi ku vonakala eka tsalwa rero; eku heteleleni ndzi fika eka 2 Vathesalonika 2:7, 8. ‘Hikuva xihundla xa ku homboloka se xa tirha; ntsena loyi sweswi a sivaka u ta ya emahlweni a sivaka, ku fikela loko a susiwa endleleni, kutani hi kona loyi wo homboloka a nga ta paluxiwa,’ ni swin’wana. Kutani loko ndzi fikile eka tsalwa rero, O, hilaha ntiyiso a wu vonakeke erivaleni ni ku vangama ha kona! Hi wona kwalaho! Hi byona xikhatsi xin’wana ni xin’wana! Kutani ke sweswi, Pawulo u vula yini hi ‘loyi sweswi a sivaka,’ kumbe ku sivela? Hi ‘munhu wa xidyoho,’ ni ‘loyi wo homboloka,’ ku vulavuriwa hi Vupapa. Kutani ke, i yini lexi sivaka leswaku Vupapa byi nga paluxiwi? Hikuva i Vupfumeri bya Vahedeni; kutani ke, ‘xikhatsi xin’wana ni xin’wana’ xi fanele xi vula Vupfumeri bya Vahedeni.”—William Miller, Second Advent Manual, tluka 66.” Advent Review and Sabbath Herald, January 6, 1853.</w:t>
      </w:r>
    </w:p>
    <w:p>
      <w:pPr>
        <w:pStyle w:val="ArticleBody"/>
        <w:jc w:val="left"/>
      </w:pPr>
      <w:r>
        <w:rPr>
          <w:rFonts w:ascii="Times New Roman" w:hAnsi="Times New Roman" w:eastAsia="Times New Roman" w:cs="Times New Roman"/>
        </w:rPr>
        <w:t>Maksud “yang sehari-hari” dalam Tesalonika, yang ditemukan oleh Miller, adalah kebenaran utama dari bagian itu. Ketika Paulus mengenali mereka yang tidak mengasihi kebenaran, dan yang karena itu akan menerima kesesatan yang kuat, ia tentu saja sedang mengenali kebencian terhadap kebenaran dalam pengertian umum; tetapi kebenaran yang secara langsung dirujuk dalam bagian itu adalah kebenaran bahwa “yang sehari-hari” melambangkan Roma kafir.</w:t>
      </w:r>
    </w:p>
    <w:p>
      <w:pPr>
        <w:pStyle w:val="ArticleScripture"/>
        <w:jc w:val="left"/>
      </w:pPr>
      <w:r>
        <w:rPr>
          <w:rFonts w:ascii="Times New Roman" w:hAnsi="Times New Roman" w:eastAsia="Times New Roman" w:cs="Times New Roman"/>
        </w:rPr>
        <w:t>Хиеийн гэрэл нь нүд мөн. Иймээс хэрэв чиний нүд цэвэр байвал, бүх бие чинь гэрлээр дүүрэн байх болно. Харин хэрэв чиний нүд муу байвал, бүх бие чинь харанхуйгаар дүүрэн байх болно. Тиймээс чиний доторх гэрэл нь харанхуй байвал, тэрхүү харанхуй нь юутай агуу вэ! Хэн ч хоёр эзэнд үйлчилж үл чадна. Учир нь тэр нэгийг нь үзэн ядаж, нөгөөг нь хайрлах болно; эс бөгөөс нэгэнд нь үнэнч байж, нөгөөг нь басамжлах болно. Та нар Бурхан болон маммонд хамт үйлчилж үл чадна. Матай 6:22–24.</w:t>
      </w:r>
    </w:p>
    <w:p>
      <w:pPr>
        <w:pStyle w:val="ArticleBody"/>
        <w:jc w:val="left"/>
      </w:pPr>
      <w:r>
        <w:rPr>
          <w:rFonts w:ascii="Times New Roman" w:hAnsi="Times New Roman" w:eastAsia="Times New Roman" w:cs="Times New Roman"/>
        </w:rPr>
        <w:t>Ari mẽbë ndziŋ a zɔŋgəŋ mɛnyìn yi tìrì, nɛ bə mbərì mɛnyìn mə tìrì. Bìlə́ nà kà kə nàŋ. Mòŋgà mɛnyìn mɔsə a kìə́ a bɔ́ŋ bìbà bà Matthew 25, a yí nà bɔ́ŋgə bɛ́ bììrì bì Miller, bì nyəŋ a tərɛm tìsì mə kàŋgə kɔ. Tìsì mə kàŋgə kɔ ya Israel ya kɛ́n, yí tìsì mə bɔ́m, nɛ bììrì bì Miller bì nyəŋ mɛnyìn bɔ́m nà kùsùŋ kà bəndə bɔ́ŋ. Kìsì kə bɔ́ŋgə bììrì bì Miller yí “the daily,” kə bìsɔŋ bì Ephraim bì təndəm nà sùsùŋ nà gɛ́n nìsì sà Adventism. “The daily” yí kìsì kə Satan nà paganism. Bìsɔŋ bìtɔ́m bì kàbà kììrì kə kɔ́ŋ, kə bì yərɛ nà Protestantism yà bɔ́ŋgə, kə kì lə́ŋ “the daily” nà kìsì kə Christ.</w:t>
      </w:r>
    </w:p>
    <w:p>
      <w:pPr>
        <w:pStyle w:val="ArticleBody"/>
        <w:jc w:val="left"/>
      </w:pPr>
      <w:r>
        <w:rPr>
          <w:rFonts w:ascii="Times New Roman" w:hAnsi="Times New Roman" w:eastAsia="Times New Roman" w:cs="Times New Roman"/>
        </w:rPr>
        <w:t>Kefahaman Miller tentang permata-permatanya adalah terbatas oleh sejarah di mana dia dibangkitkan. Dengan keyakinan bahawa Kedatangan Kedua ialah peristiwa nubuatan yang seterusnya, luka yang mematikan pada kepausan pada tahun 1798 hanya dapat melambangkan kerajaan duniawi yang keempat dan terakhir dalam Daniel dua. Miller juga terbatas dalam kefahamannya tentang “yang sehari-hari,” kerana kesaksiannya ialah bahawa melalui wahyu dia telah dipimpin kepada suatu kaedah pengajian yang khusus, di mana dia menyatakan bahawa dia menggunakan Alkitabnya, Konkordans Cruden, dan membaca beberapa akhbar. Keputusannya untuk mengkaji dengan cara itu semata-mata telah timbul dalam fikirannya.</w:t>
      </w:r>
    </w:p>
    <w:p>
      <w:pPr>
        <w:pStyle w:val="ArticleScripture"/>
        <w:jc w:val="left"/>
      </w:pPr>
      <w:r>
        <w:rPr>
          <w:rFonts w:ascii="Times New Roman" w:hAnsi="Times New Roman" w:eastAsia="Times New Roman" w:cs="Times New Roman"/>
        </w:rPr>
        <w:t>“Tempoh dua belas tahun ketika saya menjadi seorang deis, saya membaca segala buku sejarah yang dapat saya temukan; tetapi kini saya mengasihi Alkitab. Alkitab mengajarkan tentang Yesus! Namun demikian, masih ada cukup banyak bahagian Alkitab yang gelap bagi saya. Pada tahun 1818 atau 1819, ketika berbicara dengan seorang sahabat yang saya kunjungi, dan yang telah mengenal serta mendengar saya berbicara semasa saya seorang deis, dia bertanya, dengan cara yang agak bermakna, ‘Apakah pendapatmu tentang ayat ini, dan itu?’ sambil merujuk kepada ayat-ayat lama yang dahulu saya bantah semasa menjadi deis. Saya memahami maksudnya, lalu menjawab—Jika engkau memberi saya waktu, saya akan memberitahumu apa maksud ayat-ayat itu. ‘Berapa lama waktu yang engkau perlukan?’ Saya tidak tahu, tetapi saya akan memberitahumu, jawab saya, kerana saya tidak dapat percaya bahawa Allah telah memberikan suatu wahyu yang tidak dapat difahami. Maka saya pun bertekad untuk mempelajari Alkitab saya, dengan keyakinan bahawa saya dapat mengetahui apa yang dimaksudkan oleh Roh Kudus. Tetapi sebaik sahaja saya membentuk tekad ini, timbullah dalam fikiran saya pemikiran ini—‘Andaikata engkau menemukan suatu petikan yang tidak dapat engkau fahami, apakah yang akan engkau lakukan?’ Lalu cara mempelajari Alkitab ini terlintas dalam fikiran saya:—Saya akan mengambil kata-kata daripada petikan-petikan tersebut, menelusurinya melalui seluruh Alkitab, dan dengan cara ini menemukan maknanya. Saya mempunyai Cruden’s Concordance, yang pada hemat saya adalah yang terbaik di dunia; maka saya pun mengambilnya bersama Alkitab saya, lalu duduk di meja tulis saya, dan tidak membaca apa-apa yang lain, kecuali sedikit surat khabar, kerana saya bertekad untuk mengetahui apa maksud Alkitab saya. Apollos Hale, The Second Advent Manual, 65.”</w:t>
      </w:r>
    </w:p>
    <w:p>
      <w:pPr>
        <w:pStyle w:val="ArticleBody"/>
        <w:jc w:val="left"/>
      </w:pPr>
      <w:r>
        <w:rPr>
          <w:rFonts w:ascii="Times New Roman" w:hAnsi="Times New Roman" w:eastAsia="Times New Roman" w:cs="Times New Roman"/>
        </w:rPr>
        <w:t>Mahakoya a Miller a sian no abuanu ku jua mai kana onakona oni heni ne si, nyusu mo ko owose onakra ma Nyankopɔn hɔ.</w:t>
      </w:r>
    </w:p>
    <w:p>
      <w:pPr>
        <w:pStyle w:val="ArticleScripture"/>
        <w:jc w:val="left"/>
      </w:pPr>
      <w:r>
        <w:rPr>
          <w:rFonts w:ascii="Times New Roman" w:hAnsi="Times New Roman" w:eastAsia="Times New Roman" w:cs="Times New Roman"/>
        </w:rPr>
        <w:t>“</w:t>
      </w:r>
      <w:r>
        <w:rPr>
          <w:rFonts w:ascii="Nirmala UI" w:hAnsi="Nirmala UI" w:eastAsia="Nirmala UI" w:cs="Nirmala UI"/>
        </w:rPr>
        <w:t>ਵਾਹਿਗੁਰੂ</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ਆਪਣੇ</w:t>
      </w:r>
      <w:r>
        <w:rPr>
          <w:rFonts w:ascii="Times New Roman" w:hAnsi="Times New Roman" w:eastAsia="Times New Roman" w:cs="Times New Roman"/>
        </w:rPr>
        <w:t xml:space="preserve"> </w:t>
      </w:r>
      <w:r>
        <w:rPr>
          <w:rFonts w:ascii="Nirmala UI" w:hAnsi="Nirmala UI" w:eastAsia="Nirmala UI" w:cs="Nirmala UI"/>
        </w:rPr>
        <w:t>ਦੂਤ</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ਭੇਜਿਆ</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ਕਿਸਾਨ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ਦਿਲ</w:t>
      </w:r>
      <w:r>
        <w:rPr>
          <w:rFonts w:ascii="Times New Roman" w:hAnsi="Times New Roman" w:eastAsia="Times New Roman" w:cs="Times New Roman"/>
        </w:rPr>
        <w:t xml:space="preserve"> </w:t>
      </w:r>
      <w:r>
        <w:rPr>
          <w:rFonts w:ascii="Nirmala UI" w:hAnsi="Nirmala UI" w:eastAsia="Nirmala UI" w:cs="Nirmala UI"/>
        </w:rPr>
        <w:t>ਉੱਤੇ</w:t>
      </w:r>
      <w:r>
        <w:rPr>
          <w:rFonts w:ascii="Times New Roman" w:hAnsi="Times New Roman" w:eastAsia="Times New Roman" w:cs="Times New Roman"/>
        </w:rPr>
        <w:t xml:space="preserve"> </w:t>
      </w:r>
      <w:r>
        <w:rPr>
          <w:rFonts w:ascii="Nirmala UI" w:hAnsi="Nirmala UI" w:eastAsia="Nirmala UI" w:cs="Nirmala UI"/>
        </w:rPr>
        <w:t>ਪ੍ਰਭਾਵ</w:t>
      </w:r>
      <w:r>
        <w:rPr>
          <w:rFonts w:ascii="Times New Roman" w:hAnsi="Times New Roman" w:eastAsia="Times New Roman" w:cs="Times New Roman"/>
        </w:rPr>
        <w:t xml:space="preserve"> </w:t>
      </w:r>
      <w:r>
        <w:rPr>
          <w:rFonts w:ascii="Nirmala UI" w:hAnsi="Nirmala UI" w:eastAsia="Nirmala UI" w:cs="Nirmala UI"/>
        </w:rPr>
        <w:t>ਪਾਏ</w:t>
      </w:r>
      <w:r>
        <w:rPr>
          <w:rFonts w:ascii="Times New Roman" w:hAnsi="Times New Roman" w:eastAsia="Times New Roman" w:cs="Times New Roman"/>
        </w:rPr>
        <w:t xml:space="preserve">, </w:t>
      </w:r>
      <w:r>
        <w:rPr>
          <w:rFonts w:ascii="Nirmala UI" w:hAnsi="Nirmala UI" w:eastAsia="Nirmala UI" w:cs="Nirmala UI"/>
        </w:rPr>
        <w:t>ਜਿਸ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ਬਾਈਬਲ</w:t>
      </w:r>
      <w:r>
        <w:rPr>
          <w:rFonts w:ascii="Times New Roman" w:hAnsi="Times New Roman" w:eastAsia="Times New Roman" w:cs="Times New Roman"/>
        </w:rPr>
        <w:t xml:space="preserve"> </w:t>
      </w:r>
      <w:r>
        <w:rPr>
          <w:rFonts w:ascii="Nirmala UI" w:hAnsi="Nirmala UI" w:eastAsia="Nirmala UI" w:cs="Nirmala UI"/>
        </w:rPr>
        <w:t>ਉੱਤੇ</w:t>
      </w:r>
      <w:r>
        <w:rPr>
          <w:rFonts w:ascii="Times New Roman" w:hAnsi="Times New Roman" w:eastAsia="Times New Roman" w:cs="Times New Roman"/>
        </w:rPr>
        <w:t xml:space="preserve"> </w:t>
      </w:r>
      <w:r>
        <w:rPr>
          <w:rFonts w:ascii="Nirmala UI" w:hAnsi="Nirmala UI" w:eastAsia="Nirmala UI" w:cs="Nirmala UI"/>
        </w:rPr>
        <w:t>ਵਿਸ਼ਵਾਸ</w:t>
      </w:r>
      <w:r>
        <w:rPr>
          <w:rFonts w:ascii="Times New Roman" w:hAnsi="Times New Roman" w:eastAsia="Times New Roman" w:cs="Times New Roman"/>
        </w:rPr>
        <w:t xml:space="preserve"> </w:t>
      </w:r>
      <w:r>
        <w:rPr>
          <w:rFonts w:ascii="Nirmala UI" w:hAnsi="Nirmala UI" w:eastAsia="Nirmala UI" w:cs="Nirmala UI"/>
        </w:rPr>
        <w:t>ਨਹੀਂ</w:t>
      </w:r>
      <w:r>
        <w:rPr>
          <w:rFonts w:ascii="Times New Roman" w:hAnsi="Times New Roman" w:eastAsia="Times New Roman" w:cs="Times New Roman"/>
        </w:rPr>
        <w:t xml:space="preserve"> </w:t>
      </w:r>
      <w:r>
        <w:rPr>
          <w:rFonts w:ascii="Nirmala UI" w:hAnsi="Nirmala UI" w:eastAsia="Nirmala UI" w:cs="Nirmala UI"/>
        </w:rPr>
        <w:t>ਕੀਤਾ</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ਭਵਿੱਖਬਾਣੀਆਂ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ਖੋਜ</w:t>
      </w:r>
      <w:r>
        <w:rPr>
          <w:rFonts w:ascii="Times New Roman" w:hAnsi="Times New Roman" w:eastAsia="Times New Roman" w:cs="Times New Roman"/>
        </w:rPr>
        <w:t xml:space="preserve"> </w:t>
      </w:r>
      <w:r>
        <w:rPr>
          <w:rFonts w:ascii="Nirmala UI" w:hAnsi="Nirmala UI" w:eastAsia="Nirmala UI" w:cs="Nirmala UI"/>
        </w:rPr>
        <w:t>ਕਰਨ</w:t>
      </w:r>
      <w:r>
        <w:rPr>
          <w:rFonts w:ascii="Times New Roman" w:hAnsi="Times New Roman" w:eastAsia="Times New Roman" w:cs="Times New Roman"/>
        </w:rPr>
        <w:t xml:space="preserve"> </w:t>
      </w:r>
      <w:r>
        <w:rPr>
          <w:rFonts w:ascii="Nirmala UI" w:hAnsi="Nirmala UI" w:eastAsia="Nirmala UI" w:cs="Nirmala UI"/>
        </w:rPr>
        <w:t>ਲਈ</w:t>
      </w:r>
      <w:r>
        <w:rPr>
          <w:rFonts w:ascii="Times New Roman" w:hAnsi="Times New Roman" w:eastAsia="Times New Roman" w:cs="Times New Roman"/>
        </w:rPr>
        <w:t xml:space="preserve"> </w:t>
      </w:r>
      <w:r>
        <w:rPr>
          <w:rFonts w:ascii="Nirmala UI" w:hAnsi="Nirmala UI" w:eastAsia="Nirmala UI" w:cs="Nirmala UI"/>
        </w:rPr>
        <w:t>ਅਗਵਾਈ</w:t>
      </w:r>
      <w:r>
        <w:rPr>
          <w:rFonts w:ascii="Times New Roman" w:hAnsi="Times New Roman" w:eastAsia="Times New Roman" w:cs="Times New Roman"/>
        </w:rPr>
        <w:t xml:space="preserve"> </w:t>
      </w:r>
      <w:r>
        <w:rPr>
          <w:rFonts w:ascii="Nirmala UI" w:hAnsi="Nirmala UI" w:eastAsia="Nirmala UI" w:cs="Nirmala UI"/>
        </w:rPr>
        <w:t>ਦੇਵੇ।</w:t>
      </w:r>
      <w:r>
        <w:rPr>
          <w:rFonts w:ascii="Times New Roman" w:hAnsi="Times New Roman" w:eastAsia="Times New Roman" w:cs="Times New Roman"/>
        </w:rPr>
        <w:t xml:space="preserve"> </w:t>
      </w:r>
      <w:r>
        <w:rPr>
          <w:rFonts w:ascii="Nirmala UI" w:hAnsi="Nirmala UI" w:eastAsia="Nirmala UI" w:cs="Nirmala UI"/>
        </w:rPr>
        <w:t>ਵਾਹਿਗੁਰੂ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ਦੂਤ</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ਚੁਣੇ</w:t>
      </w:r>
      <w:r>
        <w:rPr>
          <w:rFonts w:ascii="Times New Roman" w:hAnsi="Times New Roman" w:eastAsia="Times New Roman" w:cs="Times New Roman"/>
        </w:rPr>
        <w:t xml:space="preserve"> </w:t>
      </w:r>
      <w:r>
        <w:rPr>
          <w:rFonts w:ascii="Nirmala UI" w:hAnsi="Nirmala UI" w:eastAsia="Nirmala UI" w:cs="Nirmala UI"/>
        </w:rPr>
        <w:t>ਹੋਏ</w:t>
      </w:r>
      <w:r>
        <w:rPr>
          <w:rFonts w:ascii="Times New Roman" w:hAnsi="Times New Roman" w:eastAsia="Times New Roman" w:cs="Times New Roman"/>
        </w:rPr>
        <w:t xml:space="preserve"> </w:t>
      </w:r>
      <w:r>
        <w:rPr>
          <w:rFonts w:ascii="Nirmala UI" w:hAnsi="Nirmala UI" w:eastAsia="Nirmala UI" w:cs="Nirmala UI"/>
        </w:rPr>
        <w:t>ਮਨੁੱਖ</w:t>
      </w:r>
      <w:r>
        <w:rPr>
          <w:rFonts w:ascii="Times New Roman" w:hAnsi="Times New Roman" w:eastAsia="Times New Roman" w:cs="Times New Roman"/>
        </w:rPr>
        <w:t xml:space="preserve"> </w:t>
      </w:r>
      <w:r>
        <w:rPr>
          <w:rFonts w:ascii="Nirmala UI" w:hAnsi="Nirmala UI" w:eastAsia="Nirmala UI" w:cs="Nirmala UI"/>
        </w:rPr>
        <w:t>ਕੋਲ</w:t>
      </w:r>
      <w:r>
        <w:rPr>
          <w:rFonts w:ascii="Times New Roman" w:hAnsi="Times New Roman" w:eastAsia="Times New Roman" w:cs="Times New Roman"/>
        </w:rPr>
        <w:t xml:space="preserve"> </w:t>
      </w:r>
      <w:r>
        <w:rPr>
          <w:rFonts w:ascii="Nirmala UI" w:hAnsi="Nirmala UI" w:eastAsia="Nirmala UI" w:cs="Nirmala UI"/>
        </w:rPr>
        <w:t>ਵਾਰੰਵਾਰ</w:t>
      </w:r>
      <w:r>
        <w:rPr>
          <w:rFonts w:ascii="Times New Roman" w:hAnsi="Times New Roman" w:eastAsia="Times New Roman" w:cs="Times New Roman"/>
        </w:rPr>
        <w:t xml:space="preserve"> </w:t>
      </w:r>
      <w:r>
        <w:rPr>
          <w:rFonts w:ascii="Nirmala UI" w:hAnsi="Nirmala UI" w:eastAsia="Nirmala UI" w:cs="Nirmala UI"/>
        </w:rPr>
        <w:t>ਆਏ</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ਮਨ</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ਦਿਸ਼ਾ</w:t>
      </w:r>
      <w:r>
        <w:rPr>
          <w:rFonts w:ascii="Times New Roman" w:hAnsi="Times New Roman" w:eastAsia="Times New Roman" w:cs="Times New Roman"/>
        </w:rPr>
        <w:t xml:space="preserve"> </w:t>
      </w:r>
      <w:r>
        <w:rPr>
          <w:rFonts w:ascii="Nirmala UI" w:hAnsi="Nirmala UI" w:eastAsia="Nirmala UI" w:cs="Nirmala UI"/>
        </w:rPr>
        <w:t>ਦੇਣ</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ਸਮਝ</w:t>
      </w:r>
      <w:r>
        <w:rPr>
          <w:rFonts w:ascii="Times New Roman" w:hAnsi="Times New Roman" w:eastAsia="Times New Roman" w:cs="Times New Roman"/>
        </w:rPr>
        <w:t xml:space="preserve"> </w:t>
      </w:r>
      <w:r>
        <w:rPr>
          <w:rFonts w:ascii="Nirmala UI" w:hAnsi="Nirmala UI" w:eastAsia="Nirmala UI" w:cs="Nirmala UI"/>
        </w:rPr>
        <w:t>ਲਈ</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ਭਵਿੱਖਬਾਣੀਆਂ</w:t>
      </w:r>
      <w:r>
        <w:rPr>
          <w:rFonts w:ascii="Times New Roman" w:hAnsi="Times New Roman" w:eastAsia="Times New Roman" w:cs="Times New Roman"/>
        </w:rPr>
        <w:t xml:space="preserve"> </w:t>
      </w:r>
      <w:r>
        <w:rPr>
          <w:rFonts w:ascii="Nirmala UI" w:hAnsi="Nirmala UI" w:eastAsia="Nirmala UI" w:cs="Nirmala UI"/>
        </w:rPr>
        <w:t>ਖੋਲ੍ਹਣ</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ਸਦਾ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ਵਾਹਿਗੁਰੂ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ਲੋਕਾਂ</w:t>
      </w:r>
      <w:r>
        <w:rPr>
          <w:rFonts w:ascii="Times New Roman" w:hAnsi="Times New Roman" w:eastAsia="Times New Roman" w:cs="Times New Roman"/>
        </w:rPr>
        <w:t xml:space="preserve"> </w:t>
      </w:r>
      <w:r>
        <w:rPr>
          <w:rFonts w:ascii="Nirmala UI" w:hAnsi="Nirmala UI" w:eastAsia="Nirmala UI" w:cs="Nirmala UI"/>
        </w:rPr>
        <w:t>ਲਈ</w:t>
      </w:r>
      <w:r>
        <w:rPr>
          <w:rFonts w:ascii="Times New Roman" w:hAnsi="Times New Roman" w:eastAsia="Times New Roman" w:cs="Times New Roman"/>
        </w:rPr>
        <w:t xml:space="preserve"> </w:t>
      </w:r>
      <w:r>
        <w:rPr>
          <w:rFonts w:ascii="Nirmala UI" w:hAnsi="Nirmala UI" w:eastAsia="Nirmala UI" w:cs="Nirmala UI"/>
        </w:rPr>
        <w:t>ਅੰਧਕਾਰਮਈ</w:t>
      </w:r>
      <w:r>
        <w:rPr>
          <w:rFonts w:ascii="Times New Roman" w:hAnsi="Times New Roman" w:eastAsia="Times New Roman" w:cs="Times New Roman"/>
        </w:rPr>
        <w:t xml:space="preserve"> </w:t>
      </w:r>
      <w:r>
        <w:rPr>
          <w:rFonts w:ascii="Nirmala UI" w:hAnsi="Nirmala UI" w:eastAsia="Nirmala UI" w:cs="Nirmala UI"/>
        </w:rPr>
        <w:t>ਰਹੀਆਂ</w:t>
      </w:r>
      <w:r>
        <w:rPr>
          <w:rFonts w:ascii="Times New Roman" w:hAnsi="Times New Roman" w:eastAsia="Times New Roman" w:cs="Times New Roman"/>
        </w:rPr>
        <w:t xml:space="preserve"> </w:t>
      </w:r>
      <w:r>
        <w:rPr>
          <w:rFonts w:ascii="Nirmala UI" w:hAnsi="Nirmala UI" w:eastAsia="Nirmala UI" w:cs="Nirmala UI"/>
        </w:rPr>
        <w:t>ਸਨ।</w:t>
      </w:r>
      <w:r>
        <w:rPr>
          <w:rFonts w:ascii="Times New Roman" w:hAnsi="Times New Roman" w:eastAsia="Times New Roman" w:cs="Times New Roman"/>
        </w:rPr>
        <w:t xml:space="preserve"> </w:t>
      </w:r>
      <w:r>
        <w:rPr>
          <w:rFonts w:ascii="Nirmala UI" w:hAnsi="Nirmala UI" w:eastAsia="Nirmala UI" w:cs="Nirmala UI"/>
        </w:rPr>
        <w:t>ਸੱਚਾਈ</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ਸ਼੍ਰਿੰਖਲਾ</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ਸ਼ੁਰੂਆਤ</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ਦਿੱਤੀ</w:t>
      </w:r>
      <w:r>
        <w:rPr>
          <w:rFonts w:ascii="Times New Roman" w:hAnsi="Times New Roman" w:eastAsia="Times New Roman" w:cs="Times New Roman"/>
        </w:rPr>
        <w:t xml:space="preserve"> </w:t>
      </w:r>
      <w:r>
        <w:rPr>
          <w:rFonts w:ascii="Nirmala UI" w:hAnsi="Nirmala UI" w:eastAsia="Nirmala UI" w:cs="Nirmala UI"/>
        </w:rPr>
        <w:t>ਗਈ</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ਕੜੀ</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ਦੂਜੀ</w:t>
      </w:r>
      <w:r>
        <w:rPr>
          <w:rFonts w:ascii="Times New Roman" w:hAnsi="Times New Roman" w:eastAsia="Times New Roman" w:cs="Times New Roman"/>
        </w:rPr>
        <w:t xml:space="preserve"> </w:t>
      </w:r>
      <w:r>
        <w:rPr>
          <w:rFonts w:ascii="Nirmala UI" w:hAnsi="Nirmala UI" w:eastAsia="Nirmala UI" w:cs="Nirmala UI"/>
        </w:rPr>
        <w:t>ਕੜੀ</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ਖੋਜ</w:t>
      </w:r>
      <w:r>
        <w:rPr>
          <w:rFonts w:ascii="Times New Roman" w:hAnsi="Times New Roman" w:eastAsia="Times New Roman" w:cs="Times New Roman"/>
        </w:rPr>
        <w:t xml:space="preserve"> </w:t>
      </w:r>
      <w:r>
        <w:rPr>
          <w:rFonts w:ascii="Nirmala UI" w:hAnsi="Nirmala UI" w:eastAsia="Nirmala UI" w:cs="Nirmala UI"/>
        </w:rPr>
        <w:t>ਕਰਨ</w:t>
      </w:r>
      <w:r>
        <w:rPr>
          <w:rFonts w:ascii="Times New Roman" w:hAnsi="Times New Roman" w:eastAsia="Times New Roman" w:cs="Times New Roman"/>
        </w:rPr>
        <w:t xml:space="preserve"> </w:t>
      </w:r>
      <w:r>
        <w:rPr>
          <w:rFonts w:ascii="Nirmala UI" w:hAnsi="Nirmala UI" w:eastAsia="Nirmala UI" w:cs="Nirmala UI"/>
        </w:rPr>
        <w:t>ਲਈ</w:t>
      </w:r>
      <w:r>
        <w:rPr>
          <w:rFonts w:ascii="Times New Roman" w:hAnsi="Times New Roman" w:eastAsia="Times New Roman" w:cs="Times New Roman"/>
        </w:rPr>
        <w:t xml:space="preserve"> </w:t>
      </w:r>
      <w:r>
        <w:rPr>
          <w:rFonts w:ascii="Nirmala UI" w:hAnsi="Nirmala UI" w:eastAsia="Nirmala UI" w:cs="Nirmala UI"/>
        </w:rPr>
        <w:t>ਅਗਵਾਈ</w:t>
      </w:r>
      <w:r>
        <w:rPr>
          <w:rFonts w:ascii="Times New Roman" w:hAnsi="Times New Roman" w:eastAsia="Times New Roman" w:cs="Times New Roman"/>
        </w:rPr>
        <w:t xml:space="preserve"> </w:t>
      </w:r>
      <w:r>
        <w:rPr>
          <w:rFonts w:ascii="Nirmala UI" w:hAnsi="Nirmala UI" w:eastAsia="Nirmala UI" w:cs="Nirmala UI"/>
        </w:rPr>
        <w:t>ਕੀਤਾ</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ਜਦ</w:t>
      </w:r>
      <w:r>
        <w:rPr>
          <w:rFonts w:ascii="Times New Roman" w:hAnsi="Times New Roman" w:eastAsia="Times New Roman" w:cs="Times New Roman"/>
        </w:rPr>
        <w:t xml:space="preserve"> </w:t>
      </w:r>
      <w:r>
        <w:rPr>
          <w:rFonts w:ascii="Nirmala UI" w:hAnsi="Nirmala UI" w:eastAsia="Nirmala UI" w:cs="Nirmala UI"/>
        </w:rPr>
        <w:t>ਤੱਕ</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ਵਾਹਿਗੁਰੂ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ਬਚਨ</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ਅਚਰਜ</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ਪ੍ਰਸ਼ੰਸਾ</w:t>
      </w:r>
      <w:r>
        <w:rPr>
          <w:rFonts w:ascii="Times New Roman" w:hAnsi="Times New Roman" w:eastAsia="Times New Roman" w:cs="Times New Roman"/>
        </w:rPr>
        <w:t xml:space="preserve"> </w:t>
      </w:r>
      <w:r>
        <w:rPr>
          <w:rFonts w:ascii="Nirmala UI" w:hAnsi="Nirmala UI" w:eastAsia="Nirmala UI" w:cs="Nirmala UI"/>
        </w:rPr>
        <w:t>ਨਾਲ</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ਵੇਖਣ</w:t>
      </w:r>
      <w:r>
        <w:rPr>
          <w:rFonts w:ascii="Times New Roman" w:hAnsi="Times New Roman" w:eastAsia="Times New Roman" w:cs="Times New Roman"/>
        </w:rPr>
        <w:t xml:space="preserve"> </w:t>
      </w:r>
      <w:r>
        <w:rPr>
          <w:rFonts w:ascii="Nirmala UI" w:hAnsi="Nirmala UI" w:eastAsia="Nirmala UI" w:cs="Nirmala UI"/>
        </w:rPr>
        <w:t>ਲੱਗ</w:t>
      </w:r>
      <w:r>
        <w:rPr>
          <w:rFonts w:ascii="Times New Roman" w:hAnsi="Times New Roman" w:eastAsia="Times New Roman" w:cs="Times New Roman"/>
        </w:rPr>
        <w:t xml:space="preserve"> </w:t>
      </w:r>
      <w:r>
        <w:rPr>
          <w:rFonts w:ascii="Nirmala UI" w:hAnsi="Nirmala UI" w:eastAsia="Nirmala UI" w:cs="Nirmala UI"/>
        </w:rPr>
        <w:t>ਪਿਆ।</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ਉੱਥੇ</w:t>
      </w:r>
      <w:r>
        <w:rPr>
          <w:rFonts w:ascii="Times New Roman" w:hAnsi="Times New Roman" w:eastAsia="Times New Roman" w:cs="Times New Roman"/>
        </w:rPr>
        <w:t xml:space="preserve"> </w:t>
      </w:r>
      <w:r>
        <w:rPr>
          <w:rFonts w:ascii="Nirmala UI" w:hAnsi="Nirmala UI" w:eastAsia="Nirmala UI" w:cs="Nirmala UI"/>
        </w:rPr>
        <w:t>ਸੱਚਾਈ</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ਸੰਪੂਰਨ</w:t>
      </w:r>
      <w:r>
        <w:rPr>
          <w:rFonts w:ascii="Times New Roman" w:hAnsi="Times New Roman" w:eastAsia="Times New Roman" w:cs="Times New Roman"/>
        </w:rPr>
        <w:t xml:space="preserve"> </w:t>
      </w:r>
      <w:r>
        <w:rPr>
          <w:rFonts w:ascii="Nirmala UI" w:hAnsi="Nirmala UI" w:eastAsia="Nirmala UI" w:cs="Nirmala UI"/>
        </w:rPr>
        <w:t>ਸ਼੍ਰਿੰਖਲਾ</w:t>
      </w:r>
      <w:r>
        <w:rPr>
          <w:rFonts w:ascii="Times New Roman" w:hAnsi="Times New Roman" w:eastAsia="Times New Roman" w:cs="Times New Roman"/>
        </w:rPr>
        <w:t xml:space="preserve"> </w:t>
      </w:r>
      <w:r>
        <w:rPr>
          <w:rFonts w:ascii="Nirmala UI" w:hAnsi="Nirmala UI" w:eastAsia="Nirmala UI" w:cs="Nirmala UI"/>
        </w:rPr>
        <w:t>ਵੇਖੀ।</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ਬਚਨ</w:t>
      </w:r>
      <w:r>
        <w:rPr>
          <w:rFonts w:ascii="Times New Roman" w:hAnsi="Times New Roman" w:eastAsia="Times New Roman" w:cs="Times New Roman"/>
        </w:rPr>
        <w:t xml:space="preserve">, </w:t>
      </w:r>
      <w:r>
        <w:rPr>
          <w:rFonts w:ascii="Nirmala UI" w:hAnsi="Nirmala UI" w:eastAsia="Nirmala UI" w:cs="Nirmala UI"/>
        </w:rPr>
        <w:t>ਜਿਸ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ਅਪ੍ਰੇਰਿਤ</w:t>
      </w:r>
      <w:r>
        <w:rPr>
          <w:rFonts w:ascii="Times New Roman" w:hAnsi="Times New Roman" w:eastAsia="Times New Roman" w:cs="Times New Roman"/>
        </w:rPr>
        <w:t xml:space="preserve"> </w:t>
      </w:r>
      <w:r>
        <w:rPr>
          <w:rFonts w:ascii="Nirmala UI" w:hAnsi="Nirmala UI" w:eastAsia="Nirmala UI" w:cs="Nirmala UI"/>
        </w:rPr>
        <w:t>ਸਮਝਿਆ</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ਹੁਣ</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ਨਿਗਾਹ</w:t>
      </w:r>
      <w:r>
        <w:rPr>
          <w:rFonts w:ascii="Times New Roman" w:hAnsi="Times New Roman" w:eastAsia="Times New Roman" w:cs="Times New Roman"/>
        </w:rPr>
        <w:t xml:space="preserve"> </w:t>
      </w:r>
      <w:r>
        <w:rPr>
          <w:rFonts w:ascii="Nirmala UI" w:hAnsi="Nirmala UI" w:eastAsia="Nirmala UI" w:cs="Nirmala UI"/>
        </w:rPr>
        <w:t>ਅੱਗੇ</w:t>
      </w:r>
      <w:r>
        <w:rPr>
          <w:rFonts w:ascii="Times New Roman" w:hAnsi="Times New Roman" w:eastAsia="Times New Roman" w:cs="Times New Roman"/>
        </w:rPr>
        <w:t xml:space="preserve"> </w:t>
      </w:r>
      <w:r>
        <w:rPr>
          <w:rFonts w:ascii="Nirmala UI" w:hAnsi="Nirmala UI" w:eastAsia="Nirmala UI" w:cs="Nirmala UI"/>
        </w:rPr>
        <w:t>ਆਪਣੀ</w:t>
      </w:r>
      <w:r>
        <w:rPr>
          <w:rFonts w:ascii="Times New Roman" w:hAnsi="Times New Roman" w:eastAsia="Times New Roman" w:cs="Times New Roman"/>
        </w:rPr>
        <w:t xml:space="preserve"> </w:t>
      </w:r>
      <w:r>
        <w:rPr>
          <w:rFonts w:ascii="Nirmala UI" w:hAnsi="Nirmala UI" w:eastAsia="Nirmala UI" w:cs="Nirmala UI"/>
        </w:rPr>
        <w:t>ਸੋਭਾ</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ਮਹਿਮਾ</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ਖੁਲ੍ਹ</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ਵੇਖਿਆ</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ਪਵਿੱਤਰ</w:t>
      </w:r>
      <w:r>
        <w:rPr>
          <w:rFonts w:ascii="Times New Roman" w:hAnsi="Times New Roman" w:eastAsia="Times New Roman" w:cs="Times New Roman"/>
        </w:rPr>
        <w:t xml:space="preserve"> </w:t>
      </w:r>
      <w:r>
        <w:rPr>
          <w:rFonts w:ascii="Nirmala UI" w:hAnsi="Nirmala UI" w:eastAsia="Nirmala UI" w:cs="Nirmala UI"/>
        </w:rPr>
        <w:t>ਲੇਖ</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ਭਾਗ</w:t>
      </w:r>
      <w:r>
        <w:rPr>
          <w:rFonts w:ascii="Times New Roman" w:hAnsi="Times New Roman" w:eastAsia="Times New Roman" w:cs="Times New Roman"/>
        </w:rPr>
        <w:t xml:space="preserve"> </w:t>
      </w:r>
      <w:r>
        <w:rPr>
          <w:rFonts w:ascii="Nirmala UI" w:hAnsi="Nirmala UI" w:eastAsia="Nirmala UI" w:cs="Nirmala UI"/>
        </w:rPr>
        <w:t>ਦੂਜੇ</w:t>
      </w:r>
      <w:r>
        <w:rPr>
          <w:rFonts w:ascii="Times New Roman" w:hAnsi="Times New Roman" w:eastAsia="Times New Roman" w:cs="Times New Roman"/>
        </w:rPr>
        <w:t xml:space="preserve"> </w:t>
      </w:r>
      <w:r>
        <w:rPr>
          <w:rFonts w:ascii="Nirmala UI" w:hAnsi="Nirmala UI" w:eastAsia="Nirmala UI" w:cs="Nirmala UI"/>
        </w:rPr>
        <w:t>ਭਾਗ</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ਵਿਆਖਿਆ</w:t>
      </w:r>
      <w:r>
        <w:rPr>
          <w:rFonts w:ascii="Times New Roman" w:hAnsi="Times New Roman" w:eastAsia="Times New Roman" w:cs="Times New Roman"/>
        </w:rPr>
        <w:t xml:space="preserve"> </w:t>
      </w:r>
      <w:r>
        <w:rPr>
          <w:rFonts w:ascii="Nirmala UI" w:hAnsi="Nirmala UI" w:eastAsia="Nirmala UI" w:cs="Nirmala UI"/>
        </w:rPr>
        <w:t>ਕਰਦਾ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ਜਦੋਂ</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ਅੰਸ਼</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ਸਮਝ</w:t>
      </w:r>
      <w:r>
        <w:rPr>
          <w:rFonts w:ascii="Times New Roman" w:hAnsi="Times New Roman" w:eastAsia="Times New Roman" w:cs="Times New Roman"/>
        </w:rPr>
        <w:t xml:space="preserve"> </w:t>
      </w:r>
      <w:r>
        <w:rPr>
          <w:rFonts w:ascii="Nirmala UI" w:hAnsi="Nirmala UI" w:eastAsia="Nirmala UI" w:cs="Nirmala UI"/>
        </w:rPr>
        <w:t>ਲਈ</w:t>
      </w:r>
      <w:r>
        <w:rPr>
          <w:rFonts w:ascii="Times New Roman" w:hAnsi="Times New Roman" w:eastAsia="Times New Roman" w:cs="Times New Roman"/>
        </w:rPr>
        <w:t xml:space="preserve"> </w:t>
      </w:r>
      <w:r>
        <w:rPr>
          <w:rFonts w:ascii="Nirmala UI" w:hAnsi="Nirmala UI" w:eastAsia="Nirmala UI" w:cs="Nirmala UI"/>
        </w:rPr>
        <w:t>ਬੰਦ</w:t>
      </w:r>
      <w:r>
        <w:rPr>
          <w:rFonts w:ascii="Times New Roman" w:hAnsi="Times New Roman" w:eastAsia="Times New Roman" w:cs="Times New Roman"/>
        </w:rPr>
        <w:t xml:space="preserve"> </w:t>
      </w:r>
      <w:r>
        <w:rPr>
          <w:rFonts w:ascii="Nirmala UI" w:hAnsi="Nirmala UI" w:eastAsia="Nirmala UI" w:cs="Nirmala UI"/>
        </w:rPr>
        <w:t>ਰਹਿੰਦਾ</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ਬਚਨ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ਕਿਸੇ</w:t>
      </w:r>
      <w:r>
        <w:rPr>
          <w:rFonts w:ascii="Times New Roman" w:hAnsi="Times New Roman" w:eastAsia="Times New Roman" w:cs="Times New Roman"/>
        </w:rPr>
        <w:t xml:space="preserve"> </w:t>
      </w:r>
      <w:r>
        <w:rPr>
          <w:rFonts w:ascii="Nirmala UI" w:hAnsi="Nirmala UI" w:eastAsia="Nirmala UI" w:cs="Nirmala UI"/>
        </w:rPr>
        <w:t>ਹੋਰ</w:t>
      </w:r>
      <w:r>
        <w:rPr>
          <w:rFonts w:ascii="Times New Roman" w:hAnsi="Times New Roman" w:eastAsia="Times New Roman" w:cs="Times New Roman"/>
        </w:rPr>
        <w:t xml:space="preserve"> </w:t>
      </w:r>
      <w:r>
        <w:rPr>
          <w:rFonts w:ascii="Nirmala UI" w:hAnsi="Nirmala UI" w:eastAsia="Nirmala UI" w:cs="Nirmala UI"/>
        </w:rPr>
        <w:t>ਭਾਗ</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ਗੱਲ</w:t>
      </w:r>
      <w:r>
        <w:rPr>
          <w:rFonts w:ascii="Times New Roman" w:hAnsi="Times New Roman" w:eastAsia="Times New Roman" w:cs="Times New Roman"/>
        </w:rPr>
        <w:t xml:space="preserve"> </w:t>
      </w:r>
      <w:r>
        <w:rPr>
          <w:rFonts w:ascii="Nirmala UI" w:hAnsi="Nirmala UI" w:eastAsia="Nirmala UI" w:cs="Nirmala UI"/>
        </w:rPr>
        <w:t>ਲੱਭੀ</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ਵਿਆਖਿਆ</w:t>
      </w:r>
      <w:r>
        <w:rPr>
          <w:rFonts w:ascii="Times New Roman" w:hAnsi="Times New Roman" w:eastAsia="Times New Roman" w:cs="Times New Roman"/>
        </w:rPr>
        <w:t xml:space="preserve"> </w:t>
      </w:r>
      <w:r>
        <w:rPr>
          <w:rFonts w:ascii="Nirmala UI" w:hAnsi="Nirmala UI" w:eastAsia="Nirmala UI" w:cs="Nirmala UI"/>
        </w:rPr>
        <w:t>ਕਰਦੀ</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ਵਾਹਿਗੁਰੂ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ਪਵਿੱਤਰ</w:t>
      </w:r>
      <w:r>
        <w:rPr>
          <w:rFonts w:ascii="Times New Roman" w:hAnsi="Times New Roman" w:eastAsia="Times New Roman" w:cs="Times New Roman"/>
        </w:rPr>
        <w:t xml:space="preserve"> </w:t>
      </w:r>
      <w:r>
        <w:rPr>
          <w:rFonts w:ascii="Nirmala UI" w:hAnsi="Nirmala UI" w:eastAsia="Nirmala UI" w:cs="Nirmala UI"/>
        </w:rPr>
        <w:t>ਬਚਨ</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ਆਨੰਦ</w:t>
      </w:r>
      <w:r>
        <w:rPr>
          <w:rFonts w:ascii="Times New Roman" w:hAnsi="Times New Roman" w:eastAsia="Times New Roman" w:cs="Times New Roman"/>
        </w:rPr>
        <w:t xml:space="preserve"> </w:t>
      </w:r>
      <w:r>
        <w:rPr>
          <w:rFonts w:ascii="Nirmala UI" w:hAnsi="Nirmala UI" w:eastAsia="Nirmala UI" w:cs="Nirmala UI"/>
        </w:rPr>
        <w:t>ਨਾਲ</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ਸਭ</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ਡੂੰਘੇ</w:t>
      </w:r>
      <w:r>
        <w:rPr>
          <w:rFonts w:ascii="Times New Roman" w:hAnsi="Times New Roman" w:eastAsia="Times New Roman" w:cs="Times New Roman"/>
        </w:rPr>
        <w:t xml:space="preserve"> </w:t>
      </w:r>
      <w:r>
        <w:rPr>
          <w:rFonts w:ascii="Nirmala UI" w:hAnsi="Nirmala UI" w:eastAsia="Nirmala UI" w:cs="Nirmala UI"/>
        </w:rPr>
        <w:t>ਆਦਰ</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ਭੈ</w:t>
      </w:r>
      <w:r>
        <w:rPr>
          <w:rFonts w:ascii="Times New Roman" w:hAnsi="Times New Roman" w:eastAsia="Times New Roman" w:cs="Times New Roman"/>
        </w:rPr>
        <w:t>-</w:t>
      </w:r>
      <w:r>
        <w:rPr>
          <w:rFonts w:ascii="Nirmala UI" w:hAnsi="Nirmala UI" w:eastAsia="Nirmala UI" w:cs="Nirmala UI"/>
        </w:rPr>
        <w:t>ਭਕਤੀ</w:t>
      </w:r>
      <w:r>
        <w:rPr>
          <w:rFonts w:ascii="Times New Roman" w:hAnsi="Times New Roman" w:eastAsia="Times New Roman" w:cs="Times New Roman"/>
        </w:rPr>
        <w:t xml:space="preserve"> </w:t>
      </w:r>
      <w:r>
        <w:rPr>
          <w:rFonts w:ascii="Nirmala UI" w:hAnsi="Nirmala UI" w:eastAsia="Nirmala UI" w:cs="Nirmala UI"/>
        </w:rPr>
        <w:t>ਨਾਲ</w:t>
      </w:r>
      <w:r>
        <w:rPr>
          <w:rFonts w:ascii="Times New Roman" w:hAnsi="Times New Roman" w:eastAsia="Times New Roman" w:cs="Times New Roman"/>
        </w:rPr>
        <w:t xml:space="preserve"> </w:t>
      </w:r>
      <w:r>
        <w:rPr>
          <w:rFonts w:ascii="Nirmala UI" w:hAnsi="Nirmala UI" w:eastAsia="Nirmala UI" w:cs="Nirmala UI"/>
        </w:rPr>
        <w:t>ਮੰਨਿਆ।</w:t>
      </w:r>
      <w:r>
        <w:rPr>
          <w:rFonts w:ascii="Times New Roman" w:hAnsi="Times New Roman" w:eastAsia="Times New Roman" w:cs="Times New Roman"/>
        </w:rPr>
        <w:t>” Early Writings, 230.</w:t>
      </w:r>
    </w:p>
    <w:p>
      <w:pPr>
        <w:pStyle w:val="ArticleBody"/>
        <w:jc w:val="left"/>
      </w:pPr>
      <w:r>
        <w:rPr>
          <w:rFonts w:ascii="Times New Roman" w:hAnsi="Times New Roman" w:eastAsia="Times New Roman" w:cs="Times New Roman"/>
        </w:rPr>
        <w:t>Nang Sister White myna ka ba, “U Blei u la phah ia U angel jong U” sha u Miller, ka pyni ba u Gabriel u long uta u angel ba la phah sha u Miller, namar “U angel jong U” ka long ka kyntien ba la bynta ia u Gabriel.</w:t>
      </w:r>
    </w:p>
    <w:p>
      <w:pPr>
        <w:pStyle w:val="ArticleScripture"/>
        <w:jc w:val="left"/>
      </w:pPr>
      <w:r>
        <w:rPr>
          <w:rFonts w:ascii="Times New Roman" w:hAnsi="Times New Roman" w:eastAsia="Times New Roman" w:cs="Times New Roman"/>
        </w:rPr>
        <w:t>“Lepoko tsa morongwa, ‘Ke nna Gabriele, yo a emeng mo pele ga Modimo,’ di bontsha gore o tshwere maemo a tlotlo e kgolo mo makgotleng a legodimo. E rile a tla ka molaetsa kwa go Daniele, a re, ‘Ga go ope yo o emang le nna mo dilong tse, fa e se Mikaele [Keresete], Kgosi ya lona.’ Daniele 10:21. Ka ga Gabriele Mmoloki o bua mo go Tshenolo, a re ‘O ne a o roma, a ba a o itsise ka moengele wa Gagwe kwa motlhankeng wa Gagwe Johane.’ Tshenolo 1:1.” The Desire of Ages, 99.</w:t>
      </w:r>
    </w:p>
    <w:p>
      <w:pPr>
        <w:pStyle w:val="ArticleBody"/>
        <w:jc w:val="left"/>
      </w:pPr>
      <w:r>
        <w:rPr>
          <w:rFonts w:ascii="Times New Roman" w:hAnsi="Times New Roman" w:eastAsia="Times New Roman" w:cs="Times New Roman"/>
        </w:rPr>
        <w:t>Gabriel dan para malaikat yang lain telah diutus untuk membimbing pemikiran Miller dan “membukakan kepada pengertiannya nubuatan-nubuatan yang selama ini gelap bagi umat Allah.” Pekabarannya tidak semata-mata dikembangkan melalui metodenya dalam mempelajari Kitab Suci, melainkan juga melalui penyataan ilahi. Metode yang digunakannya untuk mempelajari Alkitab itu sendiri telah ditanamkan ke dalam pikirannya. Apabila Allah membawa kebenaran ke dalam pikiran kita, itu adalah penyataan ilahi, berbeda dengan sampai kepada kebenaran melalui proses membagi dengan tepat firman dalam Alkitab. Miller melakukan keduanya, tetapi penyataan ilahi harus menjadi bagian dari bagaimana Miller sampai memahami pokok “yang tetap.”</w:t>
      </w:r>
    </w:p>
    <w:p>
      <w:pPr>
        <w:pStyle w:val="ArticleBody"/>
        <w:jc w:val="left"/>
      </w:pPr>
      <w:r>
        <w:rPr>
          <w:rFonts w:ascii="Times New Roman" w:hAnsi="Times New Roman" w:eastAsia="Times New Roman" w:cs="Times New Roman"/>
        </w:rPr>
        <w:t>Miller tidak akan mengenali osilasi gender dalam Daniel pasal delapan, ayat sembilan sampai dua belas, sebab yang ia miliki hanyalah Alkitab dan sebuah konkordansi yang sama sekali tidak memuat informasi apa pun mengenai bahasa-bahasa Alkitab. Ia tidak akan melihat perbedaan antara “sur” dan “rum” yang keduanya diterjemahkan sebagai “menghapuskan.” Ia juga tidak akan melihat perbedaan antara “miqdash” dan “qodesh” yang keduanya diterjemahkan sebagai “bait suci.”</w:t>
      </w:r>
    </w:p>
    <w:p>
      <w:pPr>
        <w:pStyle w:val="ArticleBody"/>
        <w:jc w:val="left"/>
      </w:pPr>
      <w:r>
        <w:rPr>
          <w:rFonts w:ascii="Times New Roman" w:hAnsi="Times New Roman" w:eastAsia="Times New Roman" w:cs="Times New Roman"/>
        </w:rPr>
        <w:t>Dia tentu tidak akan melihat kebenaran dari kata “tamid” yang terdapat seratus empat kali dalam Alkitab. Kebenaran yang tidak dapat ia lihat (yang juga merupakan kebenaran yang memang ia lihat) ialah bahwa dari seratus empat kali kata Ibrani “tamid” digunakan dalam Alkitab, hanya dalam kitab Daniel kata Ibrani “tamid” digunakan sebagai kata benda. “Tamid” adalah kata Ibrani yang berarti “terus-menerus”, dan dalam kitab Daniel diterjemahkan sebagai “the daily”.</w:t>
      </w:r>
    </w:p>
    <w:p>
      <w:pPr>
        <w:pStyle w:val="ArticleBody"/>
        <w:jc w:val="left"/>
      </w:pPr>
      <w:r>
        <w:rPr>
          <w:rFonts w:ascii="Times New Roman" w:hAnsi="Times New Roman" w:eastAsia="Times New Roman" w:cs="Times New Roman"/>
        </w:rPr>
        <w:t>Nitət Daniel kitabında bu söz isim kimi işlədilir, qalan doxsan doqquz yerdə isə zərf kimi işlədilir. Bu səbəbdən, Kral Ceyms Müqəddəs Kitabının tərcüməçiləri Danielin bu sözü beş dəfə isim kimi işlətdiyi ilə qarşılaşanda, halbuki Müqəddəs Kitabın bütün digər müəllifləri həmin sözü doxsan doqquz dəfə zərf kimi işlətmişdilər, dəlillərin ağırlığı qarşısında Danielin sözü isim kimi işlətməsini düzəltməyə məcbur oldular. Danieli düzəltmək üçün onlar Kəlamın içinə “qurban” sözünü əlavə etdilər və beləliklə ismi zərfə çevirdilər. Sonra isə tərcüməçiləri düzəltmək üçün Ellen White ilham alaraq belə qeyd etdi ki, o, “‘Daily’ ilə bağlı gördü ki, ‘qurban’ sözü insan hikməti ilə əlavə edilmişdir və mətnə aid deyildir; və Rəbb bunun doğru baxışını hökm saatı çağırışını verənlərə vermişdir.”</w:t>
      </w:r>
    </w:p>
    <w:p>
      <w:pPr>
        <w:pStyle w:val="ArticleBody"/>
        <w:jc w:val="left"/>
      </w:pPr>
      <w:r>
        <w:rPr>
          <w:rFonts w:ascii="Times New Roman" w:hAnsi="Times New Roman" w:eastAsia="Times New Roman" w:cs="Times New Roman"/>
        </w:rPr>
        <w:t>Miller, menurut kesaksiannya sendiri, sedang berusaha untuk memahami “yang sehari-hari,” yang pada akhirnya ia pahami dalam 2 Tesalonika. Tetapi juga, menurut kesaksiannya sendiri, ketika berusaha memahami suatu kata, ia akan mempertimbangkan setiap tempat di mana kata itu digunakan, dan kata itu digunakan sembilan puluh sembilan kali lainnya dalam Alkitab. Namun kesaksiannya mengenai “yang sehari-hari” ialah bahwa ia tidak menemukannya di mana pun selain dalam kitab Daniel, ketika ia menyatakan, “Aku terus membaca, dan tidak dapat menemukan kasus lain di mana hal itu [yang sehari-hari] ditemukan, selain dalam Daniel.” Miller dibimbing kepada permata-permata itu bukan hanya oleh metode studinya, melainkan juga oleh penyataan ilahi yang diberikan kepadanya melalui pelayanan para malaikat.</w:t>
      </w:r>
    </w:p>
    <w:p>
      <w:pPr>
        <w:pStyle w:val="ArticleBody"/>
        <w:jc w:val="left"/>
      </w:pPr>
      <w:r>
        <w:rPr>
          <w:rFonts w:ascii="Times New Roman" w:hAnsi="Times New Roman" w:eastAsia="Times New Roman" w:cs="Times New Roman"/>
        </w:rPr>
        <w:t>Teo no antony nahatonga ny fahatakarany ny amin’“ny isan’andro” ho marina, nefa voafetra. Tsy afaka nahafantatra izy fa amin’ireo indimy anononana ny hoe “ny isan’andro” ao amin’ny bokin’i Daniela, ny iray amin’ireo intelo izay “esorina” ny “isan’andro” dia maneho hevitra hafa noho ireo indroa hafa. Indray mandeha, ny hoe “ny isan’andro” dia ampiasaina miaraka amin’ny teny hebreo hoe “rum”, ary amin’ireo indroa hafa kosa dia ampiasaina miaraka amin’ny teny hebreo hoe “sur”. Samy adika hoe esorina ireo teny roa ireo, kanefa ny “rum” ao amin’ny Daniela toko faha-valo andininy faha-iraika ambin’ny folo dia midika hoe “asandratra sy omem-boninahitra”, ary ao amin’ny toko faha-iraika ambin’ny folo andininy faha-iraika amby telo-polo, sy ny toko faha-roa ambin’ny folo andininy faha-iraika ambin’ny folo, ny teny hoe “sur” dia midika hoe “esorina”.</w:t>
      </w:r>
    </w:p>
    <w:p>
      <w:pPr>
        <w:pStyle w:val="ArticleBody"/>
        <w:jc w:val="left"/>
      </w:pPr>
      <w:r>
        <w:rPr>
          <w:rFonts w:ascii="Microsoft YaHei" w:hAnsi="Microsoft YaHei" w:eastAsia="Microsoft YaHei" w:cs="Microsoft YaHei"/>
        </w:rPr>
        <w:t>巴比伦饮食的神学家们辩称：无论是</w:t>
      </w:r>
      <w:r>
        <w:rPr>
          <w:rFonts w:ascii="Times New Roman" w:hAnsi="Times New Roman" w:eastAsia="Times New Roman" w:cs="Times New Roman"/>
        </w:rPr>
        <w:t>“</w:t>
      </w:r>
      <w:r>
        <w:rPr>
          <w:rFonts w:ascii="Microsoft YaHei" w:hAnsi="Microsoft YaHei" w:eastAsia="Microsoft YaHei" w:cs="Microsoft YaHei"/>
        </w:rPr>
        <w:t>除去</w:t>
      </w:r>
      <w:r>
        <w:rPr>
          <w:rFonts w:ascii="Times New Roman" w:hAnsi="Times New Roman" w:eastAsia="Times New Roman" w:cs="Times New Roman"/>
        </w:rPr>
        <w:t>”</w:t>
      </w:r>
      <w:r>
        <w:rPr>
          <w:rFonts w:ascii="Microsoft YaHei" w:hAnsi="Microsoft YaHei" w:eastAsia="Microsoft YaHei" w:cs="Microsoft YaHei"/>
        </w:rPr>
        <w:t>一物</w:t>
      </w:r>
      <w:r>
        <w:rPr>
          <w:rFonts w:ascii="Times New Roman" w:hAnsi="Times New Roman" w:eastAsia="Times New Roman" w:cs="Times New Roman"/>
        </w:rPr>
        <w:t>,</w:t>
      </w:r>
      <w:r>
        <w:rPr>
          <w:rFonts w:ascii="Microsoft YaHei" w:hAnsi="Microsoft YaHei" w:eastAsia="Microsoft YaHei" w:cs="Microsoft YaHei"/>
        </w:rPr>
        <w:t>还是</w:t>
      </w:r>
      <w:r>
        <w:rPr>
          <w:rFonts w:ascii="Times New Roman" w:hAnsi="Times New Roman" w:eastAsia="Times New Roman" w:cs="Times New Roman"/>
        </w:rPr>
        <w:t>“</w:t>
      </w:r>
      <w:r>
        <w:rPr>
          <w:rFonts w:ascii="Microsoft YaHei" w:hAnsi="Microsoft YaHei" w:eastAsia="Microsoft YaHei" w:cs="Microsoft YaHei"/>
        </w:rPr>
        <w:t>举起</w:t>
      </w:r>
      <w:r>
        <w:rPr>
          <w:rFonts w:ascii="Times New Roman" w:hAnsi="Times New Roman" w:eastAsia="Times New Roman" w:cs="Times New Roman"/>
        </w:rPr>
        <w:t>”</w:t>
      </w:r>
      <w:r>
        <w:rPr>
          <w:rFonts w:ascii="Microsoft YaHei" w:hAnsi="Microsoft YaHei" w:eastAsia="Microsoft YaHei" w:cs="Microsoft YaHei"/>
        </w:rPr>
        <w:t>一物</w:t>
      </w:r>
      <w:r>
        <w:rPr>
          <w:rFonts w:ascii="Times New Roman" w:hAnsi="Times New Roman" w:eastAsia="Times New Roman" w:cs="Times New Roman"/>
        </w:rPr>
        <w:t>,</w:t>
      </w:r>
      <w:r>
        <w:rPr>
          <w:rFonts w:ascii="Microsoft YaHei" w:hAnsi="Microsoft YaHei" w:eastAsia="Microsoft YaHei" w:cs="Microsoft YaHei"/>
        </w:rPr>
        <w:t>两者都代表某一种除去</w:t>
      </w:r>
      <w:r>
        <w:rPr>
          <w:rFonts w:ascii="Times New Roman" w:hAnsi="Times New Roman" w:eastAsia="Times New Roman" w:cs="Times New Roman"/>
        </w:rPr>
        <w:t>;</w:t>
      </w:r>
      <w:r>
        <w:rPr>
          <w:rFonts w:ascii="Microsoft YaHei" w:hAnsi="Microsoft YaHei" w:eastAsia="Microsoft YaHei" w:cs="Microsoft YaHei"/>
        </w:rPr>
        <w:t>因此</w:t>
      </w:r>
      <w:r>
        <w:rPr>
          <w:rFonts w:ascii="Times New Roman" w:hAnsi="Times New Roman" w:eastAsia="Times New Roman" w:cs="Times New Roman"/>
        </w:rPr>
        <w:t>,</w:t>
      </w:r>
      <w:r>
        <w:rPr>
          <w:rFonts w:ascii="Microsoft YaHei" w:hAnsi="Microsoft YaHei" w:eastAsia="Microsoft YaHei" w:cs="Microsoft YaHei"/>
        </w:rPr>
        <w:t>这两个词都应当被理解为具有相同的意义</w:t>
      </w:r>
      <w:r>
        <w:rPr>
          <w:rFonts w:ascii="Times New Roman" w:hAnsi="Times New Roman" w:eastAsia="Times New Roman" w:cs="Times New Roman"/>
        </w:rPr>
        <w:t>.</w:t>
      </w:r>
      <w:r>
        <w:rPr>
          <w:rFonts w:ascii="Microsoft YaHei" w:hAnsi="Microsoft YaHei" w:eastAsia="Microsoft YaHei" w:cs="Microsoft YaHei"/>
        </w:rPr>
        <w:t>他们主张</w:t>
      </w:r>
      <w:r>
        <w:rPr>
          <w:rFonts w:ascii="Times New Roman" w:hAnsi="Times New Roman" w:eastAsia="Times New Roman" w:cs="Times New Roman"/>
        </w:rPr>
        <w:t>,</w:t>
      </w:r>
      <w:r>
        <w:rPr>
          <w:rFonts w:ascii="Microsoft YaHei" w:hAnsi="Microsoft YaHei" w:eastAsia="Microsoft YaHei" w:cs="Microsoft YaHei"/>
        </w:rPr>
        <w:t>那三处</w:t>
      </w:r>
      <w:r>
        <w:rPr>
          <w:rFonts w:ascii="Times New Roman" w:hAnsi="Times New Roman" w:eastAsia="Times New Roman" w:cs="Times New Roman"/>
        </w:rPr>
        <w:t>“</w:t>
      </w:r>
      <w:r>
        <w:rPr>
          <w:rFonts w:ascii="Microsoft YaHei" w:hAnsi="Microsoft YaHei" w:eastAsia="Microsoft YaHei" w:cs="Microsoft YaHei"/>
        </w:rPr>
        <w:t>常献的</w:t>
      </w:r>
      <w:r>
        <w:rPr>
          <w:rFonts w:ascii="Times New Roman" w:hAnsi="Times New Roman" w:eastAsia="Times New Roman" w:cs="Times New Roman"/>
        </w:rPr>
        <w:t>”</w:t>
      </w:r>
      <w:r>
        <w:rPr>
          <w:rFonts w:ascii="Microsoft YaHei" w:hAnsi="Microsoft YaHei" w:eastAsia="Microsoft YaHei" w:cs="Microsoft YaHei"/>
        </w:rPr>
        <w:t>被</w:t>
      </w:r>
      <w:r>
        <w:rPr>
          <w:rFonts w:ascii="Times New Roman" w:hAnsi="Times New Roman" w:eastAsia="Times New Roman" w:cs="Times New Roman"/>
        </w:rPr>
        <w:t>“</w:t>
      </w:r>
      <w:r>
        <w:rPr>
          <w:rFonts w:ascii="Microsoft YaHei" w:hAnsi="Microsoft YaHei" w:eastAsia="Microsoft YaHei" w:cs="Microsoft YaHei"/>
        </w:rPr>
        <w:t>除去</w:t>
      </w:r>
      <w:r>
        <w:rPr>
          <w:rFonts w:ascii="Times New Roman" w:hAnsi="Times New Roman" w:eastAsia="Times New Roman" w:cs="Times New Roman"/>
        </w:rPr>
        <w:t>”,</w:t>
      </w:r>
      <w:r>
        <w:rPr>
          <w:rFonts w:ascii="Microsoft YaHei" w:hAnsi="Microsoft YaHei" w:eastAsia="Microsoft YaHei" w:cs="Microsoft YaHei"/>
        </w:rPr>
        <w:t>其意思总是移除</w:t>
      </w:r>
      <w:r>
        <w:rPr>
          <w:rFonts w:ascii="Times New Roman" w:hAnsi="Times New Roman" w:eastAsia="Times New Roman" w:cs="Times New Roman"/>
        </w:rPr>
        <w:t>;</w:t>
      </w:r>
      <w:r>
        <w:rPr>
          <w:rFonts w:ascii="Microsoft YaHei" w:hAnsi="Microsoft YaHei" w:eastAsia="Microsoft YaHei" w:cs="Microsoft YaHei"/>
        </w:rPr>
        <w:t>如此一来</w:t>
      </w:r>
      <w:r>
        <w:rPr>
          <w:rFonts w:ascii="Times New Roman" w:hAnsi="Times New Roman" w:eastAsia="Times New Roman" w:cs="Times New Roman"/>
        </w:rPr>
        <w:t>,</w:t>
      </w:r>
      <w:r>
        <w:rPr>
          <w:rFonts w:ascii="Microsoft YaHei" w:hAnsi="Microsoft YaHei" w:eastAsia="Microsoft YaHei" w:cs="Microsoft YaHei"/>
        </w:rPr>
        <w:t>他们实际上认定但以理在用词上是不谨慎的</w:t>
      </w:r>
      <w:r>
        <w:rPr>
          <w:rFonts w:ascii="Times New Roman" w:hAnsi="Times New Roman" w:eastAsia="Times New Roman" w:cs="Times New Roman"/>
        </w:rPr>
        <w:t>.</w:t>
      </w:r>
      <w:r>
        <w:rPr>
          <w:rFonts w:ascii="Microsoft YaHei" w:hAnsi="Microsoft YaHei" w:eastAsia="Microsoft YaHei" w:cs="Microsoft YaHei"/>
        </w:rPr>
        <w:t>他们并不公开这样说</w:t>
      </w:r>
      <w:r>
        <w:rPr>
          <w:rFonts w:ascii="Times New Roman" w:hAnsi="Times New Roman" w:eastAsia="Times New Roman" w:cs="Times New Roman"/>
        </w:rPr>
        <w:t>,</w:t>
      </w:r>
      <w:r>
        <w:rPr>
          <w:rFonts w:ascii="Microsoft YaHei" w:hAnsi="Microsoft YaHei" w:eastAsia="Microsoft YaHei" w:cs="Microsoft YaHei"/>
        </w:rPr>
        <w:t>但按其推论</w:t>
      </w:r>
      <w:r>
        <w:rPr>
          <w:rFonts w:ascii="Times New Roman" w:hAnsi="Times New Roman" w:eastAsia="Times New Roman" w:cs="Times New Roman"/>
        </w:rPr>
        <w:t>,</w:t>
      </w:r>
      <w:r>
        <w:rPr>
          <w:rFonts w:ascii="Microsoft YaHei" w:hAnsi="Microsoft YaHei" w:eastAsia="Microsoft YaHei" w:cs="Microsoft YaHei"/>
        </w:rPr>
        <w:t>他们所教导的乃是：但以理在这三次出现中都应当使用</w:t>
      </w:r>
      <w:r>
        <w:rPr>
          <w:rFonts w:ascii="Times New Roman" w:hAnsi="Times New Roman" w:eastAsia="Times New Roman" w:cs="Times New Roman"/>
        </w:rPr>
        <w:t>“sur”</w:t>
      </w:r>
      <w:r>
        <w:rPr>
          <w:rFonts w:ascii="Microsoft YaHei" w:hAnsi="Microsoft YaHei" w:eastAsia="Microsoft YaHei" w:cs="Microsoft YaHei"/>
        </w:rPr>
        <w:t>一词</w:t>
      </w:r>
      <w:r>
        <w:rPr>
          <w:rFonts w:ascii="Times New Roman" w:hAnsi="Times New Roman" w:eastAsia="Times New Roman" w:cs="Times New Roman"/>
        </w:rPr>
        <w:t>,</w:t>
      </w:r>
      <w:r>
        <w:rPr>
          <w:rFonts w:ascii="Microsoft YaHei" w:hAnsi="Microsoft YaHei" w:eastAsia="Microsoft YaHei" w:cs="Microsoft YaHei"/>
        </w:rPr>
        <w:t>因为照这些神学家的说法</w:t>
      </w:r>
      <w:r>
        <w:rPr>
          <w:rFonts w:ascii="Times New Roman" w:hAnsi="Times New Roman" w:eastAsia="Times New Roman" w:cs="Times New Roman"/>
        </w:rPr>
        <w:t>,</w:t>
      </w:r>
      <w:r>
        <w:rPr>
          <w:rFonts w:ascii="Microsoft YaHei" w:hAnsi="Microsoft YaHei" w:eastAsia="Microsoft YaHei" w:cs="Microsoft YaHei"/>
        </w:rPr>
        <w:t>每一次</w:t>
      </w:r>
      <w:r>
        <w:rPr>
          <w:rFonts w:ascii="Times New Roman" w:hAnsi="Times New Roman" w:eastAsia="Times New Roman" w:cs="Times New Roman"/>
        </w:rPr>
        <w:t>“</w:t>
      </w:r>
      <w:r>
        <w:rPr>
          <w:rFonts w:ascii="Microsoft YaHei" w:hAnsi="Microsoft YaHei" w:eastAsia="Microsoft YaHei" w:cs="Microsoft YaHei"/>
        </w:rPr>
        <w:t>常献的</w:t>
      </w:r>
      <w:r>
        <w:rPr>
          <w:rFonts w:ascii="Times New Roman" w:hAnsi="Times New Roman" w:eastAsia="Times New Roman" w:cs="Times New Roman"/>
        </w:rPr>
        <w:t>”</w:t>
      </w:r>
      <w:r>
        <w:rPr>
          <w:rFonts w:ascii="Microsoft YaHei" w:hAnsi="Microsoft YaHei" w:eastAsia="Microsoft YaHei" w:cs="Microsoft YaHei"/>
        </w:rPr>
        <w:t>被</w:t>
      </w:r>
      <w:r>
        <w:rPr>
          <w:rFonts w:ascii="Times New Roman" w:hAnsi="Times New Roman" w:eastAsia="Times New Roman" w:cs="Times New Roman"/>
        </w:rPr>
        <w:t>“</w:t>
      </w:r>
      <w:r>
        <w:rPr>
          <w:rFonts w:ascii="Microsoft YaHei" w:hAnsi="Microsoft YaHei" w:eastAsia="Microsoft YaHei" w:cs="Microsoft YaHei"/>
        </w:rPr>
        <w:t>除去</w:t>
      </w:r>
      <w:r>
        <w:rPr>
          <w:rFonts w:ascii="Times New Roman" w:hAnsi="Times New Roman" w:eastAsia="Times New Roman" w:cs="Times New Roman"/>
        </w:rPr>
        <w:t>”</w:t>
      </w:r>
      <w:r>
        <w:rPr>
          <w:rFonts w:ascii="Microsoft YaHei" w:hAnsi="Microsoft YaHei" w:eastAsia="Microsoft YaHei" w:cs="Microsoft YaHei"/>
        </w:rPr>
        <w:t>时</w:t>
      </w:r>
      <w:r>
        <w:rPr>
          <w:rFonts w:ascii="Times New Roman" w:hAnsi="Times New Roman" w:eastAsia="Times New Roman" w:cs="Times New Roman"/>
        </w:rPr>
        <w:t>,</w:t>
      </w:r>
      <w:r>
        <w:rPr>
          <w:rFonts w:ascii="Microsoft YaHei" w:hAnsi="Microsoft YaHei" w:eastAsia="Microsoft YaHei" w:cs="Microsoft YaHei"/>
        </w:rPr>
        <w:t>他原本都是同一个意思</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Mereka melakukan hal yang sama terhadap kata “miqdash” dan “qodesh,” yang keduanya diterjemahkan sebagai “bait suci,” dalam ayat sebelas sampai empat belas pasal delapan. Dalam setiap penyebutan “bait suci” dalam keempat ayat itu, mereka bersikeras bahwa semuanya melambangkan bait suci Allah. Sekali lagi, secara inferensial, Daniel seharusnya cukup menggunakan “qodesh” dalam ketiga penyebutan itu, dan tidak menggunakan “miqdash” dalam ayat sebelas. Miller tidak akan mengenali perbedaan antara kata-kata itu, tetapi para teolog modern mengenalinya, dan ketika mereka mengenalinya, mereka bersikeras bahwa tidak ada perbedaan yang patut diakui. Namun Miller, yang tidak mengenali perbedaan-perbedaan antara kata-kata itu, sampai pada pengertian yang berlawanan dengan para teolog modern.</w:t>
      </w:r>
    </w:p>
    <w:p>
      <w:pPr>
        <w:pStyle w:val="ArticleBody"/>
        <w:jc w:val="left"/>
      </w:pPr>
      <w:r>
        <w:rPr>
          <w:rFonts w:ascii="Times New Roman" w:hAnsi="Times New Roman" w:eastAsia="Times New Roman" w:cs="Times New Roman"/>
        </w:rPr>
        <w:t>Ѕшьыбжьарас иашоу уи ауп: Даниил иџьбара дуӡӡа змаз ашәҟәыҩҩын, абырлаш бызшәа здыруаз, насгьы Вавилон иҿагылара аҳамҭақәа рымаз, рхатә йәмак аҿыгьы ақәыԥшра ду злаз егьырҭ аҵарауааи аҟәыӷцәа зегьы рҟынтә жәаҳәаҟынӡа еиҳагьы аҵара змаз иеиԥш ихәаԥшын. Егьи акәзар, абырлаш бызшәа ииашаны ахархәара, насгьы уи иарбан усала уи аҭоурых ҷыдаҿы ииашаны ицәыргахатәыз здыруаз аӡә дыҟан акәзар, уи Даниил иакәын. Даниил ажәақәа еиуеиԥшымкәа ихы иаирхәозар, уи дара еиуеиԥшым мәғанақәа рыҭаразы акәын, насгьы убри иашаны ицәыргарц иараҵәҟьа хықәкыла иҽазишәеит. Даниил “абахә-святилище” ма “иагырхуеит” ҳәа еиҭарго ажәақәа рзы ифырԥшы еидым рхархәашьа азхаҵазар, урҭ Миллер “амшык зегьы” ҳәа аилиркаара дшааигаз иԥышәырччоит, уи Миллер ииашаны анибааз ажәҩанҳәаҿыҵәҟьа, иҟан Павел иҳәаз, аҵабырг ненавидеит ҳәа иҟоуқәа “алгамҭара ӷәӷәа” рыдыркыларахь илаҳәатәуп ҳәа.</w:t>
      </w:r>
    </w:p>
    <w:p>
      <w:pPr>
        <w:pStyle w:val="ArticleBody"/>
        <w:jc w:val="left"/>
      </w:pPr>
      <w:r>
        <w:rPr>
          <w:rFonts w:ascii="Times New Roman" w:hAnsi="Times New Roman" w:eastAsia="Times New Roman" w:cs="Times New Roman"/>
        </w:rPr>
        <w:t>A ba ba hloileng boammaaruri mme ba dumelang leshano le tswalang timelo e matla, ba boela ba emelwa e le matagwa a Efraime, a emelwang ka mekgahlelo e mebedi. Mokgahlelo o mong ke boetapele bo rutehileng, mme mokgahlelo o mong ke badumedi ba sa rutehang ba tla utlwa feela seo ba rutehileng ba ba rutang sona. Ke bona ba ipatang tlasa mashano, mme ba etsang selekane le lefu. Ke bona bao moya wa bona o iphahamisitseng ho Habakuke pedi, mme ke barwetsana ba maoatla ba Mattheu mashome a mabedi a metso e mehlano. Ke bona ba hanang dithuto tsa motheo tsa toro ya Miller, tse phatsimang ka makgetlo a leshome ho feta qetellong (ho emela teko ya leshome le ya ho qetela bakeng sa Iseraele ya mehleng ena), jwalokaha ho ne ho emetswe ke teko ya leshome le ya ho qetela bakeng sa Iseraele ya boholo-holo.</w:t>
      </w:r>
    </w:p>
    <w:p>
      <w:pPr>
        <w:pStyle w:val="ArticleBody"/>
        <w:jc w:val="left"/>
      </w:pPr>
      <w:r>
        <w:rPr>
          <w:rFonts w:ascii="Times New Roman" w:hAnsi="Times New Roman" w:eastAsia="Times New Roman" w:cs="Times New Roman"/>
        </w:rPr>
        <w:t>Kita akan melanjutkan kajian ini dalam artikel berikutnya.</w:t>
      </w:r>
    </w:p>
    <w:p>
      <w:pPr>
        <w:pStyle w:val="ArticleScripture"/>
        <w:jc w:val="left"/>
      </w:pPr>
      <w:r>
        <w:rPr>
          <w:rFonts w:ascii="Times New Roman" w:hAnsi="Times New Roman" w:eastAsia="Times New Roman" w:cs="Times New Roman"/>
        </w:rPr>
        <w:t>Тэгээд ЭЗЭН Мосед айлдав: Энэ ард түмэн Намайг хэдий болтол басамжлах вэ? Миний тэдний дунд үзүүлсэн бүх тэмдгүүдийг үл харгалзан, тэд хэдий болтол Надад итгэхгүй байх вэ? Би тэднийг тахлаар цохиж, өв залгамжлалаас нь салгана; харин чамаас тэднээс илүү агуу, илүү хүчирхэг үндэстнийг бий болгоно. Харин Мосе ЭЗЭНд айлдав: Тэгвэл египетчүүд үүнийг сонсох болно. Учир нь Та Өөрийн хүчээр энэ ард түмнийг тэдний дундаас гарган авчирсан билээ. Тэд энэ нутгийн оршин суугчдад ч хэлэх болно. Учир нь тэд, ЭЗЭН Та энэ ард түмний дунд байдгийг, ЭЗЭН Та нүүр тулан харагддагийг, Таны үүлэн багана тэдний дээр тогтдгийг, мөн Та өдөр нь үүлэн баганаар, шөнө нь галан баганаар тэдний өмнө явдгийг сонссон билээ. Одоо хэрэв Та энэ бүх ард түмнийг нэг хүнийг адил устгавал, Таны тухай цуурхлыг сонссон үндэстнүүд ийнхүү өгүүлнэ: “ЭЗЭН энэ ард түмнийг Өөрийн тэдэнд тангарагласан газарт оруулах чадалгүй байсан тул, тэднийг цөлд алсан юм” гэж. Тиймээс одоо, айлтган гуйя, Та Өөрийн айлдсан ёсоор Эзэний минь хүч агуу байг. Та ийн айлдсан билээ: “ЭЗЭН бол тэвчээрээр удаан, энэрлээр агуу, гэм буруу ба зөрчлийг уучлагч боловч, гэмтнийг огт гэмгүйд тооцдоггүй; эцгүүдийн гэм бурууг хүүхдүүд дээр, гурав, дөрөв дэх үе хүртэл нь оноодог.” Иймээс, айлтган гуйя, Та энэ ард түмний гэм бурууг Өөрийн энэрлийн агуу байдлын дагуу уучлаач, Египетээс өнөөг хүртэл Та энэ ард түмнийг уучилсаар ирсэнчлэн. ЭЗЭН айлдав: Би чиний үгийн дагуу уучилсан. Гэвч Би амьд буйгаар үнэхээр, бүх дэлхий ЭЗЭНий алдраар дүүрэх болно. Учир нь Миний алдрыг, мөн Египет болон цөлд Миний үйлдсэн гайхамшгуудыг үзсэн атлаа, Намайг эдүгээ арван удаа сорьж, Миний дуу хоолойд дуулгавартай байгаагүй тэр хүмүүс гарцаагүйгээр Би тэдний эцэг өвгөдөд тангарагласан газрыг үзэхгүй; Намайг басамжилсан тэдний хэн нь ч түүнийг үзэхгүй. Харин Миний зарц Калеб, өөр сүнстэй байсан бөгөөд Намайг бүрэн дагасан тул, түүнийг очсон тэр газарт нь Би оруулах болно; түүний үр удам түүнийг эзэмшинэ. Тооллого 14:11–24.</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Kitab Daniel - Nombor Empat Puluh Lapan</dc:title>
  <dc:subject>Kupesula Ulosi: Tanthauzo la Masomphenya a Habakuku, Miyala Iwiri, ndi Chinsinsi cha Nsembe ya Tsiku ndi Tsiku m’Kutanthauzira kwa Baibulo</dc:subject>
  <dc:creator>Jeff Pippenger</dc:creator>
  <cp:keywords/>
  <dc:description>Generated by ArticleDigger from daniel\48_daniel.json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