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Lima Puluh Lima</w:t>
      </w:r>
    </w:p>
    <w:p>
      <w:pPr>
        <w:pStyle w:val="ArticleSubtitle"/>
        <w:jc w:val="left"/>
      </w:pPr>
      <w:r>
        <w:rPr>
          <w:rFonts w:ascii="Arial" w:hAnsi="Arial" w:eastAsia="Arial" w:cs="Arial"/>
        </w:rPr>
        <w:t>Ho Senola Lesela la Boprofeta: Tshenolo ya Gabriele ho Daniele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2024-01-19</w:t>
      </w:r>
    </w:p>
    <w:p>
      <w:pPr>
        <w:pStyle w:val="ArticleBody"/>
        <w:jc w:val="left"/>
      </w:pPr>
      <w:r>
        <w:rPr>
          <w:rFonts w:ascii="Times New Roman" w:hAnsi="Times New Roman" w:eastAsia="Times New Roman" w:cs="Times New Roman"/>
        </w:rPr>
        <w:t>Jibril datang kepada Daniel setelah ia memahami tujuh puluh tahun pembuangan menurut nubuat Yeremia, serta sumpah dan kutuk Musa.</w:t>
      </w:r>
    </w:p>
    <w:p>
      <w:pPr>
        <w:pStyle w:val="ArticleScripture"/>
        <w:jc w:val="left"/>
      </w:pPr>
      <w:r>
        <w:rPr>
          <w:rFonts w:ascii="Times New Roman" w:hAnsi="Times New Roman" w:eastAsia="Times New Roman" w:cs="Times New Roman"/>
        </w:rPr>
        <w:t>I første året av hans kongedømme forstod jeg, Daniel, ved bøkene tallet på de år som Herrens ord var kommet om til profeten Jeremia, at han ville fullføre sytti år over Jerusalems ødeleggelser.... Ja, hele Israel har overtrådt din lov ved å vike av, så de ikke ville lyde din røst; derfor er forbannelsen blitt utøst over oss, og den eden som er skrevet i loven til Moses, Guds tjener, fordi vi har syndet mot ham. Og han har stadfestet sine ord, som han talte mot oss og mot våre dommere som dømte oss, ved å føre over oss en stor ulykke; for under hele himmelen er det ikke blitt gjort noe slikt som det som er blitt gjort mot Jerusalem. Slik som det er skrevet i Mose lov, er all denne ulykken kommet over oss; men vi bønnfalt ikke Herren vår Gud, så vi kunne vende om fra våre misgjerninger og forstå din sannhet. Derfor har Herren våket over ulykken og ført den over oss; for Herren vår Gud er rettferdig i alle sine gjerninger som han gjør; for vi lød ikke hans røst. Daniel 9:2, 11–14.</w:t>
      </w:r>
    </w:p>
    <w:p>
      <w:pPr>
        <w:pStyle w:val="ArticleBody"/>
        <w:jc w:val="left"/>
      </w:pPr>
      <w:r>
        <w:rPr>
          <w:rFonts w:ascii="Nirmala UI" w:hAnsi="Nirmala UI" w:eastAsia="Nirmala UI" w:cs="Nirmala UI"/>
        </w:rPr>
        <w:t>பரிசுத்தவேதாகமத்தில்</w:t>
      </w:r>
      <w:r>
        <w:rPr>
          <w:rFonts w:ascii="Times New Roman" w:hAnsi="Times New Roman" w:eastAsia="Times New Roman" w:cs="Times New Roman"/>
        </w:rPr>
        <w:t xml:space="preserve"> “</w:t>
      </w:r>
      <w:r>
        <w:rPr>
          <w:rFonts w:ascii="Nirmala UI" w:hAnsi="Nirmala UI" w:eastAsia="Nirmala UI" w:cs="Nirmala UI"/>
        </w:rPr>
        <w:t>சத்தியப்பிரமாணம்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மொழிபெயர்க்கப்பட்ட</w:t>
      </w:r>
      <w:r>
        <w:rPr>
          <w:rFonts w:ascii="Times New Roman" w:hAnsi="Times New Roman" w:eastAsia="Times New Roman" w:cs="Times New Roman"/>
        </w:rPr>
        <w:t xml:space="preserve"> </w:t>
      </w:r>
      <w:r>
        <w:rPr>
          <w:rFonts w:ascii="Nirmala UI" w:hAnsi="Nirmala UI" w:eastAsia="Nirmala UI" w:cs="Nirmala UI"/>
        </w:rPr>
        <w:t>தானியேல்</w:t>
      </w:r>
      <w:r>
        <w:rPr>
          <w:rFonts w:ascii="Times New Roman" w:hAnsi="Times New Roman" w:eastAsia="Times New Roman" w:cs="Times New Roman"/>
        </w:rPr>
        <w:t xml:space="preserve"> </w:t>
      </w:r>
      <w:r>
        <w:rPr>
          <w:rFonts w:ascii="Nirmala UI" w:hAnsi="Nirmala UI" w:eastAsia="Nirmala UI" w:cs="Nirmala UI"/>
        </w:rPr>
        <w:t>பயன்படுத்திய</w:t>
      </w:r>
      <w:r>
        <w:rPr>
          <w:rFonts w:ascii="Times New Roman" w:hAnsi="Times New Roman" w:eastAsia="Times New Roman" w:cs="Times New Roman"/>
        </w:rPr>
        <w:t xml:space="preserve"> </w:t>
      </w:r>
      <w:r>
        <w:rPr>
          <w:rFonts w:ascii="Nirmala UI" w:hAnsi="Nirmala UI" w:eastAsia="Nirmala UI" w:cs="Nirmala UI"/>
        </w:rPr>
        <w:t>அந்தச்</w:t>
      </w:r>
      <w:r>
        <w:rPr>
          <w:rFonts w:ascii="Times New Roman" w:hAnsi="Times New Roman" w:eastAsia="Times New Roman" w:cs="Times New Roman"/>
        </w:rPr>
        <w:t xml:space="preserve"> </w:t>
      </w:r>
      <w:r>
        <w:rPr>
          <w:rFonts w:ascii="Nirmala UI" w:hAnsi="Nirmala UI" w:eastAsia="Nirmala UI" w:cs="Nirmala UI"/>
        </w:rPr>
        <w:t>சொல்</w:t>
      </w:r>
      <w:r>
        <w:rPr>
          <w:rFonts w:ascii="Times New Roman" w:hAnsi="Times New Roman" w:eastAsia="Times New Roman" w:cs="Times New Roman"/>
        </w:rPr>
        <w:t xml:space="preserve">, </w:t>
      </w:r>
      <w:r>
        <w:rPr>
          <w:rFonts w:ascii="Nirmala UI" w:hAnsi="Nirmala UI" w:eastAsia="Nirmala UI" w:cs="Nirmala UI"/>
        </w:rPr>
        <w:t>லேவியராகமம்</w:t>
      </w:r>
      <w:r>
        <w:rPr>
          <w:rFonts w:ascii="Times New Roman" w:hAnsi="Times New Roman" w:eastAsia="Times New Roman" w:cs="Times New Roman"/>
        </w:rPr>
        <w:t xml:space="preserve"> </w:t>
      </w:r>
      <w:r>
        <w:rPr>
          <w:rFonts w:ascii="Nirmala UI" w:hAnsi="Nirmala UI" w:eastAsia="Nirmala UI" w:cs="Nirmala UI"/>
        </w:rPr>
        <w:t>இருபத்தாறு</w:t>
      </w:r>
      <w:r>
        <w:rPr>
          <w:rFonts w:ascii="Times New Roman" w:hAnsi="Times New Roman" w:eastAsia="Times New Roman" w:cs="Times New Roman"/>
        </w:rPr>
        <w:t xml:space="preserve"> </w:t>
      </w:r>
      <w:r>
        <w:rPr>
          <w:rFonts w:ascii="Nirmala UI" w:hAnsi="Nirmala UI" w:eastAsia="Nirmala UI" w:cs="Nirmala UI"/>
        </w:rPr>
        <w:t>அதிகாரத்தில்</w:t>
      </w:r>
      <w:r>
        <w:rPr>
          <w:rFonts w:ascii="Times New Roman" w:hAnsi="Times New Roman" w:eastAsia="Times New Roman" w:cs="Times New Roman"/>
        </w:rPr>
        <w:t xml:space="preserve"> </w:t>
      </w:r>
      <w:r>
        <w:rPr>
          <w:rFonts w:ascii="Nirmala UI" w:hAnsi="Nirmala UI" w:eastAsia="Nirmala UI" w:cs="Nirmala UI"/>
        </w:rPr>
        <w:t>மோசே</w:t>
      </w:r>
      <w:r>
        <w:rPr>
          <w:rFonts w:ascii="Times New Roman" w:hAnsi="Times New Roman" w:eastAsia="Times New Roman" w:cs="Times New Roman"/>
        </w:rPr>
        <w:t xml:space="preserve"> “</w:t>
      </w:r>
      <w:r>
        <w:rPr>
          <w:rFonts w:ascii="Nirmala UI" w:hAnsi="Nirmala UI" w:eastAsia="Nirmala UI" w:cs="Nirmala UI"/>
        </w:rPr>
        <w:t>ஏழு</w:t>
      </w:r>
      <w:r>
        <w:rPr>
          <w:rFonts w:ascii="Times New Roman" w:hAnsi="Times New Roman" w:eastAsia="Times New Roman" w:cs="Times New Roman"/>
        </w:rPr>
        <w:t xml:space="preserve"> </w:t>
      </w:r>
      <w:r>
        <w:rPr>
          <w:rFonts w:ascii="Nirmala UI" w:hAnsi="Nirmala UI" w:eastAsia="Nirmala UI" w:cs="Nirmala UI"/>
        </w:rPr>
        <w:t>மடங்கு</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மொழிபெயர்க்கப்பட்ட</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சொல்லாகும்</w:t>
      </w:r>
      <w:r>
        <w:rPr>
          <w:rFonts w:ascii="Times New Roman" w:hAnsi="Times New Roman" w:eastAsia="Times New Roman" w:cs="Times New Roman"/>
        </w:rPr>
        <w:t xml:space="preserve">. </w:t>
      </w:r>
      <w:r>
        <w:rPr>
          <w:rFonts w:ascii="Nirmala UI" w:hAnsi="Nirmala UI" w:eastAsia="Nirmala UI" w:cs="Nirmala UI"/>
        </w:rPr>
        <w:t>ஒயிட்</w:t>
      </w:r>
      <w:r>
        <w:rPr>
          <w:rFonts w:ascii="Times New Roman" w:hAnsi="Times New Roman" w:eastAsia="Times New Roman" w:cs="Times New Roman"/>
        </w:rPr>
        <w:t xml:space="preserve"> </w:t>
      </w:r>
      <w:r>
        <w:rPr>
          <w:rFonts w:ascii="Nirmala UI" w:hAnsi="Nirmala UI" w:eastAsia="Nirmala UI" w:cs="Nirmala UI"/>
        </w:rPr>
        <w:t>சகோதரி</w:t>
      </w:r>
      <w:r>
        <w:rPr>
          <w:rFonts w:ascii="Times New Roman" w:hAnsi="Times New Roman" w:eastAsia="Times New Roman" w:cs="Times New Roman"/>
        </w:rPr>
        <w:t xml:space="preserve">, </w:t>
      </w:r>
      <w:r>
        <w:rPr>
          <w:rFonts w:ascii="Nirmala UI" w:hAnsi="Nirmala UI" w:eastAsia="Nirmala UI" w:cs="Nirmala UI"/>
        </w:rPr>
        <w:t>ஒன்பதாம்</w:t>
      </w:r>
      <w:r>
        <w:rPr>
          <w:rFonts w:ascii="Times New Roman" w:hAnsi="Times New Roman" w:eastAsia="Times New Roman" w:cs="Times New Roman"/>
        </w:rPr>
        <w:t xml:space="preserve"> </w:t>
      </w:r>
      <w:r>
        <w:rPr>
          <w:rFonts w:ascii="Nirmala UI" w:hAnsi="Nirmala UI" w:eastAsia="Nirmala UI" w:cs="Nirmala UI"/>
        </w:rPr>
        <w:t>அதிகாரத்தில்</w:t>
      </w:r>
      <w:r>
        <w:rPr>
          <w:rFonts w:ascii="Times New Roman" w:hAnsi="Times New Roman" w:eastAsia="Times New Roman" w:cs="Times New Roman"/>
        </w:rPr>
        <w:t xml:space="preserve"> </w:t>
      </w:r>
      <w:r>
        <w:rPr>
          <w:rFonts w:ascii="Nirmala UI" w:hAnsi="Nirmala UI" w:eastAsia="Nirmala UI" w:cs="Nirmala UI"/>
        </w:rPr>
        <w:t>தானியேல்</w:t>
      </w:r>
      <w:r>
        <w:rPr>
          <w:rFonts w:ascii="Times New Roman" w:hAnsi="Times New Roman" w:eastAsia="Times New Roman" w:cs="Times New Roman"/>
        </w:rPr>
        <w:t xml:space="preserve">, </w:t>
      </w:r>
      <w:r>
        <w:rPr>
          <w:rFonts w:ascii="Nirmala UI" w:hAnsi="Nirmala UI" w:eastAsia="Nirmala UI" w:cs="Nirmala UI"/>
        </w:rPr>
        <w:t>எரேமியாவின்</w:t>
      </w:r>
      <w:r>
        <w:rPr>
          <w:rFonts w:ascii="Times New Roman" w:hAnsi="Times New Roman" w:eastAsia="Times New Roman" w:cs="Times New Roman"/>
        </w:rPr>
        <w:t xml:space="preserve"> </w:t>
      </w:r>
      <w:r>
        <w:rPr>
          <w:rFonts w:ascii="Nirmala UI" w:hAnsi="Nirmala UI" w:eastAsia="Nirmala UI" w:cs="Nirmala UI"/>
        </w:rPr>
        <w:t>எழுபது</w:t>
      </w:r>
      <w:r>
        <w:rPr>
          <w:rFonts w:ascii="Times New Roman" w:hAnsi="Times New Roman" w:eastAsia="Times New Roman" w:cs="Times New Roman"/>
        </w:rPr>
        <w:t xml:space="preserve"> </w:t>
      </w:r>
      <w:r>
        <w:rPr>
          <w:rFonts w:ascii="Nirmala UI" w:hAnsi="Nirmala UI" w:eastAsia="Nirmala UI" w:cs="Nirmala UI"/>
        </w:rPr>
        <w:t>ஆண்டுகளின்</w:t>
      </w:r>
      <w:r>
        <w:rPr>
          <w:rFonts w:ascii="Times New Roman" w:hAnsi="Times New Roman" w:eastAsia="Times New Roman" w:cs="Times New Roman"/>
        </w:rPr>
        <w:t xml:space="preserve"> </w:t>
      </w:r>
      <w:r>
        <w:rPr>
          <w:rFonts w:ascii="Nirmala UI" w:hAnsi="Nirmala UI" w:eastAsia="Nirmala UI" w:cs="Nirmala UI"/>
        </w:rPr>
        <w:t>காலப்பகுதியும்</w:t>
      </w:r>
      <w:r>
        <w:rPr>
          <w:rFonts w:ascii="Times New Roman" w:hAnsi="Times New Roman" w:eastAsia="Times New Roman" w:cs="Times New Roman"/>
        </w:rPr>
        <w:t xml:space="preserve"> </w:t>
      </w:r>
      <w:r>
        <w:rPr>
          <w:rFonts w:ascii="Nirmala UI" w:hAnsi="Nirmala UI" w:eastAsia="Nirmala UI" w:cs="Nirmala UI"/>
        </w:rPr>
        <w:t>இரண்டாயிரத்து</w:t>
      </w:r>
      <w:r>
        <w:rPr>
          <w:rFonts w:ascii="Times New Roman" w:hAnsi="Times New Roman" w:eastAsia="Times New Roman" w:cs="Times New Roman"/>
        </w:rPr>
        <w:t xml:space="preserve"> </w:t>
      </w:r>
      <w:r>
        <w:rPr>
          <w:rFonts w:ascii="Nirmala UI" w:hAnsi="Nirmala UI" w:eastAsia="Nirmala UI" w:cs="Nirmala UI"/>
        </w:rPr>
        <w:t>முன்னூறு</w:t>
      </w:r>
      <w:r>
        <w:rPr>
          <w:rFonts w:ascii="Times New Roman" w:hAnsi="Times New Roman" w:eastAsia="Times New Roman" w:cs="Times New Roman"/>
        </w:rPr>
        <w:t xml:space="preserve"> </w:t>
      </w:r>
      <w:r>
        <w:rPr>
          <w:rFonts w:ascii="Nirmala UI" w:hAnsi="Nirmala UI" w:eastAsia="Nirmala UI" w:cs="Nirmala UI"/>
        </w:rPr>
        <w:t>ஆண்டுகளின்</w:t>
      </w:r>
      <w:r>
        <w:rPr>
          <w:rFonts w:ascii="Times New Roman" w:hAnsi="Times New Roman" w:eastAsia="Times New Roman" w:cs="Times New Roman"/>
        </w:rPr>
        <w:t xml:space="preserve"> </w:t>
      </w:r>
      <w:r>
        <w:rPr>
          <w:rFonts w:ascii="Nirmala UI" w:hAnsi="Nirmala UI" w:eastAsia="Nirmala UI" w:cs="Nirmala UI"/>
        </w:rPr>
        <w:t>காலப்பகுதியும்</w:t>
      </w:r>
      <w:r>
        <w:rPr>
          <w:rFonts w:ascii="Times New Roman" w:hAnsi="Times New Roman" w:eastAsia="Times New Roman" w:cs="Times New Roman"/>
        </w:rPr>
        <w:t xml:space="preserve"> </w:t>
      </w:r>
      <w:r>
        <w:rPr>
          <w:rFonts w:ascii="Nirmala UI" w:hAnsi="Nirmala UI" w:eastAsia="Nirmala UI" w:cs="Nirmala UI"/>
        </w:rPr>
        <w:t>இடையிலான</w:t>
      </w:r>
      <w:r>
        <w:rPr>
          <w:rFonts w:ascii="Times New Roman" w:hAnsi="Times New Roman" w:eastAsia="Times New Roman" w:cs="Times New Roman"/>
        </w:rPr>
        <w:t xml:space="preserve"> </w:t>
      </w:r>
      <w:r>
        <w:rPr>
          <w:rFonts w:ascii="Nirmala UI" w:hAnsi="Nirmala UI" w:eastAsia="Nirmala UI" w:cs="Nirmala UI"/>
        </w:rPr>
        <w:t>தொடர்பைப்</w:t>
      </w:r>
      <w:r>
        <w:rPr>
          <w:rFonts w:ascii="Times New Roman" w:hAnsi="Times New Roman" w:eastAsia="Times New Roman" w:cs="Times New Roman"/>
        </w:rPr>
        <w:t xml:space="preserve"> </w:t>
      </w:r>
      <w:r>
        <w:rPr>
          <w:rFonts w:ascii="Nirmala UI" w:hAnsi="Nirmala UI" w:eastAsia="Nirmala UI" w:cs="Nirmala UI"/>
        </w:rPr>
        <w:t>புரிந்துகொள்ள</w:t>
      </w:r>
      <w:r>
        <w:rPr>
          <w:rFonts w:ascii="Times New Roman" w:hAnsi="Times New Roman" w:eastAsia="Times New Roman" w:cs="Times New Roman"/>
        </w:rPr>
        <w:t xml:space="preserve"> </w:t>
      </w:r>
      <w:r>
        <w:rPr>
          <w:rFonts w:ascii="Nirmala UI" w:hAnsi="Nirmala UI" w:eastAsia="Nirmala UI" w:cs="Nirmala UI"/>
        </w:rPr>
        <w:t>முயன்றுகொண்டிருந்தான்</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எங்களுக்குத்</w:t>
      </w:r>
      <w:r>
        <w:rPr>
          <w:rFonts w:ascii="Times New Roman" w:hAnsi="Times New Roman" w:eastAsia="Times New Roman" w:cs="Times New Roman"/>
        </w:rPr>
        <w:t xml:space="preserve"> </w:t>
      </w:r>
      <w:r>
        <w:rPr>
          <w:rFonts w:ascii="Nirmala UI" w:hAnsi="Nirmala UI" w:eastAsia="Nirmala UI" w:cs="Nirmala UI"/>
        </w:rPr>
        <w:t>தெரிவிக்கிறார்</w:t>
      </w:r>
      <w:r>
        <w:rPr>
          <w:rFonts w:ascii="Times New Roman" w:hAnsi="Times New Roman" w:eastAsia="Times New Roman" w:cs="Times New Roman"/>
        </w:rPr>
        <w:t xml:space="preserve">. </w:t>
      </w:r>
      <w:r>
        <w:rPr>
          <w:rFonts w:ascii="Nirmala UI" w:hAnsi="Nirmala UI" w:eastAsia="Nirmala UI" w:cs="Nirmala UI"/>
        </w:rPr>
        <w:t>எட்டாம்</w:t>
      </w:r>
      <w:r>
        <w:rPr>
          <w:rFonts w:ascii="Times New Roman" w:hAnsi="Times New Roman" w:eastAsia="Times New Roman" w:cs="Times New Roman"/>
        </w:rPr>
        <w:t xml:space="preserve"> </w:t>
      </w:r>
      <w:r>
        <w:rPr>
          <w:rFonts w:ascii="Nirmala UI" w:hAnsi="Nirmala UI" w:eastAsia="Nirmala UI" w:cs="Nirmala UI"/>
        </w:rPr>
        <w:t>அதிகாரத்தில்</w:t>
      </w:r>
      <w:r>
        <w:rPr>
          <w:rFonts w:ascii="Times New Roman" w:hAnsi="Times New Roman" w:eastAsia="Times New Roman" w:cs="Times New Roman"/>
        </w:rPr>
        <w:t xml:space="preserve">, </w:t>
      </w:r>
      <w:r>
        <w:rPr>
          <w:rFonts w:ascii="Nirmala UI" w:hAnsi="Nirmala UI" w:eastAsia="Nirmala UI" w:cs="Nirmala UI"/>
        </w:rPr>
        <w:t>இரண்டாயிரத்து</w:t>
      </w:r>
      <w:r>
        <w:rPr>
          <w:rFonts w:ascii="Times New Roman" w:hAnsi="Times New Roman" w:eastAsia="Times New Roman" w:cs="Times New Roman"/>
        </w:rPr>
        <w:t xml:space="preserve"> </w:t>
      </w:r>
      <w:r>
        <w:rPr>
          <w:rFonts w:ascii="Nirmala UI" w:hAnsi="Nirmala UI" w:eastAsia="Nirmala UI" w:cs="Nirmala UI"/>
        </w:rPr>
        <w:t>முன்னூறு</w:t>
      </w:r>
      <w:r>
        <w:rPr>
          <w:rFonts w:ascii="Times New Roman" w:hAnsi="Times New Roman" w:eastAsia="Times New Roman" w:cs="Times New Roman"/>
        </w:rPr>
        <w:t xml:space="preserve"> </w:t>
      </w:r>
      <w:r>
        <w:rPr>
          <w:rFonts w:ascii="Nirmala UI" w:hAnsi="Nirmala UI" w:eastAsia="Nirmala UI" w:cs="Nirmala UI"/>
        </w:rPr>
        <w:t>நாட்களின்</w:t>
      </w:r>
      <w:r>
        <w:rPr>
          <w:rFonts w:ascii="Times New Roman" w:hAnsi="Times New Roman" w:eastAsia="Times New Roman" w:cs="Times New Roman"/>
        </w:rPr>
        <w:t xml:space="preserve"> </w:t>
      </w:r>
      <w:r>
        <w:rPr>
          <w:rFonts w:ascii="Nirmala UI" w:hAnsi="Nirmala UI" w:eastAsia="Nirmala UI" w:cs="Nirmala UI"/>
        </w:rPr>
        <w:t>தரிசனத்தை</w:t>
      </w:r>
      <w:r>
        <w:rPr>
          <w:rFonts w:ascii="Times New Roman" w:hAnsi="Times New Roman" w:eastAsia="Times New Roman" w:cs="Times New Roman"/>
        </w:rPr>
        <w:t xml:space="preserve"> </w:t>
      </w:r>
      <w:r>
        <w:rPr>
          <w:rFonts w:ascii="Nirmala UI" w:hAnsi="Nirmala UI" w:eastAsia="Nirmala UI" w:cs="Nirmala UI"/>
        </w:rPr>
        <w:t>தானியேல்</w:t>
      </w:r>
      <w:r>
        <w:rPr>
          <w:rFonts w:ascii="Times New Roman" w:hAnsi="Times New Roman" w:eastAsia="Times New Roman" w:cs="Times New Roman"/>
        </w:rPr>
        <w:t xml:space="preserve"> </w:t>
      </w:r>
      <w:r>
        <w:rPr>
          <w:rFonts w:ascii="Nirmala UI" w:hAnsi="Nirmala UI" w:eastAsia="Nirmala UI" w:cs="Nirmala UI"/>
        </w:rPr>
        <w:t>புரிந்துகொள்ளும்படி</w:t>
      </w:r>
      <w:r>
        <w:rPr>
          <w:rFonts w:ascii="Times New Roman" w:hAnsi="Times New Roman" w:eastAsia="Times New Roman" w:cs="Times New Roman"/>
        </w:rPr>
        <w:t xml:space="preserve"> </w:t>
      </w:r>
      <w:r>
        <w:rPr>
          <w:rFonts w:ascii="Nirmala UI" w:hAnsi="Nirmala UI" w:eastAsia="Nirmala UI" w:cs="Nirmala UI"/>
        </w:rPr>
        <w:t>செய்வதற்கு</w:t>
      </w:r>
      <w:r>
        <w:rPr>
          <w:rFonts w:ascii="Times New Roman" w:hAnsi="Times New Roman" w:eastAsia="Times New Roman" w:cs="Times New Roman"/>
        </w:rPr>
        <w:t xml:space="preserve"> </w:t>
      </w:r>
      <w:r>
        <w:rPr>
          <w:rFonts w:ascii="Nirmala UI" w:hAnsi="Nirmala UI" w:eastAsia="Nirmala UI" w:cs="Nirmala UI"/>
        </w:rPr>
        <w:t>காபிரியேல்</w:t>
      </w:r>
      <w:r>
        <w:rPr>
          <w:rFonts w:ascii="Times New Roman" w:hAnsi="Times New Roman" w:eastAsia="Times New Roman" w:cs="Times New Roman"/>
        </w:rPr>
        <w:t xml:space="preserve"> </w:t>
      </w:r>
      <w:r>
        <w:rPr>
          <w:rFonts w:ascii="Nirmala UI" w:hAnsi="Nirmala UI" w:eastAsia="Nirmala UI" w:cs="Nirmala UI"/>
        </w:rPr>
        <w:t>கட்டளையிடப்பட்டிருந்தான்</w:t>
      </w:r>
      <w:r>
        <w:rPr>
          <w:rFonts w:ascii="Times New Roman" w:hAnsi="Times New Roman" w:eastAsia="Times New Roman" w:cs="Times New Roman"/>
        </w:rPr>
        <w:t xml:space="preserve">; </w:t>
      </w:r>
      <w:r>
        <w:rPr>
          <w:rFonts w:ascii="Nirmala UI" w:hAnsi="Nirmala UI" w:eastAsia="Nirmala UI" w:cs="Nirmala UI"/>
        </w:rPr>
        <w:t>ஒன்பதாம்</w:t>
      </w:r>
      <w:r>
        <w:rPr>
          <w:rFonts w:ascii="Times New Roman" w:hAnsi="Times New Roman" w:eastAsia="Times New Roman" w:cs="Times New Roman"/>
        </w:rPr>
        <w:t xml:space="preserve"> </w:t>
      </w:r>
      <w:r>
        <w:rPr>
          <w:rFonts w:ascii="Nirmala UI" w:hAnsi="Nirmala UI" w:eastAsia="Nirmala UI" w:cs="Nirmala UI"/>
        </w:rPr>
        <w:t>அதிகாரத்தில்</w:t>
      </w:r>
      <w:r>
        <w:rPr>
          <w:rFonts w:ascii="Times New Roman" w:hAnsi="Times New Roman" w:eastAsia="Times New Roman" w:cs="Times New Roman"/>
        </w:rPr>
        <w:t xml:space="preserve"> </w:t>
      </w:r>
      <w:r>
        <w:rPr>
          <w:rFonts w:ascii="Nirmala UI" w:hAnsi="Nirmala UI" w:eastAsia="Nirmala UI" w:cs="Nirmala UI"/>
        </w:rPr>
        <w:t>அவன்</w:t>
      </w:r>
      <w:r>
        <w:rPr>
          <w:rFonts w:ascii="Times New Roman" w:hAnsi="Times New Roman" w:eastAsia="Times New Roman" w:cs="Times New Roman"/>
        </w:rPr>
        <w:t xml:space="preserve"> </w:t>
      </w:r>
      <w:r>
        <w:rPr>
          <w:rFonts w:ascii="Nirmala UI" w:hAnsi="Nirmala UI" w:eastAsia="Nirmala UI" w:cs="Nirmala UI"/>
        </w:rPr>
        <w:t>மறுபடியும்</w:t>
      </w:r>
      <w:r>
        <w:rPr>
          <w:rFonts w:ascii="Times New Roman" w:hAnsi="Times New Roman" w:eastAsia="Times New Roman" w:cs="Times New Roman"/>
        </w:rPr>
        <w:t xml:space="preserve"> </w:t>
      </w:r>
      <w:r>
        <w:rPr>
          <w:rFonts w:ascii="Nirmala UI" w:hAnsi="Nirmala UI" w:eastAsia="Nirmala UI" w:cs="Nirmala UI"/>
        </w:rPr>
        <w:t>திரும்பி</w:t>
      </w:r>
      <w:r>
        <w:rPr>
          <w:rFonts w:ascii="Times New Roman" w:hAnsi="Times New Roman" w:eastAsia="Times New Roman" w:cs="Times New Roman"/>
        </w:rPr>
        <w:t xml:space="preserve"> </w:t>
      </w:r>
      <w:r>
        <w:rPr>
          <w:rFonts w:ascii="Nirmala UI" w:hAnsi="Nirmala UI" w:eastAsia="Nirmala UI" w:cs="Nirmala UI"/>
        </w:rPr>
        <w:t>வந்து</w:t>
      </w:r>
      <w:r>
        <w:rPr>
          <w:rFonts w:ascii="Times New Roman" w:hAnsi="Times New Roman" w:eastAsia="Times New Roman" w:cs="Times New Roman"/>
        </w:rPr>
        <w:t xml:space="preserve">, </w:t>
      </w:r>
      <w:r>
        <w:rPr>
          <w:rFonts w:ascii="Nirmala UI" w:hAnsi="Nirmala UI" w:eastAsia="Nirmala UI" w:cs="Nirmala UI"/>
        </w:rPr>
        <w:t>ஏழாம்</w:t>
      </w:r>
      <w:r>
        <w:rPr>
          <w:rFonts w:ascii="Times New Roman" w:hAnsi="Times New Roman" w:eastAsia="Times New Roman" w:cs="Times New Roman"/>
        </w:rPr>
        <w:t xml:space="preserve">, </w:t>
      </w:r>
      <w:r>
        <w:rPr>
          <w:rFonts w:ascii="Nirmala UI" w:hAnsi="Nirmala UI" w:eastAsia="Nirmala UI" w:cs="Nirmala UI"/>
        </w:rPr>
        <w:t>எட்டாம்</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ஒன்பதாம்</w:t>
      </w:r>
      <w:r>
        <w:rPr>
          <w:rFonts w:ascii="Times New Roman" w:hAnsi="Times New Roman" w:eastAsia="Times New Roman" w:cs="Times New Roman"/>
        </w:rPr>
        <w:t xml:space="preserve"> </w:t>
      </w:r>
      <w:r>
        <w:rPr>
          <w:rFonts w:ascii="Nirmala UI" w:hAnsi="Nirmala UI" w:eastAsia="Nirmala UI" w:cs="Nirmala UI"/>
        </w:rPr>
        <w:t>அதிகாரங்களின்</w:t>
      </w:r>
      <w:r>
        <w:rPr>
          <w:rFonts w:ascii="Times New Roman" w:hAnsi="Times New Roman" w:eastAsia="Times New Roman" w:cs="Times New Roman"/>
        </w:rPr>
        <w:t xml:space="preserve"> </w:t>
      </w:r>
      <w:r>
        <w:rPr>
          <w:rFonts w:ascii="Nirmala UI" w:hAnsi="Nirmala UI" w:eastAsia="Nirmala UI" w:cs="Nirmala UI"/>
        </w:rPr>
        <w:t>பொருளாக</w:t>
      </w:r>
      <w:r>
        <w:rPr>
          <w:rFonts w:ascii="Times New Roman" w:hAnsi="Times New Roman" w:eastAsia="Times New Roman" w:cs="Times New Roman"/>
        </w:rPr>
        <w:t xml:space="preserve"> </w:t>
      </w:r>
      <w:r>
        <w:rPr>
          <w:rFonts w:ascii="Nirmala UI" w:hAnsi="Nirmala UI" w:eastAsia="Nirmala UI" w:cs="Nirmala UI"/>
        </w:rPr>
        <w:t>இருந்த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இரு</w:t>
      </w:r>
      <w:r>
        <w:rPr>
          <w:rFonts w:ascii="Times New Roman" w:hAnsi="Times New Roman" w:eastAsia="Times New Roman" w:cs="Times New Roman"/>
        </w:rPr>
        <w:t xml:space="preserve"> </w:t>
      </w:r>
      <w:r>
        <w:rPr>
          <w:rFonts w:ascii="Nirmala UI" w:hAnsi="Nirmala UI" w:eastAsia="Nirmala UI" w:cs="Nirmala UI"/>
        </w:rPr>
        <w:t>தரிசனங்களையும்</w:t>
      </w:r>
      <w:r>
        <w:rPr>
          <w:rFonts w:ascii="Times New Roman" w:hAnsi="Times New Roman" w:eastAsia="Times New Roman" w:cs="Times New Roman"/>
        </w:rPr>
        <w:t xml:space="preserve"> </w:t>
      </w:r>
      <w:r>
        <w:rPr>
          <w:rFonts w:ascii="Nirmala UI" w:hAnsi="Nirmala UI" w:eastAsia="Nirmala UI" w:cs="Nirmala UI"/>
        </w:rPr>
        <w:t>மனதில்</w:t>
      </w:r>
      <w:r>
        <w:rPr>
          <w:rFonts w:ascii="Times New Roman" w:hAnsi="Times New Roman" w:eastAsia="Times New Roman" w:cs="Times New Roman"/>
        </w:rPr>
        <w:t xml:space="preserve"> </w:t>
      </w:r>
      <w:r>
        <w:rPr>
          <w:rFonts w:ascii="Nirmala UI" w:hAnsi="Nirmala UI" w:eastAsia="Nirmala UI" w:cs="Nirmala UI"/>
        </w:rPr>
        <w:t>வேறுபடுத்திப்</w:t>
      </w:r>
      <w:r>
        <w:rPr>
          <w:rFonts w:ascii="Times New Roman" w:hAnsi="Times New Roman" w:eastAsia="Times New Roman" w:cs="Times New Roman"/>
        </w:rPr>
        <w:t xml:space="preserve"> </w:t>
      </w:r>
      <w:r>
        <w:rPr>
          <w:rFonts w:ascii="Nirmala UI" w:hAnsi="Nirmala UI" w:eastAsia="Nirmala UI" w:cs="Nirmala UI"/>
        </w:rPr>
        <w:t>பிரித்தறியும்படி</w:t>
      </w:r>
      <w:r>
        <w:rPr>
          <w:rFonts w:ascii="Times New Roman" w:hAnsi="Times New Roman" w:eastAsia="Times New Roman" w:cs="Times New Roman"/>
        </w:rPr>
        <w:t xml:space="preserve"> </w:t>
      </w:r>
      <w:r>
        <w:rPr>
          <w:rFonts w:ascii="Nirmala UI" w:hAnsi="Nirmala UI" w:eastAsia="Nirmala UI" w:cs="Nirmala UI"/>
        </w:rPr>
        <w:t>தானியேலுக்குத்</w:t>
      </w:r>
      <w:r>
        <w:rPr>
          <w:rFonts w:ascii="Times New Roman" w:hAnsi="Times New Roman" w:eastAsia="Times New Roman" w:cs="Times New Roman"/>
        </w:rPr>
        <w:t xml:space="preserve"> </w:t>
      </w:r>
      <w:r>
        <w:rPr>
          <w:rFonts w:ascii="Nirmala UI" w:hAnsi="Nirmala UI" w:eastAsia="Nirmala UI" w:cs="Nirmala UI"/>
        </w:rPr>
        <w:t>தெரிவிக்கும்போது</w:t>
      </w:r>
      <w:r>
        <w:rPr>
          <w:rFonts w:ascii="Times New Roman" w:hAnsi="Times New Roman" w:eastAsia="Times New Roman" w:cs="Times New Roman"/>
        </w:rPr>
        <w:t xml:space="preserve">, </w:t>
      </w:r>
      <w:r>
        <w:rPr>
          <w:rFonts w:ascii="Nirmala UI" w:hAnsi="Nirmala UI" w:eastAsia="Nirmala UI" w:cs="Nirmala UI"/>
        </w:rPr>
        <w:t>காபிரியேல்</w:t>
      </w:r>
      <w:r>
        <w:rPr>
          <w:rFonts w:ascii="Times New Roman" w:hAnsi="Times New Roman" w:eastAsia="Times New Roman" w:cs="Times New Roman"/>
        </w:rPr>
        <w:t xml:space="preserve"> </w:t>
      </w:r>
      <w:r>
        <w:rPr>
          <w:rFonts w:ascii="Nirmala UI" w:hAnsi="Nirmala UI" w:eastAsia="Nirmala UI" w:cs="Nirmala UI"/>
        </w:rPr>
        <w:t>தன்</w:t>
      </w:r>
      <w:r>
        <w:rPr>
          <w:rFonts w:ascii="Times New Roman" w:hAnsi="Times New Roman" w:eastAsia="Times New Roman" w:cs="Times New Roman"/>
        </w:rPr>
        <w:t xml:space="preserve"> </w:t>
      </w:r>
      <w:r>
        <w:rPr>
          <w:rFonts w:ascii="Nirmala UI" w:hAnsi="Nirmala UI" w:eastAsia="Nirmala UI" w:cs="Nirmala UI"/>
        </w:rPr>
        <w:t>பணியை</w:t>
      </w:r>
      <w:r>
        <w:rPr>
          <w:rFonts w:ascii="Times New Roman" w:hAnsi="Times New Roman" w:eastAsia="Times New Roman" w:cs="Times New Roman"/>
        </w:rPr>
        <w:t xml:space="preserve"> </w:t>
      </w:r>
      <w:r>
        <w:rPr>
          <w:rFonts w:ascii="Nirmala UI" w:hAnsi="Nirmala UI" w:eastAsia="Nirmala UI" w:cs="Nirmala UI"/>
        </w:rPr>
        <w:t>நிறைவு</w:t>
      </w:r>
      <w:r>
        <w:rPr>
          <w:rFonts w:ascii="Times New Roman" w:hAnsi="Times New Roman" w:eastAsia="Times New Roman" w:cs="Times New Roman"/>
        </w:rPr>
        <w:t xml:space="preserve"> </w:t>
      </w:r>
      <w:r>
        <w:rPr>
          <w:rFonts w:ascii="Nirmala UI" w:hAnsi="Nirmala UI" w:eastAsia="Nirmala UI" w:cs="Nirmala UI"/>
        </w:rPr>
        <w:t>செய்கிறான்</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இரு</w:t>
      </w:r>
      <w:r>
        <w:rPr>
          <w:rFonts w:ascii="Times New Roman" w:hAnsi="Times New Roman" w:eastAsia="Times New Roman" w:cs="Times New Roman"/>
        </w:rPr>
        <w:t xml:space="preserve"> </w:t>
      </w:r>
      <w:r>
        <w:rPr>
          <w:rFonts w:ascii="Nirmala UI" w:hAnsi="Nirmala UI" w:eastAsia="Nirmala UI" w:cs="Nirmala UI"/>
        </w:rPr>
        <w:t>தரிசனங்களே</w:t>
      </w:r>
      <w:r>
        <w:rPr>
          <w:rFonts w:ascii="Times New Roman" w:hAnsi="Times New Roman" w:eastAsia="Times New Roman" w:cs="Times New Roman"/>
        </w:rPr>
        <w:t xml:space="preserve"> 1798-</w:t>
      </w:r>
      <w:r>
        <w:rPr>
          <w:rFonts w:ascii="Nirmala UI" w:hAnsi="Nirmala UI" w:eastAsia="Nirmala UI" w:cs="Nirmala UI"/>
        </w:rPr>
        <w:t>ஆம்</w:t>
      </w:r>
      <w:r>
        <w:rPr>
          <w:rFonts w:ascii="Times New Roman" w:hAnsi="Times New Roman" w:eastAsia="Times New Roman" w:cs="Times New Roman"/>
        </w:rPr>
        <w:t xml:space="preserve"> </w:t>
      </w:r>
      <w:r>
        <w:rPr>
          <w:rFonts w:ascii="Nirmala UI" w:hAnsi="Nirmala UI" w:eastAsia="Nirmala UI" w:cs="Nirmala UI"/>
        </w:rPr>
        <w:t>ஆண்டில்</w:t>
      </w:r>
      <w:r>
        <w:rPr>
          <w:rFonts w:ascii="Times New Roman" w:hAnsi="Times New Roman" w:eastAsia="Times New Roman" w:cs="Times New Roman"/>
        </w:rPr>
        <w:t xml:space="preserve"> </w:t>
      </w:r>
      <w:r>
        <w:rPr>
          <w:rFonts w:ascii="Nirmala UI" w:hAnsi="Nirmala UI" w:eastAsia="Nirmala UI" w:cs="Nirmala UI"/>
        </w:rPr>
        <w:t>முத்திரை</w:t>
      </w:r>
      <w:r>
        <w:rPr>
          <w:rFonts w:ascii="Times New Roman" w:hAnsi="Times New Roman" w:eastAsia="Times New Roman" w:cs="Times New Roman"/>
        </w:rPr>
        <w:t xml:space="preserve"> </w:t>
      </w:r>
      <w:r>
        <w:rPr>
          <w:rFonts w:ascii="Nirmala UI" w:hAnsi="Nirmala UI" w:eastAsia="Nirmala UI" w:cs="Nirmala UI"/>
        </w:rPr>
        <w:t>நீக்கப்பட்ட</w:t>
      </w:r>
      <w:r>
        <w:rPr>
          <w:rFonts w:ascii="Times New Roman" w:hAnsi="Times New Roman" w:eastAsia="Times New Roman" w:cs="Times New Roman"/>
        </w:rPr>
        <w:t xml:space="preserve"> “</w:t>
      </w:r>
      <w:r>
        <w:rPr>
          <w:rFonts w:ascii="Nirmala UI" w:hAnsi="Nirmala UI" w:eastAsia="Nirmala UI" w:cs="Nirmala UI"/>
        </w:rPr>
        <w:t>அறிவின்</w:t>
      </w:r>
      <w:r>
        <w:rPr>
          <w:rFonts w:ascii="Times New Roman" w:hAnsi="Times New Roman" w:eastAsia="Times New Roman" w:cs="Times New Roman"/>
        </w:rPr>
        <w:t xml:space="preserve"> </w:t>
      </w:r>
      <w:r>
        <w:rPr>
          <w:rFonts w:ascii="Nirmala UI" w:hAnsi="Nirmala UI" w:eastAsia="Nirmala UI" w:cs="Nirmala UI"/>
        </w:rPr>
        <w:t>பெருக்கத்தின்</w:t>
      </w:r>
      <w:r>
        <w:rPr>
          <w:rFonts w:ascii="Times New Roman" w:hAnsi="Times New Roman" w:eastAsia="Times New Roman" w:cs="Times New Roman"/>
        </w:rPr>
        <w:t xml:space="preserve">” </w:t>
      </w:r>
      <w:r>
        <w:rPr>
          <w:rFonts w:ascii="Nirmala UI" w:hAnsi="Nirmala UI" w:eastAsia="Nirmala UI" w:cs="Nirmala UI"/>
        </w:rPr>
        <w:t>பொருளாக</w:t>
      </w:r>
      <w:r>
        <w:rPr>
          <w:rFonts w:ascii="Times New Roman" w:hAnsi="Times New Roman" w:eastAsia="Times New Roman" w:cs="Times New Roman"/>
        </w:rPr>
        <w:t xml:space="preserve"> </w:t>
      </w:r>
      <w:r>
        <w:rPr>
          <w:rFonts w:ascii="Nirmala UI" w:hAnsi="Nirmala UI" w:eastAsia="Nirmala UI" w:cs="Nirmala UI"/>
        </w:rPr>
        <w:t>இருக்கின்றன</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KwaYeremia miaka sabini na “laana” ya Musa vyote ni alama za “nyakati saba,” kama zinavyowakilishwa na “kiapo” cha Musa; lakini Gabrieli atawasilisha mgawanyo wa kipindi cha miaka elfu mbili na mia tatu. Hakiwezi kugawanywa kwa usahihi isipokuwa uhusiano wa maono (“chazon”) ya kukanyagwa chini, na maono (“mareh”) ya kutokea, ugawanywe kwa usahihi. Gabrieli alianza kwa kutambulisha kwamba kipindi cha rehema cha miaka mia nne na tisini kilipewa Wayahudi. Kipindi hicho kilikuwa kilekile na kipindi cha miaka mia nne na tisini cha uasi ambacho kilikuwa kimezalisha miaka sabini ya utumwa.</w:t>
      </w:r>
    </w:p>
    <w:p>
      <w:pPr>
        <w:pStyle w:val="ArticleBody"/>
        <w:jc w:val="left"/>
      </w:pPr>
      <w:r>
        <w:rPr>
          <w:rFonts w:ascii="Times New Roman" w:hAnsi="Times New Roman" w:eastAsia="Times New Roman" w:cs="Times New Roman"/>
        </w:rPr>
        <w:t>Perkataan “ditentukan” dalam ayat dua puluh empat merujuk kepada tempoh dari pengeluaran dekri yang ketiga pada tahun 457 SM hingga perajaman Stefanus pada tahun 34 M, tetapi perkataan “ditentukan” dalam ayat dua puluh enam dan dua puluh tujuh mengenal pasti kuasa-kuasa pembinasa penyembahan berhala dan kepausan.</w:t>
      </w:r>
    </w:p>
    <w:p>
      <w:pPr>
        <w:pStyle w:val="ArticleScripture"/>
        <w:jc w:val="left"/>
      </w:pPr>
      <w:r>
        <w:rPr>
          <w:rFonts w:ascii="Myanmar Text" w:hAnsi="Myanmar Text" w:eastAsia="Myanmar Text" w:cs="Myanmar Text"/>
        </w:rPr>
        <w:t>အပတ်ခြောက်ဆယ့်နှစ်အပြီးတွင်</w:t>
      </w:r>
      <w:r>
        <w:rPr>
          <w:rFonts w:ascii="Times New Roman" w:hAnsi="Times New Roman" w:eastAsia="Times New Roman" w:cs="Times New Roman"/>
        </w:rPr>
        <w:t xml:space="preserve"> </w:t>
      </w:r>
      <w:r>
        <w:rPr>
          <w:rFonts w:ascii="Myanmar Text" w:hAnsi="Myanmar Text" w:eastAsia="Myanmar Text" w:cs="Myanmar Text"/>
        </w:rPr>
        <w:t>မေရှိယသည်</w:t>
      </w:r>
      <w:r>
        <w:rPr>
          <w:rFonts w:ascii="Times New Roman" w:hAnsi="Times New Roman" w:eastAsia="Times New Roman" w:cs="Times New Roman"/>
        </w:rPr>
        <w:t xml:space="preserve"> </w:t>
      </w:r>
      <w:r>
        <w:rPr>
          <w:rFonts w:ascii="Myanmar Text" w:hAnsi="Myanmar Text" w:eastAsia="Myanmar Text" w:cs="Myanmar Text"/>
        </w:rPr>
        <w:t>မိမိအတွက်မဟုတ်ဘဲ</w:t>
      </w:r>
      <w:r>
        <w:rPr>
          <w:rFonts w:ascii="Times New Roman" w:hAnsi="Times New Roman" w:eastAsia="Times New Roman" w:cs="Times New Roman"/>
        </w:rPr>
        <w:t xml:space="preserve"> </w:t>
      </w:r>
      <w:r>
        <w:rPr>
          <w:rFonts w:ascii="Myanmar Text" w:hAnsi="Myanmar Text" w:eastAsia="Myanmar Text" w:cs="Myanmar Text"/>
        </w:rPr>
        <w:t>ဖြတ်တောက်ခြင်းကို</w:t>
      </w:r>
      <w:r>
        <w:rPr>
          <w:rFonts w:ascii="Times New Roman" w:hAnsi="Times New Roman" w:eastAsia="Times New Roman" w:cs="Times New Roman"/>
        </w:rPr>
        <w:t xml:space="preserve"> </w:t>
      </w:r>
      <w:r>
        <w:rPr>
          <w:rFonts w:ascii="Myanmar Text" w:hAnsi="Myanmar Text" w:eastAsia="Myanmar Text" w:cs="Myanmar Text"/>
        </w:rPr>
        <w:t>ခံရလိမ့်မည်။</w:t>
      </w:r>
      <w:r>
        <w:rPr>
          <w:rFonts w:ascii="Times New Roman" w:hAnsi="Times New Roman" w:eastAsia="Times New Roman" w:cs="Times New Roman"/>
        </w:rPr>
        <w:t xml:space="preserve"> </w:t>
      </w:r>
      <w:r>
        <w:rPr>
          <w:rFonts w:ascii="Myanmar Text" w:hAnsi="Myanmar Text" w:eastAsia="Myanmar Text" w:cs="Myanmar Text"/>
        </w:rPr>
        <w:t>လာမည့်မင်းသား၏</w:t>
      </w:r>
      <w:r>
        <w:rPr>
          <w:rFonts w:ascii="Times New Roman" w:hAnsi="Times New Roman" w:eastAsia="Times New Roman" w:cs="Times New Roman"/>
        </w:rPr>
        <w:t xml:space="preserve"> </w:t>
      </w:r>
      <w:r>
        <w:rPr>
          <w:rFonts w:ascii="Myanmar Text" w:hAnsi="Myanmar Text" w:eastAsia="Myanmar Text" w:cs="Myanmar Text"/>
        </w:rPr>
        <w:t>လူများသည်</w:t>
      </w:r>
      <w:r>
        <w:rPr>
          <w:rFonts w:ascii="Times New Roman" w:hAnsi="Times New Roman" w:eastAsia="Times New Roman" w:cs="Times New Roman"/>
        </w:rPr>
        <w:t xml:space="preserve"> </w:t>
      </w:r>
      <w:r>
        <w:rPr>
          <w:rFonts w:ascii="Myanmar Text" w:hAnsi="Myanmar Text" w:eastAsia="Myanmar Text" w:cs="Myanmar Text"/>
        </w:rPr>
        <w:t>မြို့နှင့်</w:t>
      </w:r>
      <w:r>
        <w:rPr>
          <w:rFonts w:ascii="Times New Roman" w:hAnsi="Times New Roman" w:eastAsia="Times New Roman" w:cs="Times New Roman"/>
        </w:rPr>
        <w:t xml:space="preserve"> </w:t>
      </w:r>
      <w:r>
        <w:rPr>
          <w:rFonts w:ascii="Myanmar Text" w:hAnsi="Myanmar Text" w:eastAsia="Myanmar Text" w:cs="Myanmar Text"/>
        </w:rPr>
        <w:t>သန့်ရှင်းရာဌာနကို</w:t>
      </w:r>
      <w:r>
        <w:rPr>
          <w:rFonts w:ascii="Times New Roman" w:hAnsi="Times New Roman" w:eastAsia="Times New Roman" w:cs="Times New Roman"/>
        </w:rPr>
        <w:t xml:space="preserve"> </w:t>
      </w:r>
      <w:r>
        <w:rPr>
          <w:rFonts w:ascii="Myanmar Text" w:hAnsi="Myanmar Text" w:eastAsia="Myanmar Text" w:cs="Myanmar Text"/>
        </w:rPr>
        <w:t>ဖျက်ဆီးကြလိမ့်မည်။</w:t>
      </w:r>
      <w:r>
        <w:rPr>
          <w:rFonts w:ascii="Times New Roman" w:hAnsi="Times New Roman" w:eastAsia="Times New Roman" w:cs="Times New Roman"/>
        </w:rPr>
        <w:t xml:space="preserve"> </w:t>
      </w:r>
      <w:r>
        <w:rPr>
          <w:rFonts w:ascii="Myanmar Text" w:hAnsi="Myanmar Text" w:eastAsia="Myanmar Text" w:cs="Myanmar Text"/>
        </w:rPr>
        <w:t>ထိုအဆုံးသည်</w:t>
      </w:r>
      <w:r>
        <w:rPr>
          <w:rFonts w:ascii="Times New Roman" w:hAnsi="Times New Roman" w:eastAsia="Times New Roman" w:cs="Times New Roman"/>
        </w:rPr>
        <w:t xml:space="preserve"> </w:t>
      </w:r>
      <w:r>
        <w:rPr>
          <w:rFonts w:ascii="Myanmar Text" w:hAnsi="Myanmar Text" w:eastAsia="Myanmar Text" w:cs="Myanmar Text"/>
        </w:rPr>
        <w:t>ရေလွှမ်းမိုးခြင်းကဲ့သို့</w:t>
      </w:r>
      <w:r>
        <w:rPr>
          <w:rFonts w:ascii="Times New Roman" w:hAnsi="Times New Roman" w:eastAsia="Times New Roman" w:cs="Times New Roman"/>
        </w:rPr>
        <w:t xml:space="preserve"> </w:t>
      </w:r>
      <w:r>
        <w:rPr>
          <w:rFonts w:ascii="Myanmar Text" w:hAnsi="Myanmar Text" w:eastAsia="Myanmar Text" w:cs="Myanmar Text"/>
        </w:rPr>
        <w:t>ဖြစ်လိမ့်မည်။</w:t>
      </w:r>
      <w:r>
        <w:rPr>
          <w:rFonts w:ascii="Times New Roman" w:hAnsi="Times New Roman" w:eastAsia="Times New Roman" w:cs="Times New Roman"/>
        </w:rPr>
        <w:t xml:space="preserve"> </w:t>
      </w:r>
      <w:r>
        <w:rPr>
          <w:rFonts w:ascii="Myanmar Text" w:hAnsi="Myanmar Text" w:eastAsia="Myanmar Text" w:cs="Myanmar Text"/>
        </w:rPr>
        <w:t>စစ်ပွဲ၏</w:t>
      </w:r>
      <w:r>
        <w:rPr>
          <w:rFonts w:ascii="Times New Roman" w:hAnsi="Times New Roman" w:eastAsia="Times New Roman" w:cs="Times New Roman"/>
        </w:rPr>
        <w:t xml:space="preserve"> </w:t>
      </w:r>
      <w:r>
        <w:rPr>
          <w:rFonts w:ascii="Myanmar Text" w:hAnsi="Myanmar Text" w:eastAsia="Myanmar Text" w:cs="Myanmar Text"/>
        </w:rPr>
        <w:t>အဆုံးတိုင်အောင်</w:t>
      </w:r>
      <w:r>
        <w:rPr>
          <w:rFonts w:ascii="Times New Roman" w:hAnsi="Times New Roman" w:eastAsia="Times New Roman" w:cs="Times New Roman"/>
        </w:rPr>
        <w:t xml:space="preserve"> </w:t>
      </w:r>
      <w:r>
        <w:rPr>
          <w:rFonts w:ascii="Myanmar Text" w:hAnsi="Myanmar Text" w:eastAsia="Myanmar Text" w:cs="Myanmar Text"/>
        </w:rPr>
        <w:t>ပျက်စီးခြင်းများကို</w:t>
      </w:r>
      <w:r>
        <w:rPr>
          <w:rFonts w:ascii="Times New Roman" w:hAnsi="Times New Roman" w:eastAsia="Times New Roman" w:cs="Times New Roman"/>
        </w:rPr>
        <w:t xml:space="preserve"> </w:t>
      </w:r>
      <w:r>
        <w:rPr>
          <w:rFonts w:ascii="Myanmar Text" w:hAnsi="Myanmar Text" w:eastAsia="Myanmar Text" w:cs="Myanmar Text"/>
        </w:rPr>
        <w:t>ချမှတ်ထားပြီ။</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လူအများနှင့်</w:t>
      </w:r>
      <w:r>
        <w:rPr>
          <w:rFonts w:ascii="Times New Roman" w:hAnsi="Times New Roman" w:eastAsia="Times New Roman" w:cs="Times New Roman"/>
        </w:rPr>
        <w:t xml:space="preserve"> </w:t>
      </w:r>
      <w:r>
        <w:rPr>
          <w:rFonts w:ascii="Myanmar Text" w:hAnsi="Myanmar Text" w:eastAsia="Myanmar Text" w:cs="Myanmar Text"/>
        </w:rPr>
        <w:t>ပဋိညာဉ်ကို</w:t>
      </w:r>
      <w:r>
        <w:rPr>
          <w:rFonts w:ascii="Times New Roman" w:hAnsi="Times New Roman" w:eastAsia="Times New Roman" w:cs="Times New Roman"/>
        </w:rPr>
        <w:t xml:space="preserve"> </w:t>
      </w:r>
      <w:r>
        <w:rPr>
          <w:rFonts w:ascii="Myanmar Text" w:hAnsi="Myanmar Text" w:eastAsia="Myanmar Text" w:cs="Myanmar Text"/>
        </w:rPr>
        <w:t>တစ်ပတ်ကြာ</w:t>
      </w:r>
      <w:r>
        <w:rPr>
          <w:rFonts w:ascii="Times New Roman" w:hAnsi="Times New Roman" w:eastAsia="Times New Roman" w:cs="Times New Roman"/>
        </w:rPr>
        <w:t xml:space="preserve"> </w:t>
      </w:r>
      <w:r>
        <w:rPr>
          <w:rFonts w:ascii="Myanmar Text" w:hAnsi="Myanmar Text" w:eastAsia="Myanmar Text" w:cs="Myanmar Text"/>
        </w:rPr>
        <w:t>အတည်ပြုလိမ့်မည်။</w:t>
      </w:r>
      <w:r>
        <w:rPr>
          <w:rFonts w:ascii="Times New Roman" w:hAnsi="Times New Roman" w:eastAsia="Times New Roman" w:cs="Times New Roman"/>
        </w:rPr>
        <w:t xml:space="preserve"> </w:t>
      </w:r>
      <w:r>
        <w:rPr>
          <w:rFonts w:ascii="Myanmar Text" w:hAnsi="Myanmar Text" w:eastAsia="Myanmar Text" w:cs="Myanmar Text"/>
        </w:rPr>
        <w:t>ထိုအပတ်၏</w:t>
      </w:r>
      <w:r>
        <w:rPr>
          <w:rFonts w:ascii="Times New Roman" w:hAnsi="Times New Roman" w:eastAsia="Times New Roman" w:cs="Times New Roman"/>
        </w:rPr>
        <w:t xml:space="preserve"> </w:t>
      </w:r>
      <w:r>
        <w:rPr>
          <w:rFonts w:ascii="Myanmar Text" w:hAnsi="Myanmar Text" w:eastAsia="Myanmar Text" w:cs="Myanmar Text"/>
        </w:rPr>
        <w:t>အလယ်တွင်</w:t>
      </w:r>
      <w:r>
        <w:rPr>
          <w:rFonts w:ascii="Times New Roman" w:hAnsi="Times New Roman" w:eastAsia="Times New Roman" w:cs="Times New Roman"/>
        </w:rPr>
        <w:t xml:space="preserve"> </w:t>
      </w:r>
      <w:r>
        <w:rPr>
          <w:rFonts w:ascii="Myanmar Text" w:hAnsi="Myanmar Text" w:eastAsia="Myanmar Text" w:cs="Myanmar Text"/>
        </w:rPr>
        <w:t>ယဇ်ပူဇော်ခြင်းနှင့်</w:t>
      </w:r>
      <w:r>
        <w:rPr>
          <w:rFonts w:ascii="Times New Roman" w:hAnsi="Times New Roman" w:eastAsia="Times New Roman" w:cs="Times New Roman"/>
        </w:rPr>
        <w:t xml:space="preserve"> </w:t>
      </w:r>
      <w:r>
        <w:rPr>
          <w:rFonts w:ascii="Myanmar Text" w:hAnsi="Myanmar Text" w:eastAsia="Myanmar Text" w:cs="Myanmar Text"/>
        </w:rPr>
        <w:t>ပူဇော်သက္ကာကို</w:t>
      </w:r>
      <w:r>
        <w:rPr>
          <w:rFonts w:ascii="Times New Roman" w:hAnsi="Times New Roman" w:eastAsia="Times New Roman" w:cs="Times New Roman"/>
        </w:rPr>
        <w:t xml:space="preserve"> </w:t>
      </w:r>
      <w:r>
        <w:rPr>
          <w:rFonts w:ascii="Myanmar Text" w:hAnsi="Myanmar Text" w:eastAsia="Myanmar Text" w:cs="Myanmar Text"/>
        </w:rPr>
        <w:t>ရပ်စဲစေလိမ့်မည်။</w:t>
      </w:r>
      <w:r>
        <w:rPr>
          <w:rFonts w:ascii="Times New Roman" w:hAnsi="Times New Roman" w:eastAsia="Times New Roman" w:cs="Times New Roman"/>
        </w:rPr>
        <w:t xml:space="preserve"> </w:t>
      </w:r>
      <w:r>
        <w:rPr>
          <w:rFonts w:ascii="Myanmar Text" w:hAnsi="Myanmar Text" w:eastAsia="Myanmar Text" w:cs="Myanmar Text"/>
        </w:rPr>
        <w:t>စက်ဆုပ်ရွံရှာဖွယ်အရာများ</w:t>
      </w:r>
      <w:r>
        <w:rPr>
          <w:rFonts w:ascii="Times New Roman" w:hAnsi="Times New Roman" w:eastAsia="Times New Roman" w:cs="Times New Roman"/>
        </w:rPr>
        <w:t xml:space="preserve"> </w:t>
      </w:r>
      <w:r>
        <w:rPr>
          <w:rFonts w:ascii="Myanmar Text" w:hAnsi="Myanmar Text" w:eastAsia="Myanmar Text" w:cs="Myanmar Text"/>
        </w:rPr>
        <w:t>ပြန့်နှံ့ခြင်းကြောင့်</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ပျက်စီးသွားစေလိမ့်မည်။</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အဆုံးသတ်ကာလတိုင်အောင်၊</w:t>
      </w:r>
      <w:r>
        <w:rPr>
          <w:rFonts w:ascii="Times New Roman" w:hAnsi="Times New Roman" w:eastAsia="Times New Roman" w:cs="Times New Roman"/>
        </w:rPr>
        <w:t xml:space="preserve"> </w:t>
      </w:r>
      <w:r>
        <w:rPr>
          <w:rFonts w:ascii="Myanmar Text" w:hAnsi="Myanmar Text" w:eastAsia="Myanmar Text" w:cs="Myanmar Text"/>
        </w:rPr>
        <w:t>သတ်မှတ်ထားသောအရာသည်</w:t>
      </w:r>
      <w:r>
        <w:rPr>
          <w:rFonts w:ascii="Times New Roman" w:hAnsi="Times New Roman" w:eastAsia="Times New Roman" w:cs="Times New Roman"/>
        </w:rPr>
        <w:t xml:space="preserve"> </w:t>
      </w:r>
      <w:r>
        <w:rPr>
          <w:rFonts w:ascii="Myanmar Text" w:hAnsi="Myanmar Text" w:eastAsia="Myanmar Text" w:cs="Myanmar Text"/>
        </w:rPr>
        <w:t>ပျက်စီးနေသောသူ၏</w:t>
      </w:r>
      <w:r>
        <w:rPr>
          <w:rFonts w:ascii="Times New Roman" w:hAnsi="Times New Roman" w:eastAsia="Times New Roman" w:cs="Times New Roman"/>
        </w:rPr>
        <w:t xml:space="preserve"> </w:t>
      </w:r>
      <w:r>
        <w:rPr>
          <w:rFonts w:ascii="Myanmar Text" w:hAnsi="Myanmar Text" w:eastAsia="Myanmar Text" w:cs="Myanmar Text"/>
        </w:rPr>
        <w:t>အပေါ်သို့</w:t>
      </w:r>
      <w:r>
        <w:rPr>
          <w:rFonts w:ascii="Times New Roman" w:hAnsi="Times New Roman" w:eastAsia="Times New Roman" w:cs="Times New Roman"/>
        </w:rPr>
        <w:t xml:space="preserve"> </w:t>
      </w:r>
      <w:r>
        <w:rPr>
          <w:rFonts w:ascii="Myanmar Text" w:hAnsi="Myanmar Text" w:eastAsia="Myanmar Text" w:cs="Myanmar Text"/>
        </w:rPr>
        <w:t>သွန်းလောင်းခြင်းကို</w:t>
      </w:r>
      <w:r>
        <w:rPr>
          <w:rFonts w:ascii="Times New Roman" w:hAnsi="Times New Roman" w:eastAsia="Times New Roman" w:cs="Times New Roman"/>
        </w:rPr>
        <w:t xml:space="preserve"> </w:t>
      </w:r>
      <w:r>
        <w:rPr>
          <w:rFonts w:ascii="Myanmar Text" w:hAnsi="Myanmar Text" w:eastAsia="Myanmar Text" w:cs="Myanmar Text"/>
        </w:rPr>
        <w:t>ခံရလိမ့်မည်။</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၉</w:t>
      </w:r>
      <w:r>
        <w:rPr>
          <w:rFonts w:ascii="Times New Roman" w:hAnsi="Times New Roman" w:eastAsia="Times New Roman" w:cs="Times New Roman"/>
        </w:rPr>
        <w:t>:</w:t>
      </w:r>
      <w:r>
        <w:rPr>
          <w:rFonts w:ascii="Myanmar Text" w:hAnsi="Myanmar Text" w:eastAsia="Myanmar Text" w:cs="Myanmar Text"/>
        </w:rPr>
        <w:t>၂၆၊</w:t>
      </w:r>
      <w:r>
        <w:rPr>
          <w:rFonts w:ascii="Times New Roman" w:hAnsi="Times New Roman" w:eastAsia="Times New Roman" w:cs="Times New Roman"/>
        </w:rPr>
        <w:t xml:space="preserve"> </w:t>
      </w:r>
      <w:r>
        <w:rPr>
          <w:rFonts w:ascii="Myanmar Text" w:hAnsi="Myanmar Text" w:eastAsia="Myanmar Text" w:cs="Myanmar Text"/>
        </w:rPr>
        <w:t>၂၇။</w:t>
      </w:r>
    </w:p>
    <w:p>
      <w:pPr>
        <w:pStyle w:val="ArticleBody"/>
        <w:jc w:val="left"/>
      </w:pPr>
      <w:r>
        <w:rPr>
          <w:rFonts w:ascii="Times New Roman" w:hAnsi="Times New Roman" w:eastAsia="Times New Roman" w:cs="Times New Roman"/>
        </w:rPr>
        <w:t>Gabriel memberitahu Daniel bahwa “sesudah” “Mesias” itu “disingkirkan,” maka “umat seorang raja yang akan datang akan membinasakan kota dan tempat kudus itu.” Roma kafir membinasakan “kota dan tempat kudus” itu dalam pengepungan yang berlangsung tepat tiga setengah tahun, dari tahun 66 sampai 70 M. Gabriel menyatakan bahwa “akhir perang” itu akan terjadi “dengan air bah,” dan bahwa perang itu akan terdiri atas “kebinasaan-kebinasaan.” Perang yang dilaksanakan terhadap Yerusalem dan tempat kudus itu adalah penginjak-injakan yang dilaksanakan oleh kekafiran dan kepausan. Kuasa kafir yang pada mulanya akan membinasakan Yerusalem adalah Babel, tetapi kuasa kafir yang akan membinasakannya sesudah Mesias disalibkan adalah Roma kafir. Namun perang melawan tempat kudus dan bala tentara itu dilaksanakan oleh dua kuasa pembinasa, dan yang kedua dari kedua kuasa pembinasa dalam Kitab Suci adalah kepausan.</w:t>
      </w:r>
    </w:p>
    <w:p>
      <w:pPr>
        <w:pStyle w:val="ArticleBody"/>
        <w:jc w:val="left"/>
      </w:pPr>
      <w:r>
        <w:rPr>
          <w:rFonts w:ascii="Times New Roman" w:hAnsi="Times New Roman" w:eastAsia="Times New Roman" w:cs="Times New Roman"/>
        </w:rPr>
        <w:t>Bopapa ke matla a emeloang e le “sephali se khaphatsehang”; ke matla a temaneng ea mashome a mane ea Daniele leshome le motso o mong, a “khaphatsehang, a feta.” Ho hatakeloa ha Jerusalema ho qalileng ka Babilona, ’me ha tsoela pele ka sechaba sa tšepe se neng se bua lipolelo tse lefifi, joalokaha se emetsoe ke Moshe ho Deuteronoma, ha latela bopapa. Ho fihlela qetellong ea ho hatakeloa hoo, “lithako” li ne li “reretsoe.” Temaneng ea mashome a mabeli a metso e supileng, Kreste o tiisa selekane le ba bangata ka beke e le ’ngoe. Bohareng ba beke eo, tsamaiso ea mahlabelo ea lefatšeng e ne e tla khaotsa, ha Kreste a qala bosebeletsi ba hae ba Moprista e Moholo sehalalelong sa leholimo. Ka lebaka la ho se utloe ha Bajuda nakong ea mohau e neng e ba khaotsoe bakeng sa bona, sehalalelo le motse li ne li tla boela li etsoe lesupi.</w:t>
      </w:r>
    </w:p>
    <w:p>
      <w:pPr>
        <w:pStyle w:val="ArticleBody"/>
        <w:jc w:val="left"/>
      </w:pPr>
      <w:r>
        <w:rPr>
          <w:rFonts w:ascii="Times New Roman" w:hAnsi="Times New Roman" w:eastAsia="Times New Roman" w:cs="Times New Roman"/>
        </w:rPr>
        <w:t>Ayat itu berkata, “dan karena puncak kekejian, ia akan menjadikannya sunyi sepi, bahkan sampai kepada kesudahan; dan apa yang telah ditetapkan itu akan dicurahkan ke atas yang sunyi sepi.” Ketika orang-orang Yahudi akhirnya memenuhi cawan masa percobaan mereka sampai penuh, kota dan tempat kudus itu harus tetap sunyi sepi sampai akhir peperangan. Pada “kesudahan” dari penindasan itu pada tahun 1798, telah “ditetapkan” bahwa kepausan akan menerima luka yang mematikan. Kemudian kota dan tempat kudus itu harus dipulihkan dan dibangun kembali, sebagaimana ditipologikan ketika orang-orang Yahudi keluar dari Babel harfiah di bawah ketiga dekret itu.</w:t>
      </w:r>
    </w:p>
    <w:p>
      <w:pPr>
        <w:pStyle w:val="ArticleBody"/>
        <w:jc w:val="left"/>
      </w:pPr>
      <w:r>
        <w:rPr>
          <w:rFonts w:ascii="Times New Roman" w:hAnsi="Times New Roman" w:eastAsia="Times New Roman" w:cs="Times New Roman"/>
        </w:rPr>
        <w:t>Sehingga kepada penuntasan peperangan itu Yerusalem harus diinjak-injak oleh kuasa kepausan. Periode-periode kenabian yang membentuk bagian-bagian waktu yang tersendiri di dalam dua ribu tiga ratus tahun itu hanya dapat dipahami dengan benar apabila hubungan penglihatan tentang penginjakan selama tujuh puluh tahun dipahami dalam kaitannya dengan penglihatan tentang pemulihan tempat kudus dan bala tentara. Menolak penglihatan tentang penyerakan dari kutuk Musa berarti menolak penglihatan tentang pengumpulan. Penglihatan tentang tujuh puluh tahun adalah penglihatan tentang penyerakan. Penglihatan tentang dua ribu tiga ratus tahun adalah penglihatan tentang pengumpulan. Penglihatan tentang tujuh puluh tahun adalah penglihatan “chazon” tentang penyerakan, dan penglihatan tentang dua ribu tiga ratus tahun adalah penglihatan “mareh” tentang pengumpulan.</w:t>
      </w:r>
    </w:p>
    <w:p>
      <w:pPr>
        <w:pStyle w:val="ArticleScripture"/>
        <w:jc w:val="left"/>
      </w:pPr>
      <w:r>
        <w:rPr>
          <w:rFonts w:ascii="Times New Roman" w:hAnsi="Times New Roman" w:eastAsia="Times New Roman" w:cs="Times New Roman"/>
        </w:rPr>
        <w:t>Maka apa yang telah dipersatukan oleh Tuhan, janganlah diceraikan oleh manusia. Markus 10:9.</w:t>
      </w:r>
    </w:p>
    <w:p>
      <w:pPr>
        <w:pStyle w:val="ArticleBody"/>
        <w:jc w:val="left"/>
      </w:pPr>
      <w:r>
        <w:rPr>
          <w:rFonts w:ascii="Times New Roman" w:hAnsi="Times New Roman" w:eastAsia="Times New Roman" w:cs="Times New Roman"/>
        </w:rPr>
        <w:t>Imibono emibili ihlanganiswe ndawonye ngokwesiprofetho, futhi ukwala okukodwa kuwukwala kokubili. Leli qiniso libonisa ukuthi, nakuba i-Adventism ithi igcina isiprofetho seminyaka eyizinkulungwane ezimbili namakhulu amathathu, iyenqabile insika emaphakathi ye-Adventism, njengoba nje ngokuqinisekile benqaba “izikhathi eziyisikhombisa” ngo-1863. AmaJuda awazange yini azisho ukuthi agcina umthetho kaNkulunkulu na? U-Israyeli wasendulo akazange yini azisho ukuthi ubheke uMesiya na? Ukuzisho akunanjongo uma kungasekeli iZwi likaNkulunkulu.</w:t>
      </w:r>
    </w:p>
    <w:p>
      <w:pPr>
        <w:pStyle w:val="ArticleBody"/>
        <w:jc w:val="left"/>
      </w:pPr>
      <w:r>
        <w:rPr>
          <w:rFonts w:ascii="Times New Roman" w:hAnsi="Times New Roman" w:eastAsia="Times New Roman" w:cs="Times New Roman"/>
        </w:rPr>
        <w:t>Millerites ibin akhirnya mengidentifikasi 22 Oktober 1844 sebagai berakhirnya masa dua ribu tiga ratus hari, tetapi pemahaman mereka terbatas. Baru setelah kekecewaan besar itu, terang datang mengenai bait suci sorgawi dan penampakan Kristus di Tempat Mahakudus pada tanggal itu. Baru setelah tanggal itu mereka melihat pekabaran malaikat yang ketiga dan hukum Allah.</w:t>
      </w:r>
    </w:p>
    <w:p>
      <w:pPr>
        <w:pStyle w:val="ArticleBody"/>
        <w:jc w:val="left"/>
      </w:pPr>
      <w:r>
        <w:rPr>
          <w:rFonts w:ascii="Times New Roman" w:hAnsi="Times New Roman" w:eastAsia="Times New Roman" w:cs="Times New Roman"/>
        </w:rPr>
        <w:t>Tuhan bermaksud untuk menambah terang nubuatan yang berkaitan dengan dua ribu tiga ratus tahun itu, dan pada tahun 1856, Dia membuka pintu bagi terang yang lebih lanjut, dan dalam tempoh tujuh tahun berikutnya Adventisme menutup pintu itu. Hanya selepas 11 September 2001 barulah Tuhan memimpin para pelajar nubuatan kembali kepada rencana-rencana Hiram Edson, dan terang tentang “tujuh kali” sekali lagi mula bertambah.</w:t>
      </w:r>
    </w:p>
    <w:p>
      <w:pPr>
        <w:pStyle w:val="ArticleBody"/>
        <w:jc w:val="left"/>
      </w:pPr>
      <w:r>
        <w:rPr>
          <w:rFonts w:ascii="Times New Roman" w:hAnsi="Times New Roman" w:eastAsia="Times New Roman" w:cs="Times New Roman"/>
        </w:rPr>
        <w:t>Ka ho gana go bona kamano magareng ga boporofeti bja nywaga e dikete tše pedi le makgolo a mararo le boporofeti bja nywaga e dikete tše pedi le makgolo a mahlano le masomepedi, Boadventist bo ile bja fihlelela kwešišo ya la 22 Oktobore, 1844 ka mokgwa wo o golofetšego le wo o sa felelago.</w:t>
      </w:r>
    </w:p>
    <w:p>
      <w:pPr>
        <w:pStyle w:val="ArticleBody"/>
        <w:jc w:val="left"/>
      </w:pPr>
      <w:r>
        <w:rPr>
          <w:rFonts w:ascii="Times New Roman" w:hAnsi="Times New Roman" w:eastAsia="Times New Roman" w:cs="Times New Roman"/>
        </w:rPr>
        <w:t>Hian S. S. Snow in chuan kha khenkhawm a, khenbehna ni chu tihchianin a awm a; chumi hnuah chuan October 22, 1844 ni chu hriat chian a ni.</w:t>
      </w:r>
    </w:p>
    <w:p>
      <w:pPr>
        <w:pStyle w:val="ArticleScripture"/>
        <w:jc w:val="left"/>
      </w:pPr>
      <w:r>
        <w:rPr>
          <w:rFonts w:ascii="Times New Roman" w:hAnsi="Times New Roman" w:eastAsia="Times New Roman" w:cs="Times New Roman"/>
        </w:rPr>
        <w:t>Ketahuilah dan pahamilah, bahwa dari saat firman keluar untuk memulihkan dan membangun kembali Yerusalem sampai kepada Mesias, Sang Raja, adalah tujuh minggu dan enam puluh dua minggu; jalan-jalan akan dibangun kembali, dan tembok pun akan ditegakkan, sekalipun pada masa-masa yang penuh kesesakan. Dan sesudah enam puluh dua minggu itu Mesias akan dilenyapkan, tetapi bukan karena diri-Nya sendiri; dan rakyat dari seorang raja yang akan datang akan memusnahkan kota dan tempat kudus itu; dan akhirnya akan datang seperti air bah, dan sampai pada akhir peperangan kebinasaan-kebinasaan telah ditetapkan. Dan ia akan meneguhkan perjanjian dengan banyak orang selama satu minggu; dan pada pertengahan minggu itu ia akan menghentikan korban sembelihan dan korban sajian, dan karena puncak kekejian-kekejian ia akan menjadikannya sunyi sepi, sampai kepada kebinasaan yang genap, dan apa yang telah ditetapkan itu akan dicurahkan ke atas yang sunyi sepi. Daniel 9:25–27.</w:t>
      </w:r>
    </w:p>
    <w:p>
      <w:pPr>
        <w:pStyle w:val="ArticleBody"/>
        <w:jc w:val="left"/>
      </w:pPr>
      <w:r>
        <w:rPr>
          <w:rFonts w:ascii="Times New Roman" w:hAnsi="Times New Roman" w:eastAsia="Times New Roman" w:cs="Times New Roman"/>
        </w:rPr>
        <w:t>Orang Millerit telah mengenal pasti tarikh yang tepat bagi penyaliban itu, dan kemudian berakhirnya tempoh dua ribu tiga ratus tahun itu pun dikenal pasti. “Penyingkiran Mesias” “pada pertengahan minggu itu”, ketika Kristus meneguhkan “perjanjian” itu, kerana orang Yahudi telah memenuhi cawan masa percubaan mereka hingga ke puncaknya, sebagaimana dilambangkan oleh “penyebaran Kekejian-kekejian”, juga telah dikenal pasti. Salib itu menjadi tanda sejarah yang penting bagi pengenalan akan pekabaran Seruan Tengah Malam.</w:t>
      </w:r>
    </w:p>
    <w:p>
      <w:pPr>
        <w:pStyle w:val="ArticleBody"/>
        <w:jc w:val="left"/>
      </w:pPr>
      <w:r>
        <w:rPr>
          <w:rFonts w:ascii="Times New Roman" w:hAnsi="Times New Roman" w:eastAsia="Times New Roman" w:cs="Times New Roman"/>
        </w:rPr>
        <w:t>Leha go sa natšwe seetša se hwetšagalago ditemaneng tšeo tše di tšweleditšego ponagatšo e maatla kudu ya maatla a Modimo, ba-Millerite ga se ba ka ba fihla kwešišong ya ditemana tšeo yeo e bego e emetšwe ke kganyogo ya Daniele ya go kwešiša tswalano ya dipono tše pedi. Beke yeo go yona Kriste a tiišeditšego kgwerano e be e arogantšwe ka dinako tše pedi, tšeo Kgaetšedi White ka morago a ilego a di hlaola e le tše di emelago bodiredi bja Kriste ka noši bja mengwaga ye meraro le seripa, bjo bo latelwago ke bodiredi bja gagwe bjalo ka ge bo emetšwe ke barutiwa. Ba bone gore leswao leo la histori la sefapano le fetogile ankora ya go netefatša letšatši la 22 Oktobore, 1844, eupša ga se ba ka ba bona gore gape le emela bogare bja dinako tše pedi tše swanago tša mengwaga ye meraro le seripa, gomme ka go realo la emela “dinako tše šupa,” tšeo Modimo ka Moshe a di biditšego “kgang ya kgwerano ya gagwe.”</w:t>
      </w:r>
    </w:p>
    <w:p>
      <w:pPr>
        <w:pStyle w:val="ArticleScripture"/>
        <w:jc w:val="left"/>
      </w:pPr>
      <w:r>
        <w:rPr>
          <w:rFonts w:ascii="Times New Roman" w:hAnsi="Times New Roman" w:eastAsia="Times New Roman" w:cs="Times New Roman"/>
        </w:rPr>
        <w:t>“Maka Aku pun akan bertindak menentang kamu, dan akan menghukum kamu tujuh kali lipat lagi karena dosa-dosamu. Dan Aku akan mendatangkan pedang ke atas kamu, yang akan membalaskan pelanggaran terhadap perjanjian-Ku; dan apabila kamu berkumpul di dalam kota-kotamu, Aku akan mengirim penyakit sampar ke tengah-tengahmu; dan kamu akan diserahkan ke dalam tangan musuh.” Imamat 26:24, 25.</w:t>
      </w:r>
    </w:p>
    <w:p>
      <w:pPr>
        <w:pStyle w:val="ArticleBody"/>
        <w:jc w:val="left"/>
      </w:pPr>
      <w:r>
        <w:rPr>
          <w:rFonts w:ascii="Times New Roman" w:hAnsi="Times New Roman" w:eastAsia="Times New Roman" w:cs="Times New Roman"/>
        </w:rPr>
        <w:t>Apabila Kristus sedang meneguhkan perjanjian dengan banyak orang, perjanjian itulah yang menjadi perkara perselisihan-Nya dengan orang-orang Yahudi yang tidak taat. “Perkara perselisihan perjanjian-Nya” bermula pada tahun 723 SM, apabila orang Asyur menawan kerajaan utara, dan kemudian selama seribu dua ratus enam puluh hari nubuatan, kekafiran menginjak-injak Israel secara harfiah. Penginjakan itu kemudian diikuti oleh seribu dua ratus enam puluh hari nubuatan yang berikutnya, yakni kepausan menginjak-injak Israel rohani.</w:t>
      </w:r>
    </w:p>
    <w:p>
      <w:pPr>
        <w:pStyle w:val="ArticleBody"/>
        <w:jc w:val="left"/>
      </w:pPr>
      <w:r>
        <w:rPr>
          <w:rFonts w:ascii="Times New Roman" w:hAnsi="Times New Roman" w:eastAsia="Times New Roman" w:cs="Times New Roman"/>
        </w:rPr>
        <w:t>Minggu nubuatan di mana Kristus meneguhkan perjanjian, sebagai penggenapan penglihatan dua ribu tiga ratus tahun, juga melambangkan penglihatan dua ribu lima ratus dua puluh tahun. Kaum Millerit mengenali cukup banyak dari nubuatan dua ribu tiga ratus tahun untuk dengan tepat memaklumkan pekabaran Seruan Tengah Malam, tetapi mereka memilih untuk menolak sebagian terang yang dimaksudkan untuk disampaikan oleh penafsiran Gabriel dalam pasal sembilan.</w:t>
      </w:r>
    </w:p>
    <w:p>
      <w:pPr>
        <w:pStyle w:val="ArticleBody"/>
        <w:jc w:val="left"/>
      </w:pPr>
      <w:r>
        <w:rPr>
          <w:rFonts w:ascii="Nirmala UI" w:hAnsi="Nirmala UI" w:eastAsia="Nirmala UI" w:cs="Nirmala UI"/>
        </w:rPr>
        <w:t>ਗਾਬਰੀਏਲ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ਹੁਕਮ</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ਦਰਸ਼ਨਾਂ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ਠੀਕ</w:t>
      </w:r>
      <w:r>
        <w:rPr>
          <w:rFonts w:ascii="Times New Roman" w:hAnsi="Times New Roman" w:eastAsia="Times New Roman" w:cs="Times New Roman"/>
        </w:rPr>
        <w:t xml:space="preserve"> </w:t>
      </w:r>
      <w:r>
        <w:rPr>
          <w:rFonts w:ascii="Nirmala UI" w:hAnsi="Nirmala UI" w:eastAsia="Nirmala UI" w:cs="Nirmala UI"/>
        </w:rPr>
        <w:t>ਤਰ੍ਹਾਂ</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ਅਲੱਗ</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ਦਰਸ਼ਨ</w:t>
      </w:r>
      <w:r>
        <w:rPr>
          <w:rFonts w:ascii="Times New Roman" w:hAnsi="Times New Roman" w:eastAsia="Times New Roman" w:cs="Times New Roman"/>
        </w:rPr>
        <w:t xml:space="preserve">” </w:t>
      </w:r>
      <w:r>
        <w:rPr>
          <w:rFonts w:ascii="Nirmala UI" w:hAnsi="Nirmala UI" w:eastAsia="Nirmala UI" w:cs="Nirmala UI"/>
        </w:rPr>
        <w:t>ਵਜੋਂ</w:t>
      </w:r>
      <w:r>
        <w:rPr>
          <w:rFonts w:ascii="Times New Roman" w:hAnsi="Times New Roman" w:eastAsia="Times New Roman" w:cs="Times New Roman"/>
        </w:rPr>
        <w:t xml:space="preserve"> </w:t>
      </w:r>
      <w:r>
        <w:rPr>
          <w:rFonts w:ascii="Nirmala UI" w:hAnsi="Nirmala UI" w:eastAsia="Nirmala UI" w:cs="Nirmala UI"/>
        </w:rPr>
        <w:t>ਪ੍ਰਤੀਕਿਤ</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ਗਏ</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ਸਲਾਹ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ਪੂਰਤੀ</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ਸਿਸਟਰ</w:t>
      </w:r>
      <w:r>
        <w:rPr>
          <w:rFonts w:ascii="Times New Roman" w:hAnsi="Times New Roman" w:eastAsia="Times New Roman" w:cs="Times New Roman"/>
        </w:rPr>
        <w:t xml:space="preserve"> </w:t>
      </w:r>
      <w:r>
        <w:rPr>
          <w:rFonts w:ascii="Nirmala UI" w:hAnsi="Nirmala UI" w:eastAsia="Nirmala UI" w:cs="Nirmala UI"/>
        </w:rPr>
        <w:t>ਵ੍ਹਾਈਟ</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ਦੱਸਦੀ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ਖਾਸ</w:t>
      </w:r>
      <w:r>
        <w:rPr>
          <w:rFonts w:ascii="Times New Roman" w:hAnsi="Times New Roman" w:eastAsia="Times New Roman" w:cs="Times New Roman"/>
        </w:rPr>
        <w:t xml:space="preserve"> </w:t>
      </w:r>
      <w:r>
        <w:rPr>
          <w:rFonts w:ascii="Nirmala UI" w:hAnsi="Nirmala UI" w:eastAsia="Nirmala UI" w:cs="Nirmala UI"/>
        </w:rPr>
        <w:t>ਚਿੰਤਾ</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ਸੱਤਰ</w:t>
      </w:r>
      <w:r>
        <w:rPr>
          <w:rFonts w:ascii="Times New Roman" w:hAnsi="Times New Roman" w:eastAsia="Times New Roman" w:cs="Times New Roman"/>
        </w:rPr>
        <w:t xml:space="preserve"> </w:t>
      </w:r>
      <w:r>
        <w:rPr>
          <w:rFonts w:ascii="Nirmala UI" w:hAnsi="Nirmala UI" w:eastAsia="Nirmala UI" w:cs="Nirmala UI"/>
        </w:rPr>
        <w:t>ਹਫ਼ਤਿਆਂ</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ਸੱਤ</w:t>
      </w:r>
      <w:r>
        <w:rPr>
          <w:rFonts w:ascii="Times New Roman" w:hAnsi="Times New Roman" w:eastAsia="Times New Roman" w:cs="Times New Roman"/>
        </w:rPr>
        <w:t xml:space="preserve"> </w:t>
      </w:r>
      <w:r>
        <w:rPr>
          <w:rFonts w:ascii="Nirmala UI" w:hAnsi="Nirmala UI" w:eastAsia="Nirmala UI" w:cs="Nirmala UI"/>
        </w:rPr>
        <w:t>ਸਮਿਆਂ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ਹਜ਼ਾਰ</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ਵਰ੍ਹਿਆਂ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ਆਪਸੀ</w:t>
      </w:r>
      <w:r>
        <w:rPr>
          <w:rFonts w:ascii="Times New Roman" w:hAnsi="Times New Roman" w:eastAsia="Times New Roman" w:cs="Times New Roman"/>
        </w:rPr>
        <w:t xml:space="preserve"> </w:t>
      </w:r>
      <w:r>
        <w:rPr>
          <w:rFonts w:ascii="Nirmala UI" w:hAnsi="Nirmala UI" w:eastAsia="Nirmala UI" w:cs="Nirmala UI"/>
        </w:rPr>
        <w:t>ਸੰਬੰਧ</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ਸਮਝਣ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ਕੋਸ਼ਿਸ਼</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ਸੀ।</w:t>
      </w:r>
    </w:p>
    <w:p>
      <w:pPr>
        <w:pStyle w:val="ArticleBody"/>
        <w:jc w:val="left"/>
      </w:pPr>
      <w:r>
        <w:rPr>
          <w:rFonts w:ascii="Leelawadee UI" w:hAnsi="Leelawadee UI" w:eastAsia="Leelawadee UI" w:cs="Leelawadee UI"/>
        </w:rPr>
        <w:t>ការបដិសេធរបស់អាដវេនទីស្តចំពោះ</w:t>
      </w:r>
      <w:r>
        <w:rPr>
          <w:rFonts w:ascii="Times New Roman" w:hAnsi="Times New Roman" w:eastAsia="Times New Roman" w:cs="Times New Roman"/>
        </w:rPr>
        <w:t xml:space="preserve"> «</w:t>
      </w:r>
      <w:r>
        <w:rPr>
          <w:rFonts w:ascii="Leelawadee UI" w:hAnsi="Leelawadee UI" w:eastAsia="Leelawadee UI" w:cs="Leelawadee UI"/>
        </w:rPr>
        <w:t>ប្រាំពីរដង</w:t>
      </w:r>
      <w:r>
        <w:rPr>
          <w:rFonts w:ascii="Times New Roman" w:hAnsi="Times New Roman" w:eastAsia="Times New Roman" w:cs="Times New Roman"/>
        </w:rPr>
        <w:t xml:space="preserve">» </w:t>
      </w:r>
      <w:r>
        <w:rPr>
          <w:rFonts w:ascii="Leelawadee UI" w:hAnsi="Leelawadee UI" w:eastAsia="Leelawadee UI" w:cs="Leelawadee UI"/>
        </w:rPr>
        <w:t>បានដាក់ពួកគេឲ្យស្ថិតនៅក្នុងស្ថានភាពមួយ</w:t>
      </w:r>
      <w:r>
        <w:rPr>
          <w:rFonts w:ascii="Times New Roman" w:hAnsi="Times New Roman" w:eastAsia="Times New Roman" w:cs="Times New Roman"/>
        </w:rPr>
        <w:t xml:space="preserve"> </w:t>
      </w:r>
      <w:r>
        <w:rPr>
          <w:rFonts w:ascii="Leelawadee UI" w:hAnsi="Leelawadee UI" w:eastAsia="Leelawadee UI" w:cs="Leelawadee UI"/>
        </w:rPr>
        <w:t>ដែលពួកគេមិនអាចយល់ថា</w:t>
      </w:r>
      <w:r>
        <w:rPr>
          <w:rFonts w:ascii="Times New Roman" w:hAnsi="Times New Roman" w:eastAsia="Times New Roman" w:cs="Times New Roman"/>
        </w:rPr>
        <w:t xml:space="preserve"> </w:t>
      </w:r>
      <w:r>
        <w:rPr>
          <w:rFonts w:ascii="Leelawadee UI" w:hAnsi="Leelawadee UI" w:eastAsia="Leelawadee UI" w:cs="Leelawadee UI"/>
        </w:rPr>
        <w:t>រយៈពេលដំបូងនៃបួនរយកៅសិបឆ្នាំ</w:t>
      </w:r>
      <w:r>
        <w:rPr>
          <w:rFonts w:ascii="Times New Roman" w:hAnsi="Times New Roman" w:eastAsia="Times New Roman" w:cs="Times New Roman"/>
        </w:rPr>
        <w:t xml:space="preserve"> </w:t>
      </w:r>
      <w:r>
        <w:rPr>
          <w:rFonts w:ascii="Leelawadee UI" w:hAnsi="Leelawadee UI" w:eastAsia="Leelawadee UI" w:cs="Leelawadee UI"/>
        </w:rPr>
        <w:t>ដែលត្រូវបានកាត់ចេញពីពីរពាន់បីរយឆ្នាំ</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តំណាងឲ្យការបះបោរប្រឆាំងនឹងសេចក្ដីសញ្ញា</w:t>
      </w:r>
      <w:r>
        <w:rPr>
          <w:rFonts w:ascii="Times New Roman" w:hAnsi="Times New Roman" w:eastAsia="Times New Roman" w:cs="Times New Roman"/>
        </w:rPr>
        <w:t xml:space="preserve"> </w:t>
      </w:r>
      <w:r>
        <w:rPr>
          <w:rFonts w:ascii="Leelawadee UI" w:hAnsi="Leelawadee UI" w:eastAsia="Leelawadee UI" w:cs="Leelawadee UI"/>
        </w:rPr>
        <w:t>ដែលម៉ូសេកំណត់ថាជា</w:t>
      </w:r>
      <w:r>
        <w:rPr>
          <w:rFonts w:ascii="Times New Roman" w:hAnsi="Times New Roman" w:eastAsia="Times New Roman" w:cs="Times New Roman"/>
        </w:rPr>
        <w:t xml:space="preserve"> «</w:t>
      </w:r>
      <w:r>
        <w:rPr>
          <w:rFonts w:ascii="Leelawadee UI" w:hAnsi="Leelawadee UI" w:eastAsia="Leelawadee UI" w:cs="Leelawadee UI"/>
        </w:rPr>
        <w:t>ជម្លោះនៃសេចក្ដីសញ្ញារបស់ទ្រង់</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Times New Roman" w:hAnsi="Times New Roman" w:eastAsia="Times New Roman" w:cs="Times New Roman"/>
        </w:rPr>
        <w:t>Ba ne ba boetse ba thibetsoe ho lemoha hore ho thakhisoa bohareng ba beke ho ne ho etsa ho hong ho fetang feela ho supa letsatsi, hobane ho ne ho supa le setsi ka bosona sa qabang ea Kreste le ho se mamele ha Iseraele ka mali a selekane. Ba ne ba foufetse tabeng ea hore mali a ileng a tšolloa bakeng sa ba bangata sefapanong, a neng a tiisa selekane sa hae, a ne a boetse a tiisa selekane se behiloeng ho Levitike mashome a mabeli a metso e mehlano le mashome a mabeli a metso e tšeletseng.</w:t>
      </w:r>
    </w:p>
    <w:p>
      <w:pPr>
        <w:pStyle w:val="ArticleBody"/>
        <w:jc w:val="left"/>
      </w:pPr>
      <w:r>
        <w:rPr>
          <w:rFonts w:ascii="Times New Roman" w:hAnsi="Times New Roman" w:eastAsia="Times New Roman" w:cs="Times New Roman"/>
        </w:rPr>
        <w:t>Israeli kuno ba’a ta ɗauki alkawari a kansu inda suka ayyana alkawarin a matsayin shelar da suka yi cewa, “duk abin da Ubangiji ya faɗa, za mu yi,” ba tare da sun san ba kwata-kwata cewa alkawarin da Kristi yake miƙa wa mutane yana bukatar a rubuta dokarsa a zuciya. Ma’anarsu ta Farisiyawa game da sharuɗɗan alkawarin ta hana su fahimta da karɓar ainihin alkawarin.</w:t>
      </w:r>
    </w:p>
    <w:p>
      <w:pPr>
        <w:pStyle w:val="ArticleBody"/>
        <w:jc w:val="left"/>
      </w:pPr>
      <w:r>
        <w:rPr>
          <w:rFonts w:ascii="Times New Roman" w:hAnsi="Times New Roman" w:eastAsia="Times New Roman" w:cs="Times New Roman"/>
        </w:rPr>
        <w:t>Israel ea mehleng ena e hlalositse mali a sefapano bohareng ba beke ka mantsoe a hlahisang bofofu bo tšoanang ho Israel ea mehleng ena le bo neng bo le holim’a Israel ea boholo-holo ha ba hana Mesia ’me ba phatlalatsa hore ha ba na morena haese Cesare.</w:t>
      </w:r>
    </w:p>
    <w:p>
      <w:pPr>
        <w:pStyle w:val="ArticleBody"/>
        <w:jc w:val="left"/>
      </w:pPr>
      <w:r>
        <w:rPr>
          <w:rFonts w:ascii="Times New Roman" w:hAnsi="Times New Roman" w:eastAsia="Times New Roman" w:cs="Times New Roman"/>
        </w:rPr>
        <w:t>Israel masa kini buta terhadap hakikat bahawa sejarah yang telah digariskan oleh Gabriel kepada Daniel bukan sahaja merangkumi peneguhan perjanjian itu, tetapi juga penyerakan yang didatangkan ke atas mereka yang menolak perjanjian tersebut; kerana ayat-ayat itu menunjukkan bahawa Roma kafir (penguasa yang akan datang) akan membinasakan kota dan tempat kudus itu, dan bahawa sampai kepada akhir peperangan itu (yang memijak-mijak tempat kudus dan bala tentera) “kehancuran-kehancuran,” dalam bentuk jamak, telah ditentukan.</w:t>
      </w:r>
    </w:p>
    <w:p>
      <w:pPr>
        <w:pStyle w:val="ArticleBody"/>
        <w:jc w:val="left"/>
      </w:pPr>
      <w:r>
        <w:rPr>
          <w:rFonts w:ascii="Times New Roman" w:hAnsi="Times New Roman" w:eastAsia="Times New Roman" w:cs="Times New Roman"/>
        </w:rPr>
        <w:t>Mo hisitori eo Keresete a tsholotšego madi a gagwe go tiiša kgwerano le ba bantši, maatla a mabedi a tshenyego, e lego Roma ya boheitene le ya bopapa, a hlaolwa ka go lebanya. Madi ao a tšholotšwego sefapanong ke ona ao Keresete a a tlišago ka gare ga sehalalelo sa legodimong, gomme ke seswantšho sa mošomo wa Gagwe wo o emelwago ke pono ya “mareh” ya nywaga e dikete tše pedi le makgolo a mararo. Histori yeo e logagantšwe le histori ya pono ya “chazon” ya nywaga e dikete tše pedi le makgolo a mahlano le masome a mabedi, bjalo ka ge go emelwa ke maatla ao a mabedi a tshenyego ao a bego a tla gatakela fase sehalalelo le mašaba.</w:t>
      </w:r>
    </w:p>
    <w:p>
      <w:pPr>
        <w:pStyle w:val="ArticleBody"/>
        <w:jc w:val="left"/>
      </w:pPr>
      <w:r>
        <w:rPr>
          <w:rFonts w:ascii="Times New Roman" w:hAnsi="Times New Roman" w:eastAsia="Times New Roman" w:cs="Times New Roman"/>
        </w:rPr>
        <w:t>Nokhori latsam tanchin Miller-ni mangkimgipa in∙tangon ong∙aha, ong∙a gita salna gimik mikkangna chamchamenga, indiba uarang chu∙sokgija ong∙aha. Bon∙kamani salrangon, jensalo “Midnight Cry” ko maiko lekkaaha indake chongmotan ta∙rake dakpilgenchim, unnaia jokrangko “dirt brush Man” ine minggipa mande naba, dal∙gipa gital casket-o galgenchim; unon uarang skanggipa gita ong∙ahaonaba chu∙gimikchi chikkung ripeng bate chamchamgenchim. Uarang bon∙kamani “Midnight Cry” nama kattani sreso ong∙a. Habakkuk-ni katchinikgimin sakgni sakkirango, ia jokrangko rongtalgipa dake “tables” ine dingtangmancha talataha. 1843 aro 1850 salrangni pioneer chartrangni gni “line upon line” ine saksa sakgipa kosako dona jensalo, Miller-ni jokrangko rongtalgipa dake talatna man∙a; aro indakode ia jokrang bon∙kamani “Midnight Cry” nama kattani mesokani ong∙a.</w:t>
      </w:r>
    </w:p>
    <w:p>
      <w:pPr>
        <w:pStyle w:val="ArticleBody"/>
        <w:jc w:val="left"/>
      </w:pPr>
      <w:r>
        <w:rPr>
          <w:rFonts w:ascii="Times New Roman" w:hAnsi="Times New Roman" w:eastAsia="Times New Roman" w:cs="Times New Roman"/>
        </w:rPr>
        <w:t>Bongata ya boammaaruri mo ditšharteng tse pedi e tshwantšha diporofeto tse di neng tsa diragadiwa pele ga 1844, jaaka go supiwa ga dibatana tsa Daniele supa le robedi. Setshwantsho sa Daniele pedi se emetswe. Kgang ya ngangisano ya gore ke Roma kgotsa Antiochus Epiphanes yo o tlhomamisang pono e mo teng. Go swabisiwa ga ntlha le nako ya go diega ya Habakuke le ya makgarebe a a lesome di mo teng. Go tla ga moengele wa boraro go mo teng, fela jalo le lefelo le le boitshepo la selegodimo. “The daily” jaaka sesupo sa boheitane e mo teng. Mme go ya fela, diphatsa tse tharo tsa Islamo di mo teng. Fa di kopantswe, ditšhate tsotlhe di emela setshwantsho sa “koketsego ya kitso” e e diragalang fa Tau ya lotso lwa Juda e bulolola boammaaruri jwa porofeto.</w:t>
      </w:r>
    </w:p>
    <w:p>
      <w:pPr>
        <w:pStyle w:val="ArticleBody"/>
        <w:jc w:val="left"/>
      </w:pPr>
      <w:r>
        <w:rPr>
          <w:rFonts w:ascii="Times New Roman" w:hAnsi="Times New Roman" w:eastAsia="Times New Roman" w:cs="Times New Roman"/>
        </w:rPr>
        <w:t>Semasa kita mengakhiri pertimbangan kita tentang penglihatan Sungai Ulai sebagai lambang pengetahuan nubuatan yang telah dimeteraibukakan pada waktu kesudahan pada tahun 1798, yang bertambah sehingga membentuk permata-permata di dalam peti baharu yang lebih besar dalam mimpi William Miller, kita akan meninjau semula kebenaran-kebenaran Millerit yang tidak lengkap dalam sejarah mereka. Sebahagiannya dibiarkan dalam keadaan tidak lengkap kerana masa dalam sejarah di mana golongan Millerit hidup, dan sebahagian yang lain dibiarkan tidak lengkap melalui ketidaktaatan mereka yang enggan mengikuti terang yang semakin maju daripada malaikat yang ketiga.</w:t>
      </w:r>
    </w:p>
    <w:p>
      <w:pPr>
        <w:pStyle w:val="ArticleBody"/>
        <w:jc w:val="left"/>
      </w:pPr>
      <w:r>
        <w:rPr>
          <w:rFonts w:ascii="Times New Roman" w:hAnsi="Times New Roman" w:eastAsia="Times New Roman" w:cs="Times New Roman"/>
        </w:rPr>
        <w:t>Re tla tswelela ka dilo tse mo setlhogong se se latelang.</w:t>
      </w:r>
    </w:p>
    <w:p>
      <w:pPr>
        <w:pStyle w:val="ArticleScripture"/>
        <w:jc w:val="left"/>
      </w:pPr>
      <w:r>
        <w:rPr>
          <w:rFonts w:ascii="Times New Roman" w:hAnsi="Times New Roman" w:eastAsia="Times New Roman" w:cs="Times New Roman"/>
        </w:rPr>
        <w:t>“Wale ambao Mungu amewatuma wakiwa na ujumbe ni wanadamu tu, lakini tabia ya ujumbe wanaoubeba ni ipi? Je, mtathubutu kuugeukia kisogo, au kuufanya kuwa jambo jepesi, maonyo hayo, kwa sababu Mungu hakuwashauri ninyi kuhusu kile ambacho kingependelewa? Mungu huwaita watu watakaonena, watakaopaza sauti na kutosita. Mungu amewainua wajumbe wake ili wafanye kazi yake kwa wakati huu. Wengine wameugeukia mbali ujumbe wa haki ya Kristo ili kuwakosoa watu hao na kutokamilika kwao, kwa sababu hawatangazi ujumbe wa kweli kwa neema na ustaarabu wote unaotamanika. Wana bidii nyingi mno, wako na juhudi nyingi mno, hunena kwa mkazo mkubwa mno, na hivyo ujumbe ambao ungeleta uponyaji na uzima na faraja kwa roho nyingi zilizochoka na kuonewa, kwa kiasi fulani, hutengwa; kwa maana kadiri watu wenye mvuto wanavyozifunga mioyo yao wenyewe na kuyaweka mapenzi yao wenyewe kinyume na yale ambayo Mungu amesema, ndivyo watakavyotafuta kuuondoa mwanga huo kwa wale ambao wamekuwa wakitamani na kuomba nuru na nguvu ihuishayo. Kristo ameandika maneno yote magumu, ya kiburi, na ya dhihaka yaliyosemwa dhidi ya watumishi wake kana kwamba yamesemwa dhidi yake mwenyewe.</w:t>
      </w:r>
    </w:p>
    <w:p>
      <w:pPr>
        <w:pStyle w:val="ArticleScripture"/>
        <w:jc w:val="left"/>
      </w:pPr>
      <w:r>
        <w:rPr>
          <w:rFonts w:ascii="Times New Roman" w:hAnsi="Times New Roman" w:eastAsia="Times New Roman" w:cs="Times New Roman"/>
        </w:rPr>
        <w:t>“Kwa molaetsa wa lengeloi la boraro go ka se kwešišwe, seetša seo se tlago go boneša lefase ka letago la sona se tla bitšwa seetša sa maaka ke bao ba ganago go sepela ka letagong la sona le le tšwelago pele. Mošomo wo o ka bego o dirilwe o tla tlogelwa o sa dirwa ke ba ba ganetšago therešo, ka baka la go se dumele ga bona. Re a le lopa lena bao le ganetšanago le seetša sa therešo, gore le tloge tseleng ya batho ba Modimo. A seetša se se rometšwego ke Legodimo se ba bonelele ka mahlasedi a go hlaka le a sa šišinyegego. Modimo o le swara lena bao seetša se se le fihletšego, le ikarabela ka mokgwa wo le se dirišago ka wona. Bao ba ka se kwego ba tla swarwa ba ikarabela; gobane therešo e be e begilwe moo ba bego ba ka e fihlelela, eupša ba nyatša menyetla le ditokelo tša bona. Melaetša ye e rwetšego bohlatse bja bomodimo e rometšwe go batho ba Modimo; letago, bogolo, tokologo ya Kriste, tše di tletšego botho le therešo, di beilwe pele; botlalo bja Bomodimo ka go Jesu Kriste bo beilwe pele gare ga rena ka botse le ka bogahlego bjo bo gogago, gore bo goketše bohle bao dipelo tša bona di sego tša tswalelwa ka kgethollo. Re a tseba gore Modimo o dirile gare ga rena. Re bone meoya e retologela go tloga sebeng go ya tokologong. Re bone tumelo e tsošološwa ka dipelong tša ba ba ikokobeditšego. Na re tla swana le balephera ba ba hlwekišitšwego bao ba ilego ba tšwela pele ka tsela ya bona, gomme a boa yo motee fela go tumiša Modimo? A re kaone re bolele ka botho bja gagwe, gomme re rete Modimo ka pelo, ka pene, le ka lentšu.” Review and Herald, May 27, 1890.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Lima Puluh Lima</dc:title>
  <dc:subject>Ho Senola Lesela la Boprofeta: Tshenolo ya Gabriele ho Daniele</dc:subject>
  <dc:creator>Jeff Pippenger</dc:creator>
  <cp:keywords/>
  <dc:description>Generated by ArticleDigger from daniel\55_daniel.json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