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ni Daniel — Bilangan Enam Puluh Lima</w:t>
      </w:r>
    </w:p>
    <w:p>
      <w:pPr>
        <w:pStyle w:val="ArticleSubtitle"/>
        <w:jc w:val="left"/>
      </w:pPr>
      <w:r>
        <w:rPr>
          <w:rFonts w:ascii="Arial" w:hAnsi="Arial" w:eastAsia="Arial" w:cs="Arial"/>
        </w:rPr>
        <w:t>Penyingkapan Nubuat: Memahami Kekecewaan 18 Juli 2020 dan Terbukanya Pekabaran Seruan Tengah Malam pada Hari-hari Terakhir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Pada 18 Julai 2020, kekecewaan yang pertama bagi pergerakan reformatori akhir zaman Tuhan telah tiba. Hal itu menandai suatu penanda jalan dalam sejarah Celaka yang ketiga, iaitu sejarah hujan akhir, dan juga sejarah pemeteraian seratus empat puluh empat ribu. Sejarah itu telah dilambangkan oleh setiap pergerakan reformatori dalam sejarah suci, dan secara lebih khusus dilambangkan oleh sejarah pergerakan Millerite, serta diilustrasikan oleh perumpamaan sepuluh dara, dan ia mewakili sejarah nubuatan yang dikenal pasti oleh setiap nabi.</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តំណាងឲ្យការខកចិត្តលើកដំបូងរបស់ចលនា</w:t>
      </w:r>
      <w:r>
        <w:rPr>
          <w:rFonts w:ascii="Times New Roman" w:hAnsi="Times New Roman" w:eastAsia="Times New Roman" w:cs="Times New Roman"/>
        </w:rPr>
        <w:t xml:space="preserve"> </w:t>
      </w:r>
      <w:r>
        <w:rPr>
          <w:rFonts w:ascii="Leelawadee UI" w:hAnsi="Leelawadee UI" w:eastAsia="Leelawadee UI" w:cs="Leelawadee UI"/>
        </w:rPr>
        <w:t>ហើយដូច្នេះ</w:t>
      </w:r>
      <w:r>
        <w:rPr>
          <w:rFonts w:ascii="Times New Roman" w:hAnsi="Times New Roman" w:eastAsia="Times New Roman" w:cs="Times New Roman"/>
        </w:rPr>
        <w:t xml:space="preserve"> </w:t>
      </w:r>
      <w:r>
        <w:rPr>
          <w:rFonts w:ascii="Leelawadee UI" w:hAnsi="Leelawadee UI" w:eastAsia="Leelawadee UI" w:cs="Leelawadee UI"/>
        </w:rPr>
        <w:t>វាសម្គាល់ការមកដល់នៃពេលពន្យារនៅក្នុងរឿងប្រៀបធៀបអំពីព្រហ្មចារីដប់នាក់</w:t>
      </w:r>
      <w:r>
        <w:rPr>
          <w:rFonts w:ascii="Times New Roman" w:hAnsi="Times New Roman" w:eastAsia="Times New Roman" w:cs="Times New Roman"/>
        </w:rPr>
        <w:t xml:space="preserve"> </w:t>
      </w:r>
      <w:r>
        <w:rPr>
          <w:rFonts w:ascii="Leelawadee UI" w:hAnsi="Leelawadee UI" w:eastAsia="Leelawadee UI" w:cs="Leelawadee UI"/>
        </w:rPr>
        <w:t>និងសៀវភៅហាបាគុក។</w:t>
      </w:r>
      <w:r>
        <w:rPr>
          <w:rFonts w:ascii="Times New Roman" w:hAnsi="Times New Roman" w:eastAsia="Times New Roman" w:cs="Times New Roman"/>
        </w:rPr>
        <w:t xml:space="preserve"> </w:t>
      </w:r>
      <w:r>
        <w:rPr>
          <w:rFonts w:ascii="Leelawadee UI" w:hAnsi="Leelawadee UI" w:eastAsia="Leelawadee UI" w:cs="Leelawadee UI"/>
        </w:rPr>
        <w:t>ក្នុងប្រវត្តិសាស្ត្ររបស់ពួក</w:t>
      </w:r>
      <w:r>
        <w:rPr>
          <w:rFonts w:ascii="Times New Roman" w:hAnsi="Times New Roman" w:eastAsia="Times New Roman" w:cs="Times New Roman"/>
        </w:rPr>
        <w:t xml:space="preserve"> Millerite </w:t>
      </w:r>
      <w:r>
        <w:rPr>
          <w:rFonts w:ascii="Leelawadee UI" w:hAnsi="Leelawadee UI" w:eastAsia="Leelawadee UI" w:cs="Leelawadee UI"/>
        </w:rPr>
        <w:t>ភស្តុតាងដដែលដែលបាននាំឲ្យពួកគេប្រកាសដោយខុសឆ្គង</w:t>
      </w:r>
      <w:r>
        <w:rPr>
          <w:rFonts w:ascii="Times New Roman" w:hAnsi="Times New Roman" w:eastAsia="Times New Roman" w:cs="Times New Roman"/>
        </w:rPr>
        <w:t xml:space="preserve"> </w:t>
      </w:r>
      <w:r>
        <w:rPr>
          <w:rFonts w:ascii="Leelawadee UI" w:hAnsi="Leelawadee UI" w:eastAsia="Leelawadee UI" w:cs="Leelawadee UI"/>
        </w:rPr>
        <w:t>ត្រូវបានឃើញថាបញ្ជាក់កាលបរិច្ឆេទពិត។</w:t>
      </w:r>
      <w:r>
        <w:rPr>
          <w:rFonts w:ascii="Times New Roman" w:hAnsi="Times New Roman" w:eastAsia="Times New Roman" w:cs="Times New Roman"/>
        </w:rPr>
        <w:t xml:space="preserve"> </w:t>
      </w:r>
      <w:r>
        <w:rPr>
          <w:rFonts w:ascii="Leelawadee UI" w:hAnsi="Leelawadee UI" w:eastAsia="Leelawadee UI" w:cs="Leelawadee UI"/>
        </w:rPr>
        <w:t>ពេលពន្យារនៃរឿងប្រៀបធៀបអំពីព្រហ្មចារីដប់នាក់</w:t>
      </w:r>
      <w:r>
        <w:rPr>
          <w:rFonts w:ascii="Times New Roman" w:hAnsi="Times New Roman" w:eastAsia="Times New Roman" w:cs="Times New Roman"/>
        </w:rPr>
        <w:t xml:space="preserve"> </w:t>
      </w:r>
      <w:r>
        <w:rPr>
          <w:rFonts w:ascii="Leelawadee UI" w:hAnsi="Leelawadee UI" w:eastAsia="Leelawadee UI" w:cs="Leelawadee UI"/>
        </w:rPr>
        <w:t>បន្ទាប់មកត្រូវបានឃើញថាជាសេចក្តីពិតសម្រាប់បច្ចុប្បន្ន</w:t>
      </w:r>
      <w:r>
        <w:rPr>
          <w:rFonts w:ascii="Times New Roman" w:hAnsi="Times New Roman" w:eastAsia="Times New Roman" w:cs="Times New Roman"/>
        </w:rPr>
        <w:t xml:space="preserve"> </w:t>
      </w:r>
      <w:r>
        <w:rPr>
          <w:rFonts w:ascii="Leelawadee UI" w:hAnsi="Leelawadee UI" w:eastAsia="Leelawadee UI" w:cs="Leelawadee UI"/>
        </w:rPr>
        <w:t>ហើយពេលពន្យារនោះក៏ជាពេលពន្យារដដែលនៅក្នុងហាបាគុក</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2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រឿងប្រៀបធៀបអំពីព្រហ្មចារីដប់នាក់</w:t>
      </w:r>
      <w:r>
        <w:rPr>
          <w:rFonts w:ascii="Times New Roman" w:hAnsi="Times New Roman" w:eastAsia="Times New Roman" w:cs="Times New Roman"/>
        </w:rPr>
        <w:t xml:space="preserve"> </w:t>
      </w:r>
      <w:r>
        <w:rPr>
          <w:rFonts w:ascii="Leelawadee UI" w:hAnsi="Leelawadee UI" w:eastAsia="Leelawadee UI" w:cs="Leelawadee UI"/>
        </w:rPr>
        <w:t>ត្រូវបានធ្វើឡើងម្តងទៀតយ៉ាងត្រឹមត្រូវគ្រប់អក្សរ</w:t>
      </w:r>
      <w:r>
        <w:rPr>
          <w:rFonts w:ascii="Times New Roman" w:hAnsi="Times New Roman" w:eastAsia="Times New Roman" w:cs="Times New Roman"/>
        </w:rPr>
        <w:t xml:space="preserve"> </w:t>
      </w:r>
      <w:r>
        <w:rPr>
          <w:rFonts w:ascii="Leelawadee UI" w:hAnsi="Leelawadee UI" w:eastAsia="Leelawadee UI" w:cs="Leelawadee UI"/>
        </w:rPr>
        <w:t>ហើយសេចក្តីពិតនោះបញ្ជាក់ថា</w:t>
      </w:r>
      <w:r>
        <w:rPr>
          <w:rFonts w:ascii="Times New Roman" w:hAnsi="Times New Roman" w:eastAsia="Times New Roman" w:cs="Times New Roman"/>
        </w:rPr>
        <w:t xml:space="preserve"> </w:t>
      </w:r>
      <w:r>
        <w:rPr>
          <w:rFonts w:ascii="Leelawadee UI" w:hAnsi="Leelawadee UI" w:eastAsia="Leelawadee UI" w:cs="Leelawadee UI"/>
        </w:rPr>
        <w:t>មានតែអ្នកដែលបានពាក់ព័ន្ធនឹងការខកចិត្តនោះប៉ុណ្ណោះ</w:t>
      </w:r>
      <w:r>
        <w:rPr>
          <w:rFonts w:ascii="Times New Roman" w:hAnsi="Times New Roman" w:eastAsia="Times New Roman" w:cs="Times New Roman"/>
        </w:rPr>
        <w:t xml:space="preserve"> </w:t>
      </w:r>
      <w:r>
        <w:rPr>
          <w:rFonts w:ascii="Leelawadee UI" w:hAnsi="Leelawadee UI" w:eastAsia="Leelawadee UI" w:cs="Leelawadee UI"/>
        </w:rPr>
        <w:t>ដែលជាបេក្ខជនអាចក្លាយជាព្រហ្មចារីមានប្រាជ្ញា</w:t>
      </w:r>
      <w:r>
        <w:rPr>
          <w:rFonts w:ascii="Times New Roman" w:hAnsi="Times New Roman" w:eastAsia="Times New Roman" w:cs="Times New Roman"/>
        </w:rPr>
        <w:t xml:space="preserve"> </w:t>
      </w:r>
      <w:r>
        <w:rPr>
          <w:rFonts w:ascii="Leelawadee UI" w:hAnsi="Leelawadee UI" w:eastAsia="Leelawadee UI" w:cs="Leelawadee UI"/>
        </w:rPr>
        <w:t>ឬព្រហ្មចារីល្ងង់។</w:t>
      </w:r>
    </w:p>
    <w:p>
      <w:pPr>
        <w:pStyle w:val="ArticleBody"/>
        <w:jc w:val="left"/>
      </w:pPr>
      <w:r>
        <w:rPr>
          <w:rFonts w:ascii="Times New Roman" w:hAnsi="Times New Roman" w:eastAsia="Times New Roman" w:cs="Times New Roman"/>
        </w:rPr>
        <w:t>Badan besar Adventisme Laodikia telah diuji oleh tibanya Malapetaka ketiga pada 11 September 2001, dan ketika ramalan yang gagal pada 18 Juli 2020 berlalu, Adventisme Laodikia tertinggal untuk hanyut tanpa tujuan kembali menuju Roma, sebagaimana halnya kaum Protestan dalam sejarah Millerit.</w:t>
      </w:r>
    </w:p>
    <w:p>
      <w:pPr>
        <w:pStyle w:val="ArticleBody"/>
        <w:jc w:val="left"/>
      </w:pPr>
      <w:r>
        <w:rPr>
          <w:rFonts w:ascii="Times New Roman" w:hAnsi="Times New Roman" w:eastAsia="Times New Roman" w:cs="Times New Roman"/>
        </w:rPr>
        <w:t>Milleriteng angkhi ni hringfiah kha, tawngta deuh hun chu nula sawm tehthluk thuin a famkimna a nih tih an hmu a; chu bakah Habakkuk-ah chuan, hmuhtîr lohna hun a tawngta mah se, hmuhtîrna lo nghâk tûra thupêk chu zâwlnei lam hriatpuina hmun thuhmun a nih tih an hmu bawk. Chutichuan Habakkuk chuan, hmuhtîrna dik lo taka an lo sawi chhuah a, chumi avângin thil beidawnna hmasa a thlen tawh kha, hmuhtîrna “sawi” tûr chu tâwpnaah a nih tih a nemnghet leh a ni.</w:t>
      </w:r>
    </w:p>
    <w:p>
      <w:pPr>
        <w:pStyle w:val="ArticleScripture"/>
        <w:jc w:val="left"/>
      </w:pPr>
      <w:r>
        <w:rPr>
          <w:rFonts w:ascii="Times New Roman" w:hAnsi="Times New Roman" w:eastAsia="Times New Roman" w:cs="Times New Roman"/>
        </w:rPr>
        <w:t>Sebab penglihatan itu masih menunggu waktu yang telah ditetapkan, tetapi pada akhirnya ia akan berbicara, dan tidak berdusta; sekalipun ia berlambat-lambat, nantikanlah itu; karena itu pasti akan datang, itu tidak akan berlambat-lambat. Habakuk 2:3.</w:t>
      </w:r>
    </w:p>
    <w:p>
      <w:pPr>
        <w:pStyle w:val="ArticleBody"/>
        <w:jc w:val="left"/>
      </w:pPr>
      <w:r>
        <w:rPr>
          <w:rFonts w:ascii="Times New Roman" w:hAnsi="Times New Roman" w:eastAsia="Times New Roman" w:cs="Times New Roman"/>
        </w:rPr>
        <w:t>Mula o rerileng maswabi a ntlha e ne e le molaetsa one oo o neng o tshwanetse go lemogiwa gore o tla diragadiwa mo isagong e e gaufi, mme e ne e sa ntse e le molaetsa o o neng o theilwe mo dikganetsanong tsa boporofeti tsa pele tse di neng tsa dirisiwa mo kitsong ya ntlha e e phoso.</w:t>
      </w:r>
    </w:p>
    <w:p>
      <w:pPr>
        <w:pStyle w:val="ArticleBody"/>
        <w:jc w:val="left"/>
      </w:pPr>
      <w:r>
        <w:rPr>
          <w:rFonts w:ascii="Microsoft YaHei" w:hAnsi="Microsoft YaHei" w:eastAsia="Microsoft YaHei" w:cs="Microsoft YaHei"/>
        </w:rPr>
        <w:t>史密斯運動的歷史中</w:t>
      </w:r>
      <w:r>
        <w:rPr>
          <w:rFonts w:ascii="Times New Roman" w:hAnsi="Times New Roman" w:eastAsia="Times New Roman" w:cs="Times New Roman"/>
        </w:rPr>
        <w:t>,</w:t>
      </w:r>
      <w:r>
        <w:rPr>
          <w:rFonts w:ascii="Microsoft YaHei" w:hAnsi="Microsoft YaHei" w:eastAsia="Microsoft YaHei" w:cs="Microsoft YaHei"/>
        </w:rPr>
        <w:t>前約的子民先受試驗</w:t>
      </w:r>
      <w:r>
        <w:rPr>
          <w:rFonts w:ascii="Times New Roman" w:hAnsi="Times New Roman" w:eastAsia="Times New Roman" w:cs="Times New Roman"/>
        </w:rPr>
        <w:t>,</w:t>
      </w:r>
      <w:r>
        <w:rPr>
          <w:rFonts w:ascii="Microsoft YaHei" w:hAnsi="Microsoft YaHei" w:eastAsia="Microsoft YaHei" w:cs="Microsoft YaHei"/>
        </w:rPr>
        <w:t>其後新約的子民也受試驗</w:t>
      </w:r>
      <w:r>
        <w:rPr>
          <w:rFonts w:ascii="Times New Roman" w:hAnsi="Times New Roman" w:eastAsia="Times New Roman" w:cs="Times New Roman"/>
        </w:rPr>
        <w:t>.</w:t>
      </w:r>
      <w:r>
        <w:rPr>
          <w:rFonts w:ascii="Microsoft YaHei" w:hAnsi="Microsoft YaHei" w:eastAsia="Microsoft YaHei" w:cs="Microsoft YaHei"/>
        </w:rPr>
        <w:t>對更正教徒而言</w:t>
      </w:r>
      <w:r>
        <w:rPr>
          <w:rFonts w:ascii="Times New Roman" w:hAnsi="Times New Roman" w:eastAsia="Times New Roman" w:cs="Times New Roman"/>
        </w:rPr>
        <w:t>,</w:t>
      </w:r>
      <w:r>
        <w:rPr>
          <w:rFonts w:ascii="Microsoft YaHei" w:hAnsi="Microsoft YaHei" w:eastAsia="Microsoft YaHei" w:cs="Microsoft YaHei"/>
        </w:rPr>
        <w:t>這項試驗始於啟示錄第十章的第一位天使與啟示錄第十四章的第一位天使（因他們乃是同一位天使）於</w:t>
      </w:r>
      <w:r>
        <w:rPr>
          <w:rFonts w:ascii="Times New Roman" w:hAnsi="Times New Roman" w:eastAsia="Times New Roman" w:cs="Times New Roman"/>
        </w:rPr>
        <w:t>1840</w:t>
      </w:r>
      <w:r>
        <w:rPr>
          <w:rFonts w:ascii="Microsoft YaHei" w:hAnsi="Microsoft YaHei" w:eastAsia="Microsoft YaHei" w:cs="Microsoft YaHei"/>
        </w:rPr>
        <w:t>年</w:t>
      </w:r>
      <w:r>
        <w:rPr>
          <w:rFonts w:ascii="Times New Roman" w:hAnsi="Times New Roman" w:eastAsia="Times New Roman" w:cs="Times New Roman"/>
        </w:rPr>
        <w:t>8</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日降臨之時</w:t>
      </w:r>
      <w:r>
        <w:rPr>
          <w:rFonts w:ascii="Times New Roman" w:hAnsi="Times New Roman" w:eastAsia="Times New Roman" w:cs="Times New Roman"/>
        </w:rPr>
        <w:t>.</w:t>
      </w:r>
      <w:r>
        <w:rPr>
          <w:rFonts w:ascii="Microsoft YaHei" w:hAnsi="Microsoft YaHei" w:eastAsia="Microsoft YaHei" w:cs="Microsoft YaHei"/>
        </w:rPr>
        <w:t>他們的試驗則在第一次失望之際</w:t>
      </w:r>
      <w:r>
        <w:rPr>
          <w:rFonts w:ascii="Times New Roman" w:hAnsi="Times New Roman" w:eastAsia="Times New Roman" w:cs="Times New Roman"/>
        </w:rPr>
        <w:t>,</w:t>
      </w:r>
      <w:r>
        <w:rPr>
          <w:rFonts w:ascii="Microsoft YaHei" w:hAnsi="Microsoft YaHei" w:eastAsia="Microsoft YaHei" w:cs="Microsoft YaHei"/>
        </w:rPr>
        <w:t>並隨著啟示錄第十四章第二位天使的來到而告終</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Dalam sejarah Millerite, ujian bagi orang-orang Millerite bermula dengan kedatangan malaikat kedua pada kekecewaan yang pertama dan berakhir dengan kedatangan Seruan Tengah Malam, yang digambarkan oleh Sister White sebagai sekumpulan besar malaikat yang bergabung dengan malaikat kedua itu. Di bawah kuasa Roh Kudus, orang-orang Millerite yang mengenal dan menerima pekabaran Seruan Tengah Malam itu kemudian dipisahkan daripada orang-orang Millerite yang tidak mengenal pekabaran yang sedang turun di sekeliling mereka. Pada 22 Oktober 1844, malaikat ketiga datang, dan penglihatan yang telah bertangguh itu pun berbicara.</w:t>
      </w:r>
    </w:p>
    <w:p>
      <w:pPr>
        <w:pStyle w:val="ArticleBody"/>
        <w:jc w:val="left"/>
      </w:pPr>
      <w:r>
        <w:rPr>
          <w:rFonts w:ascii="Times New Roman" w:hAnsi="Times New Roman" w:eastAsia="Times New Roman" w:cs="Times New Roman"/>
        </w:rPr>
        <w:t>Sa historiya han pagtimri han usa ka gatos ngan kap-atan kag upat ka yukot, an katawohan han una nga tugon amo anay an ginsarihan, katapos an katawohan han bag-o nga tugon. An pagsari nagtikang para han Laodicean Adventism han an siyahan nga tingog han anghel han Revelation dieciocho ngan han ikatulo nga anghel han Revelation katorse (kay amo hira an amo la gihapon nga anghel), linusad han Septyembre 11, 2001. An ira pagsari nagtapos pinaagi han kapakyasan han Hulyo 18, 2020.</w:t>
      </w:r>
    </w:p>
    <w:p>
      <w:pPr>
        <w:pStyle w:val="ArticleBody"/>
        <w:jc w:val="left"/>
      </w:pPr>
      <w:r>
        <w:rPr>
          <w:rFonts w:ascii="Times New Roman" w:hAnsi="Times New Roman" w:eastAsia="Times New Roman" w:cs="Times New Roman"/>
        </w:rPr>
        <w:t>Ka miawpathum palikna sakaripa, a testna pakhatza sangli sawmli pali chunga a tan chu beidawnna hmasa lo kalna atangin a tan a ni a, zanlai auhna thuchah lo thlennain a tawp ang. Thlarau Thianghlim thiltihtheihna hnuaiah, tuniha zanlai auhna thuchah hriat chhuaka pawmte chu, tuna an chheh vêl zawnga a rawn tla mêk thuchah hrang hrang hriat lo leh pawm lo mi âtthlakte leh sualmiten atangin an then hran a ni ang.</w:t>
      </w:r>
    </w:p>
    <w:p>
      <w:pPr>
        <w:pStyle w:val="ArticleBody"/>
        <w:jc w:val="left"/>
      </w:pPr>
      <w:r>
        <w:rPr>
          <w:rFonts w:ascii="Times New Roman" w:hAnsi="Times New Roman" w:eastAsia="Times New Roman" w:cs="Times New Roman"/>
        </w:rPr>
        <w:t>Pada undang-undang hari Minggu yang segera akan datang, “suara” kedua dari malaikat Wahyu delapan belas berbicara, yang juga merupakan penglihatan yang “tertunda” itu berbicara. Ini juga melambangkan pekabaran malaikat ketiga yang “mengembang” menjadi seruan nyaring.</w:t>
      </w:r>
    </w:p>
    <w:p>
      <w:pPr>
        <w:pStyle w:val="ArticleBody"/>
        <w:jc w:val="left"/>
      </w:pPr>
      <w:r>
        <w:rPr>
          <w:rFonts w:ascii="Times New Roman" w:hAnsi="Times New Roman" w:eastAsia="Times New Roman" w:cs="Times New Roman"/>
        </w:rPr>
        <w:t>Laungan Tengah Malam digambarkan sebagai banyak malaikat yang bergabung dengan malaikat sebelumnya. Pekabaran Laungan Tengah Malam mempunyai beberapa unsur yang menyumbang kepada keseluruhan pekabaran itu, dan malaikat merupakan lambang bagi pekabaran. Dalam sejarah Millerit, perintis yang dikenal pasti sebagai yang memimpin dalam menghimpunkan pekabaran Laungan Tengah Malam yang benar ialah Samuel S. Snow. Dalam sejarah itu didokumentasikan dengan jelas bahawa pemahaman Snow tentang pekabaran Laungan Tengah Malam berkembang dalam suatu jangka waktu.</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अक्षरशः</w:t>
      </w:r>
      <w:r>
        <w:rPr>
          <w:rFonts w:ascii="Times New Roman" w:hAnsi="Times New Roman" w:eastAsia="Times New Roman" w:cs="Times New Roman"/>
        </w:rPr>
        <w:t xml:space="preserve"> </w:t>
      </w:r>
      <w:r>
        <w:rPr>
          <w:rFonts w:ascii="Nirmala UI" w:hAnsi="Nirmala UI" w:eastAsia="Nirmala UI" w:cs="Nirmala UI"/>
        </w:rPr>
        <w:t>दोहोरिन्छ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कराइको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अन्त्यदेखि</w:t>
      </w:r>
      <w:r>
        <w:rPr>
          <w:rFonts w:ascii="Times New Roman" w:hAnsi="Times New Roman" w:eastAsia="Times New Roman" w:cs="Times New Roman"/>
        </w:rPr>
        <w:t xml:space="preserve"> </w:t>
      </w:r>
      <w:r>
        <w:rPr>
          <w:rFonts w:ascii="Nirmala UI" w:hAnsi="Nirmala UI" w:eastAsia="Nirmala UI" w:cs="Nirmala UI"/>
        </w:rPr>
        <w:t>सार्वजनिक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विकसित</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यसमा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यसमा</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दुवैले</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मार्फत</w:t>
      </w:r>
      <w:r>
        <w:rPr>
          <w:rFonts w:ascii="Times New Roman" w:hAnsi="Times New Roman" w:eastAsia="Times New Roman" w:cs="Times New Roman"/>
        </w:rPr>
        <w:t xml:space="preserve"> </w:t>
      </w:r>
      <w:r>
        <w:rPr>
          <w:rFonts w:ascii="Nirmala UI" w:hAnsi="Nirmala UI" w:eastAsia="Nirmala UI" w:cs="Nirmala UI"/>
        </w:rPr>
        <w:t>जान्छन्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सातमध्येबाट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पहेलीलाई</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यसमा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गर्जनको</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प्रकाशनहरू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ढुङ्गा</w:t>
      </w:r>
      <w:r>
        <w:rPr>
          <w:rFonts w:ascii="Times New Roman" w:hAnsi="Times New Roman" w:eastAsia="Times New Roman" w:cs="Times New Roman"/>
        </w:rPr>
        <w:t>”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बनेको</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पहेलीलाई</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लेवीय</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छब्बीसको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पल्ट</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खोलिएका</w:t>
      </w:r>
      <w:r>
        <w:rPr>
          <w:rFonts w:ascii="Times New Roman" w:hAnsi="Times New Roman" w:eastAsia="Times New Roman" w:cs="Times New Roman"/>
        </w:rPr>
        <w:t xml:space="preserve"> </w:t>
      </w:r>
      <w:r>
        <w:rPr>
          <w:rFonts w:ascii="Nirmala UI" w:hAnsi="Nirmala UI" w:eastAsia="Nirmala UI" w:cs="Nirmala UI"/>
        </w:rPr>
        <w:t>सत्यहरूसँगै</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सत्यहरूलाई</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धागो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भजनकारले</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भन्छन्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Koṱi ye vhafari vho i landula, yo no vha tombo ḽa ṱhoho ḽa khoneni. Izi ndi zwe Yehova a zwi ita; zwi a mangadza maṱoni ashu. Ḽino ndi ḓuvha ḽe Yehova a ḽi ita; ri ḓo takala, ra farisa khatsho. Psalme 118:22–24.</w:t>
      </w:r>
    </w:p>
    <w:p>
      <w:pPr>
        <w:pStyle w:val="ArticleBody"/>
        <w:jc w:val="left"/>
      </w:pPr>
      <w:r>
        <w:rPr>
          <w:rFonts w:ascii="Times New Roman" w:hAnsi="Times New Roman" w:eastAsia="Times New Roman" w:cs="Times New Roman"/>
        </w:rPr>
        <w:t>“Batu” itu, yang merupakan “permata” pertama yang ditemui oleh William Miller (dan permata ialah batu), ialah “hari yang telah dijadikan TUHAN.” Telah ditunjukkan dalam rencana-rencana terdahulu bahawa susunan serta kata-kata hukum Sabat adalah sepadan dengan susunan kitaran suci tujuh, sebagaimana dikemukakan dalam Imamat pasal dua puluh lima. Perhentian pada hari ketujuh melambangkan tanah beristirahat pada tahun ketujuh, dan apabila kedua-dua hukum itu dipertimbangkan dengan cara ini, keduanya memberikan kesaksian bahawa satu hari melambangkan satu tahun dalam nubuat Alkitab.</w:t>
      </w:r>
    </w:p>
    <w:p>
      <w:pPr>
        <w:pStyle w:val="ArticleBody"/>
        <w:jc w:val="left"/>
      </w:pPr>
      <w:r>
        <w:rPr>
          <w:rFonts w:ascii="Times New Roman" w:hAnsi="Times New Roman" w:eastAsia="Times New Roman" w:cs="Times New Roman"/>
        </w:rPr>
        <w:t>Mereka juga menunjukkan bahwa pemahaman yang diberitakan oleh Miller mengenai murka Allah selama “tujuh masa,” dalam Imamat dua puluh enam, dilambangkan sebagai “satu hari”, karena Tuhan telah menetapkan siklus kudus tujuh tahun, sama pastinya seperti Ia menjadikan langit dan bumi dalam enam hari, lalu beristirahat pada hari yang ketujuh.</w:t>
      </w:r>
    </w:p>
    <w:p>
      <w:pPr>
        <w:pStyle w:val="ArticleBody"/>
        <w:jc w:val="left"/>
      </w:pPr>
      <w:r>
        <w:rPr>
          <w:rFonts w:ascii="Times New Roman" w:hAnsi="Times New Roman" w:eastAsia="Times New Roman" w:cs="Times New Roman"/>
        </w:rPr>
        <w:t>Apabila Yesus mengakhiri perumpamaan tentang kebun anggur itu, Dia mengajukan satu pertanyaan kepada orang-orang Farisi.</w:t>
      </w:r>
    </w:p>
    <w:p>
      <w:pPr>
        <w:pStyle w:val="ArticleScripture"/>
        <w:jc w:val="left"/>
      </w:pPr>
      <w:r>
        <w:rPr>
          <w:rFonts w:ascii="Times New Roman" w:hAnsi="Times New Roman" w:eastAsia="Times New Roman" w:cs="Times New Roman"/>
        </w:rPr>
        <w:t>Ngakho-ke, lapho inkosi yesivini ifika, iyakubenzani labo balimi? Bathi kuye: Iyakubabhubhisa kabuhlungu labo bantu ababi, bese iqashisa isivini sayo kwabanye abalimi, abayakuyibuyisela izithelo ngezikhathi zazo. UJesu wathi kubo: Anikaze yini nifunde emibhalweni ukuthi: Itshe abalakhi abalalayo, yilo elenziwe laba yinhloko yegumbi; lokhu kwenziwe yiNkosi, futhi kuyamangalisa emehlweni ethu? Ngakho-ke ngithi kini: Umbuso kaNkulunkulu uyakususwa kini, unikwe isizwe esithela izithelo zawo. Futhi lowo nalowo oyakuwa phezu kwaleli tshe uyakwephulwa; kodwa lowo oyakuwa phezu kwakhe, liyamchoboza abe uthuli. Kwathi lapho abapristi abakhulu nabaFarisi bezwile imifanekiso yakhe, baqonda ukuthi wayekhuluma ngabo. Mathewu 21:40–45.</w:t>
      </w:r>
    </w:p>
    <w:p>
      <w:pPr>
        <w:pStyle w:val="ArticleBody"/>
        <w:jc w:val="left"/>
      </w:pPr>
      <w:r>
        <w:rPr>
          <w:rFonts w:ascii="Times New Roman" w:hAnsi="Times New Roman" w:eastAsia="Times New Roman" w:cs="Times New Roman"/>
        </w:rPr>
        <w:t>Ke kgang ya sekai sa tshimo ya merara ke kgang ya batho ba pele ba ba tlhophilweng ba tlogelwa, mme bogosi bo newa batho ba basha ba ba tlhophilweng. “Leje” le le neng la ganwa, go ya ka Jesu, ke “leje” le le ka bolokang kgotsa la senya, go ikaegile ka fa le amogelwang ka teng. “Leje” leo le tshwanetse go bo e le boammaaruri jwa Baebele mo tirisong e Jesu a bo dirisang mo go yone, gonne le na le bokgoni jwa go ungwisa maungo a tshiamo, mme tshiamo ya ga Keresete e tlhagisiwa fela mo banneng le mo basading fa ba amogela Lefoko la gagwe la boammaaruri.</w:t>
      </w:r>
    </w:p>
    <w:p>
      <w:pPr>
        <w:pStyle w:val="ArticleScripture"/>
        <w:jc w:val="left"/>
      </w:pPr>
      <w:r>
        <w:rPr>
          <w:rFonts w:ascii="Times New Roman" w:hAnsi="Times New Roman" w:eastAsia="Times New Roman" w:cs="Times New Roman"/>
        </w:rPr>
        <w:t>Ba halaletse ka ’nete ea hao; lentsoe la hao ke ’nete. Johanne 17:17.</w:t>
      </w:r>
    </w:p>
    <w:p>
      <w:pPr>
        <w:pStyle w:val="ArticleBody"/>
        <w:jc w:val="left"/>
      </w:pPr>
      <w:r>
        <w:rPr>
          <w:rFonts w:ascii="Times New Roman" w:hAnsi="Times New Roman" w:eastAsia="Times New Roman" w:cs="Times New Roman"/>
        </w:rPr>
        <w:t>“Batu” itu ialah suatu doktrin yang sama ada diterima atau ditolak, dan Yesus ialah Firman, dan dalam kitab Kisah Para Rasul, Petrus mengenal pasti “batu” itu sebagai Kristus.</w:t>
      </w:r>
    </w:p>
    <w:p>
      <w:pPr>
        <w:pStyle w:val="ArticleScripture"/>
        <w:jc w:val="left"/>
      </w:pPr>
      <w:r>
        <w:rPr>
          <w:rFonts w:ascii="Times New Roman" w:hAnsi="Times New Roman" w:eastAsia="Times New Roman" w:cs="Times New Roman"/>
        </w:rPr>
        <w:t>“Ukutholwa kini nonke, nakubo bonke abantu bako-Israyeli, ukuthi ngegama likaJesu Kristu waseNazaretha, enambethela esiphambanweni nina, lowo uNkulunkulu amvusa kwabafileyo, nguye lo muntu emi phambi kwenu ephilile. Yilo itshe nina bakhi enalidelela, eselibe yinhloko yegumbi. Futhi akukho ukusindiswa ngomunye; ngoba alikho elinye igama phansi kwezulu elinikiweyo phakathi kwabantu, esingasindiswa ngalo.” IzEnzo 4:10–12.</w:t>
      </w:r>
    </w:p>
    <w:p>
      <w:pPr>
        <w:pStyle w:val="ArticleBody"/>
        <w:jc w:val="left"/>
      </w:pPr>
      <w:r>
        <w:rPr>
          <w:rFonts w:ascii="Times New Roman" w:hAnsi="Times New Roman" w:eastAsia="Times New Roman" w:cs="Times New Roman"/>
        </w:rPr>
        <w:t>Kemudian dalam 1 Petrus, ia membawa simbolisme “batu” itu lebih jauh lagi, namun tetap mengekalkannya dalam konteks yang sama tentang penyingkiran suatu umat perjanjian yang terdahulu dan pemilihan suatu umat pilihan yang baru, yang sebagaimana dinyatakannya, “yang dahulunya bukan suatu umat, tetapi sekarang adalah umat Allah: yang dahulu tidak beroleh belas kasihan, tetapi sekarang telah beroleh belas kasihan.”</w:t>
      </w:r>
    </w:p>
    <w:p>
      <w:pPr>
        <w:pStyle w:val="ArticleScripture"/>
        <w:jc w:val="left"/>
      </w:pPr>
      <w:r>
        <w:rPr>
          <w:rFonts w:ascii="Times New Roman" w:hAnsi="Times New Roman" w:eastAsia="Times New Roman" w:cs="Times New Roman"/>
        </w:rPr>
        <w:t>O! Entu yina woreba ne nkyɛn no, sɛ ɔbo a ote ase, a nnipa po no ampa, na Onyankopɔn ayi no, na ɔsom bo, mo nso, sɛ abo a ate ase, wɔresisi mo ayɛ honhom fie, asɔfokuw kronkron, sɛ mobɔ honhom afɔre a ɛsɔ Onyankopɔn ani, Yesu Kristo so. Enti nso Atwerɛsɛm no ka sɛ, Hwɛ, mede twetwe bo titiriw, afã-twea-bo, a wayi no, a ɔsom bo, reto Sion mu; na nea ogye no di no, anim remmagu no. Enti mo a mugye di no, ɔyɛ ɔsom bo; na wɔn a wontie no de, ɔbo a adansifo no po no, no ara na abɛyɛ afã no ti, ne hintidua bo, ne suntidua botan, mma wɔn a wɔhintiw asɛm no ho, esiane wɔn asoɔden nti; na eyi mu na wɔhyɛɛ wɔn nso. 1 Petro 2:4–8.</w:t>
      </w:r>
    </w:p>
    <w:p>
      <w:pPr>
        <w:pStyle w:val="ArticleBody"/>
        <w:jc w:val="left"/>
      </w:pPr>
      <w:r>
        <w:rPr>
          <w:rFonts w:ascii="Times New Roman" w:hAnsi="Times New Roman" w:eastAsia="Times New Roman" w:cs="Times New Roman"/>
        </w:rPr>
        <w:t>Petrus berkata tentang umat pilihan yang terdahulu, “kepada mereka yang tidak taat, batu yang telah dibuang oleh para pembangun, batu itu telah dijadikan kepala penjuru, dan suatu batu sandungan, dan suatu karang batu yang menjadi batu sentuhan; yaitu bagi mereka yang tersandung pada firman, karena tidak taat: untuk itulah juga mereka telah ditetapkan.”</w:t>
      </w:r>
    </w:p>
    <w:p>
      <w:pPr>
        <w:pStyle w:val="ArticleBody"/>
        <w:jc w:val="left"/>
      </w:pPr>
      <w:r>
        <w:rPr>
          <w:rFonts w:ascii="Times New Roman" w:hAnsi="Times New Roman" w:eastAsia="Times New Roman" w:cs="Times New Roman"/>
        </w:rPr>
        <w:t>Yesu o emediwɔ no ananmu wɔ nnyinaso no ho mfatoho kronkron biara mu.</w:t>
      </w:r>
    </w:p>
    <w:p>
      <w:pPr>
        <w:pStyle w:val="ArticleScripture"/>
        <w:jc w:val="left"/>
      </w:pPr>
      <w:r>
        <w:rPr>
          <w:rFonts w:ascii="Times New Roman" w:hAnsi="Times New Roman" w:eastAsia="Times New Roman" w:cs="Times New Roman"/>
        </w:rPr>
        <w:t>Kerana tiada seorang pun dapat meletakkan dasar lain selain daripada yang telah diletakkan, iaitu Yesus Kristus. 1 Korintus 3:11.</w:t>
      </w:r>
    </w:p>
    <w:p>
      <w:pPr>
        <w:pStyle w:val="ArticleBody"/>
        <w:jc w:val="left"/>
      </w:pPr>
      <w:r>
        <w:rPr>
          <w:rFonts w:ascii="Times New Roman" w:hAnsi="Times New Roman" w:eastAsia="Times New Roman" w:cs="Times New Roman"/>
        </w:rPr>
        <w:t>Akheko buMillerite abakha kuso kwakuli iDwala lamaKhulu (iTje).</w:t>
      </w:r>
    </w:p>
    <w:p>
      <w:pPr>
        <w:pStyle w:val="ArticleScripture"/>
        <w:jc w:val="left"/>
      </w:pPr>
      <w:r>
        <w:rPr>
          <w:rFonts w:ascii="Times New Roman" w:hAnsi="Times New Roman" w:eastAsia="Times New Roman" w:cs="Times New Roman"/>
        </w:rPr>
        <w:t>“Peringatan itu telah datang: Janganlah dibiarkan masuk apa pun yang akan menggoncangkan dasar iman yang di atasnya kita telah membangun sejak pekabaran itu datang pada tahun 1842, 1843, dan 1844. Aku ada dalam pekabaran ini, dan sejak saat itu aku telah berdiri di hadapan dunia, setia kepada terang yang telah Allah berikan kepada kita. Kita tidak bermaksud mengangkat kaki kita dari landasan tempat kaki itu telah ditempatkan, sementara dari hari ke hari kita mencari Tuhan dengan doa yang sungguh-sungguh, memohon terang. Apakah engkau mengira bahwa aku dapat melepaskan terang yang telah Allah berikan kepadaku? Terang itu harus tetap seperti Gunung Batu Zaman. Terang itu telah menuntun aku sejak pertama kali diberikan.” Review and Herald, 14 April 1903.</w:t>
      </w:r>
    </w:p>
    <w:p>
      <w:pPr>
        <w:pStyle w:val="ArticleBody"/>
        <w:jc w:val="left"/>
      </w:pPr>
      <w:r>
        <w:rPr>
          <w:rFonts w:ascii="Nirmala UI" w:hAnsi="Nirmala UI" w:eastAsia="Nirmala UI" w:cs="Nirmala UI"/>
        </w:rPr>
        <w:t>ගල්පර්වත</w:t>
      </w:r>
      <w:r>
        <w:rPr>
          <w:rFonts w:ascii="Times New Roman" w:hAnsi="Times New Roman" w:eastAsia="Times New Roman" w:cs="Times New Roman"/>
        </w:rPr>
        <w:t xml:space="preserve"> </w:t>
      </w:r>
      <w:r>
        <w:rPr>
          <w:rFonts w:ascii="Nirmala UI" w:hAnsi="Nirmala UI" w:eastAsia="Nirmala UI" w:cs="Nirmala UI"/>
        </w:rPr>
        <w:t>යුගයන්ගේ</w:t>
      </w:r>
      <w:r>
        <w:rPr>
          <w:rFonts w:ascii="Times New Roman" w:hAnsi="Times New Roman" w:eastAsia="Times New Roman" w:cs="Times New Roman"/>
        </w:rPr>
        <w:t xml:space="preserve"> </w:t>
      </w:r>
      <w:r>
        <w:rPr>
          <w:rFonts w:ascii="Nirmala UI" w:hAnsi="Nirmala UI" w:eastAsia="Nirmala UI" w:cs="Nirmala UI"/>
        </w:rPr>
        <w:t>පර්වතය</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මිලර්වාදී</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කොටසක්</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මිලර්</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සොයාගත්</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මැණික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ලෙවීකථාව</w:t>
      </w:r>
      <w:r>
        <w:rPr>
          <w:rFonts w:ascii="Times New Roman" w:hAnsi="Times New Roman" w:eastAsia="Times New Roman" w:cs="Times New Roman"/>
        </w:rPr>
        <w:t xml:space="preserve"> </w:t>
      </w:r>
      <w:r>
        <w:rPr>
          <w:rFonts w:ascii="Nirmala UI" w:hAnsi="Nirmala UI" w:eastAsia="Nirmala UI" w:cs="Nirmala UI"/>
        </w:rPr>
        <w:t>විසිහයෙහි</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කාලයන්</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කාලයන්</w:t>
      </w:r>
      <w:r>
        <w:rPr>
          <w:rFonts w:ascii="Times New Roman" w:hAnsi="Times New Roman" w:eastAsia="Times New Roman" w:cs="Times New Roman"/>
        </w:rPr>
        <w:t>”</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මිලර්වාදී</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නවතමෙන්</w:t>
      </w:r>
      <w:r>
        <w:rPr>
          <w:rFonts w:ascii="Times New Roman" w:hAnsi="Times New Roman" w:eastAsia="Times New Roman" w:cs="Times New Roman"/>
        </w:rPr>
        <w:t xml:space="preserve"> </w:t>
      </w:r>
      <w:r>
        <w:rPr>
          <w:rFonts w:ascii="Nirmala UI" w:hAnsi="Nirmala UI" w:eastAsia="Nirmala UI" w:cs="Nirmala UI"/>
        </w:rPr>
        <w:t>ගොඩනඟා</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මිලර්වාදී</w:t>
      </w:r>
      <w:r>
        <w:rPr>
          <w:rFonts w:ascii="Times New Roman" w:hAnsi="Times New Roman" w:eastAsia="Times New Roman" w:cs="Times New Roman"/>
        </w:rPr>
        <w:t xml:space="preserve"> </w:t>
      </w:r>
      <w:r>
        <w:rPr>
          <w:rFonts w:ascii="Nirmala UI" w:hAnsi="Nirmala UI" w:eastAsia="Nirmala UI" w:cs="Nirmala UI"/>
        </w:rPr>
        <w:t>පුරෝගාමීන්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පසෙකට</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මූලික</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ගලම</w:t>
      </w:r>
      <w:r>
        <w:rPr>
          <w:rFonts w:ascii="Times New Roman" w:hAnsi="Times New Roman" w:eastAsia="Times New Roman" w:cs="Times New Roman"/>
        </w:rPr>
        <w:t xml:space="preserve"> </w:t>
      </w:r>
      <w:r>
        <w:rPr>
          <w:rFonts w:ascii="Nirmala UI" w:hAnsi="Nirmala UI" w:eastAsia="Nirmala UI" w:cs="Nirmala UI"/>
        </w:rPr>
        <w:t>ගොඩනඟුවෝය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ගල</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දවසද</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සප්තම</w:t>
      </w:r>
      <w:r>
        <w:rPr>
          <w:rFonts w:ascii="Times New Roman" w:hAnsi="Times New Roman" w:eastAsia="Times New Roman" w:cs="Times New Roman"/>
        </w:rPr>
        <w:t xml:space="preserve"> </w:t>
      </w:r>
      <w:r>
        <w:rPr>
          <w:rFonts w:ascii="Nirmala UI" w:hAnsi="Nirmala UI" w:eastAsia="Nirmala UI" w:cs="Nirmala UI"/>
        </w:rPr>
        <w:t>දවස</w:t>
      </w:r>
      <w:r>
        <w:rPr>
          <w:rFonts w:ascii="Times New Roman" w:hAnsi="Times New Roman" w:eastAsia="Times New Roman" w:cs="Times New Roman"/>
        </w:rPr>
        <w:t xml:space="preserve"> </w:t>
      </w:r>
      <w:r>
        <w:rPr>
          <w:rFonts w:ascii="Nirmala UI" w:hAnsi="Nirmala UI" w:eastAsia="Nirmala UI" w:cs="Nirmala UI"/>
        </w:rPr>
        <w:t>විවේක</w:t>
      </w:r>
      <w:r>
        <w:rPr>
          <w:rFonts w:ascii="Times New Roman" w:hAnsi="Times New Roman" w:eastAsia="Times New Roman" w:cs="Times New Roman"/>
        </w:rPr>
        <w:t xml:space="preserve"> </w:t>
      </w:r>
      <w:r>
        <w:rPr>
          <w:rFonts w:ascii="Nirmala UI" w:hAnsi="Nirmala UI" w:eastAsia="Nirmala UI" w:cs="Nirmala UI"/>
        </w:rPr>
        <w:t>දවසක්</w:t>
      </w:r>
      <w:r>
        <w:rPr>
          <w:rFonts w:ascii="Times New Roman" w:hAnsi="Times New Roman" w:eastAsia="Times New Roman" w:cs="Times New Roman"/>
        </w:rPr>
        <w:t xml:space="preserve"> </w:t>
      </w:r>
      <w:r>
        <w:rPr>
          <w:rFonts w:ascii="Nirmala UI" w:hAnsi="Nirmala UI" w:eastAsia="Nirmala UI" w:cs="Nirmala UI"/>
        </w:rPr>
        <w:t>වශයෙන්ද</w:t>
      </w:r>
      <w:r>
        <w:rPr>
          <w:rFonts w:ascii="Times New Roman" w:hAnsi="Times New Roman" w:eastAsia="Times New Roman" w:cs="Times New Roman"/>
        </w:rPr>
        <w:t xml:space="preserve">, </w:t>
      </w:r>
      <w:r>
        <w:rPr>
          <w:rFonts w:ascii="Nirmala UI" w:hAnsi="Nirmala UI" w:eastAsia="Nirmala UI" w:cs="Nirmala UI"/>
        </w:rPr>
        <w:t>සප්තම</w:t>
      </w:r>
      <w:r>
        <w:rPr>
          <w:rFonts w:ascii="Times New Roman" w:hAnsi="Times New Roman" w:eastAsia="Times New Roman" w:cs="Times New Roman"/>
        </w:rPr>
        <w:t xml:space="preserve"> </w:t>
      </w:r>
      <w:r>
        <w:rPr>
          <w:rFonts w:ascii="Nirmala UI" w:hAnsi="Nirmala UI" w:eastAsia="Nirmala UI" w:cs="Nirmala UI"/>
        </w:rPr>
        <w:t>අවුරුද්ද</w:t>
      </w:r>
      <w:r>
        <w:rPr>
          <w:rFonts w:ascii="Times New Roman" w:hAnsi="Times New Roman" w:eastAsia="Times New Roman" w:cs="Times New Roman"/>
        </w:rPr>
        <w:t xml:space="preserve"> </w:t>
      </w:r>
      <w:r>
        <w:rPr>
          <w:rFonts w:ascii="Nirmala UI" w:hAnsi="Nirmala UI" w:eastAsia="Nirmala UI" w:cs="Nirmala UI"/>
        </w:rPr>
        <w:t>දේශය</w:t>
      </w:r>
      <w:r>
        <w:rPr>
          <w:rFonts w:ascii="Times New Roman" w:hAnsi="Times New Roman" w:eastAsia="Times New Roman" w:cs="Times New Roman"/>
        </w:rPr>
        <w:t xml:space="preserve"> </w:t>
      </w:r>
      <w:r>
        <w:rPr>
          <w:rFonts w:ascii="Nirmala UI" w:hAnsi="Nirmala UI" w:eastAsia="Nirmala UI" w:cs="Nirmala UI"/>
        </w:rPr>
        <w:t>විවේක</w:t>
      </w:r>
      <w:r>
        <w:rPr>
          <w:rFonts w:ascii="Times New Roman" w:hAnsi="Times New Roman" w:eastAsia="Times New Roman" w:cs="Times New Roman"/>
        </w:rPr>
        <w:t xml:space="preserve"> </w:t>
      </w:r>
      <w:r>
        <w:rPr>
          <w:rFonts w:ascii="Nirmala UI" w:hAnsi="Nirmala UI" w:eastAsia="Nirmala UI" w:cs="Nirmala UI"/>
        </w:rPr>
        <w:t>ගන්නා</w:t>
      </w:r>
      <w:r>
        <w:rPr>
          <w:rFonts w:ascii="Times New Roman" w:hAnsi="Times New Roman" w:eastAsia="Times New Roman" w:cs="Times New Roman"/>
        </w:rPr>
        <w:t xml:space="preserve"> </w:t>
      </w:r>
      <w:r>
        <w:rPr>
          <w:rFonts w:ascii="Nirmala UI" w:hAnsi="Nirmala UI" w:eastAsia="Nirmala UI" w:cs="Nirmala UI"/>
        </w:rPr>
        <w:t>අවුරුද්දක්</w:t>
      </w:r>
      <w:r>
        <w:rPr>
          <w:rFonts w:ascii="Times New Roman" w:hAnsi="Times New Roman" w:eastAsia="Times New Roman" w:cs="Times New Roman"/>
        </w:rPr>
        <w:t xml:space="preserve"> </w:t>
      </w:r>
      <w:r>
        <w:rPr>
          <w:rFonts w:ascii="Nirmala UI" w:hAnsi="Nirmala UI" w:eastAsia="Nirmala UI" w:cs="Nirmala UI"/>
        </w:rPr>
        <w:t>වශයෙන්ද</w:t>
      </w:r>
      <w:r>
        <w:rPr>
          <w:rFonts w:ascii="Times New Roman" w:hAnsi="Times New Roman" w:eastAsia="Times New Roman" w:cs="Times New Roman"/>
        </w:rPr>
        <w:t xml:space="preserve"> </w:t>
      </w:r>
      <w:r>
        <w:rPr>
          <w:rFonts w:ascii="Nirmala UI" w:hAnsi="Nirmala UI" w:eastAsia="Nirmala UI" w:cs="Nirmala UI"/>
        </w:rPr>
        <w:t>ස්ථාපිත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1863</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ගල</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කොණේ</w:t>
      </w:r>
      <w:r>
        <w:rPr>
          <w:rFonts w:ascii="Times New Roman" w:hAnsi="Times New Roman" w:eastAsia="Times New Roman" w:cs="Times New Roman"/>
        </w:rPr>
        <w:t xml:space="preserve"> </w:t>
      </w:r>
      <w:r>
        <w:rPr>
          <w:rFonts w:ascii="Nirmala UI" w:hAnsi="Nirmala UI" w:eastAsia="Nirmala UI" w:cs="Nirmala UI"/>
        </w:rPr>
        <w:t>ශීර්ෂය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අකීකරුන්ට</w:t>
      </w:r>
      <w:r>
        <w:rPr>
          <w:rFonts w:ascii="Times New Roman" w:hAnsi="Times New Roman" w:eastAsia="Times New Roman" w:cs="Times New Roman"/>
        </w:rPr>
        <w:t xml:space="preserve"> “</w:t>
      </w:r>
      <w:r>
        <w:rPr>
          <w:rFonts w:ascii="Nirmala UI" w:hAnsi="Nirmala UI" w:eastAsia="Nirmala UI" w:cs="Nirmala UI"/>
        </w:rPr>
        <w:t>පැකිලීමේ</w:t>
      </w:r>
      <w:r>
        <w:rPr>
          <w:rFonts w:ascii="Times New Roman" w:hAnsi="Times New Roman" w:eastAsia="Times New Roman" w:cs="Times New Roman"/>
        </w:rPr>
        <w:t xml:space="preserve"> </w:t>
      </w:r>
      <w:r>
        <w:rPr>
          <w:rFonts w:ascii="Nirmala UI" w:hAnsi="Nirmala UI" w:eastAsia="Nirmala UI" w:cs="Nirmala UI"/>
        </w:rPr>
        <w:t>ගල</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ලැබීමට</w:t>
      </w:r>
      <w:r>
        <w:rPr>
          <w:rFonts w:ascii="Times New Roman" w:hAnsi="Times New Roman" w:eastAsia="Times New Roman" w:cs="Times New Roman"/>
        </w:rPr>
        <w:t xml:space="preserve"> </w:t>
      </w:r>
      <w:r>
        <w:rPr>
          <w:rFonts w:ascii="Nirmala UI" w:hAnsi="Nirmala UI" w:eastAsia="Nirmala UI" w:cs="Nirmala UI"/>
        </w:rPr>
        <w:t>නියමිතය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Ujumbe wa Uislamu wa ole wa tatu ndiyo mada ya vuguvugu la matengenezo la wale mia na arobaini na nne elfu, na mchakato wa kujaribiwa ulianza wakati malaika wa Ufunuo kumi na nane aliposhuka, majengo makubwa ya Jiji la New York yalipobomoshwa mnamo Septemba 11, 2001. Waadventista walikaa kimya kuhusu utambulisho wa kinabii kwamba Septemba 11, 2001, ulikuwa kuwasili kwa “siku ya upepo wa mashariki.” Tarehe 18 Julai, 2020, waliachwa nyuma wakati mashahidi wawili wa Ufunuo sura ya kumi na moja walipouawa katika njia kuu za mji ule mkuu. Jaribio la Uadventista lilikuwa limekwisha, na jaribio kwa wale waliokuwa wamekiri kuutambua ujumbe wa Uislamu lilikuwa linaendelea.</w:t>
      </w:r>
    </w:p>
    <w:p>
      <w:pPr>
        <w:pStyle w:val="ArticleBody"/>
        <w:jc w:val="left"/>
      </w:pPr>
      <w:r>
        <w:rPr>
          <w:rFonts w:ascii="Times New Roman" w:hAnsi="Times New Roman" w:eastAsia="Times New Roman" w:cs="Times New Roman"/>
        </w:rPr>
        <w:t>Selepas terbaring mati di jalan-jalan hingga akhir Julai 2023, tulang-tulang kering yang mati itu kemudian dibangkitkan oleh mesej pertama Yehezkiel. Mesej kedua Yehezkiel ialah mesej tentang empat angin Islam bagi Celaka yang ketiga, yang melambangkan pembukaan meterai secara progresif bagi mesej Seruan Tengah Malam, iaitu penglihatan yang bertangguh, dan tema bagi seluruh tempoh pergerakan itu. Pelbagai kebenaran kemudian dibuka meterainya, kerana mesej Seruan Tengah Malam mewakili suatu mesej yang beraneka segi. Kebenaran pertama yang berhadapan dengan tulang-tulang kering yang mati itu ialah kebenaran pertama yang ditolak oleh Adventisme Laodikia, dan hal itu melambangkan kebenaran yang menandai peralihan Laodikia kepada Filadelfia.</w:t>
      </w:r>
    </w:p>
    <w:p>
      <w:pPr>
        <w:pStyle w:val="ArticleBody"/>
        <w:jc w:val="left"/>
      </w:pPr>
      <w:r>
        <w:rPr>
          <w:rFonts w:ascii="Times New Roman" w:hAnsi="Times New Roman" w:eastAsia="Times New Roman" w:cs="Times New Roman"/>
        </w:rPr>
        <w:t>Kebenaran itu ialah pekabaran pemeteraian, dan oleh sebab itu perlu dimantapkan baik secara intelektual mahupun secara rohani. Tidaklah memadai sekadar mengenali bahawa tempoh ketika kedua-dua saksi itu mati di jalan merupakan suatu lambang bagi penyerakan “tujuh masa”; hal itu juga menuntut suatu penerimaan kebenaran secara pengalaman.</w:t>
      </w:r>
    </w:p>
    <w:p>
      <w:pPr>
        <w:pStyle w:val="ArticleBody"/>
        <w:jc w:val="left"/>
      </w:pPr>
      <w:r>
        <w:rPr>
          <w:rFonts w:ascii="Myanmar Text" w:hAnsi="Myanmar Text" w:eastAsia="Myanmar Text" w:cs="Myanmar Text"/>
        </w:rPr>
        <w:t>နောက်ဆုံးသောကာလ၌</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ဖွင့်လှစ်ထုတ်ဖော်ခံရသော</w:t>
      </w:r>
      <w:r>
        <w:rPr>
          <w:rFonts w:ascii="Times New Roman" w:hAnsi="Times New Roman" w:eastAsia="Times New Roman" w:cs="Times New Roman"/>
        </w:rPr>
        <w:t xml:space="preserve"> </w:t>
      </w:r>
      <w:r>
        <w:rPr>
          <w:rFonts w:ascii="Myanmar Text" w:hAnsi="Myanmar Text" w:eastAsia="Myanmar Text" w:cs="Myanmar Text"/>
        </w:rPr>
        <w:t>သမ္မာတရားများကို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ရတနာများသည်</w:t>
      </w:r>
      <w:r>
        <w:rPr>
          <w:rFonts w:ascii="Times New Roman" w:hAnsi="Times New Roman" w:eastAsia="Times New Roman" w:cs="Times New Roman"/>
        </w:rPr>
        <w:t xml:space="preserve"> </w:t>
      </w:r>
      <w:r>
        <w:rPr>
          <w:rFonts w:ascii="Myanmar Text" w:hAnsi="Myanmar Text" w:eastAsia="Myanmar Text" w:cs="Myanmar Text"/>
        </w:rPr>
        <w:t>နောက်ဆုံးနေ့ရက်များ၏</w:t>
      </w:r>
      <w:r>
        <w:rPr>
          <w:rFonts w:ascii="Times New Roman" w:hAnsi="Times New Roman" w:eastAsia="Times New Roman" w:cs="Times New Roman"/>
        </w:rPr>
        <w:t xml:space="preserve"> </w:t>
      </w:r>
      <w:r>
        <w:rPr>
          <w:rFonts w:ascii="Myanmar Text" w:hAnsi="Myanmar Text" w:eastAsia="Myanmar Text" w:cs="Myanmar Text"/>
        </w:rPr>
        <w:t>ကညာတို့အတွက်</w:t>
      </w:r>
      <w:r>
        <w:rPr>
          <w:rFonts w:ascii="Times New Roman" w:hAnsi="Times New Roman" w:eastAsia="Times New Roman" w:cs="Times New Roman"/>
        </w:rPr>
        <w:t xml:space="preserve"> </w:t>
      </w:r>
      <w:r>
        <w:rPr>
          <w:rFonts w:ascii="Myanmar Text" w:hAnsi="Myanmar Text" w:eastAsia="Myanmar Text" w:cs="Myanmar Text"/>
        </w:rPr>
        <w:t>စမ်းသပ်ချက်တစ်ရပ်</w:t>
      </w:r>
      <w:r>
        <w:rPr>
          <w:rFonts w:ascii="Times New Roman" w:hAnsi="Times New Roman" w:eastAsia="Times New Roman" w:cs="Times New Roman"/>
        </w:rPr>
        <w:t xml:space="preserve"> </w:t>
      </w:r>
      <w:r>
        <w:rPr>
          <w:rFonts w:ascii="Myanmar Text" w:hAnsi="Myanmar Text" w:eastAsia="Myanmar Text" w:cs="Myanmar Text"/>
        </w:rPr>
        <w:t>ဖြစ်လာသည်။</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ဝိညာဉ်ရေးရာအရ</w:t>
      </w:r>
      <w:r>
        <w:rPr>
          <w:rFonts w:ascii="Times New Roman" w:hAnsi="Times New Roman" w:eastAsia="Times New Roman" w:cs="Times New Roman"/>
        </w:rPr>
        <w:t xml:space="preserve">” </w:t>
      </w:r>
      <w:r>
        <w:rPr>
          <w:rFonts w:ascii="Myanmar Text" w:hAnsi="Myanmar Text" w:eastAsia="Myanmar Text" w:cs="Myanmar Text"/>
        </w:rPr>
        <w:t>တည်ငြိမ်စွာ</w:t>
      </w:r>
      <w:r>
        <w:rPr>
          <w:rFonts w:ascii="Times New Roman" w:hAnsi="Times New Roman" w:eastAsia="Times New Roman" w:cs="Times New Roman"/>
        </w:rPr>
        <w:t xml:space="preserve"> </w:t>
      </w:r>
      <w:r>
        <w:rPr>
          <w:rFonts w:ascii="Myanmar Text" w:hAnsi="Myanmar Text" w:eastAsia="Myanmar Text" w:cs="Myanmar Text"/>
        </w:rPr>
        <w:t>အခြေချဝင်ရောက်လာသော</w:t>
      </w:r>
      <w:r>
        <w:rPr>
          <w:rFonts w:ascii="Times New Roman" w:hAnsi="Times New Roman" w:eastAsia="Times New Roman" w:cs="Times New Roman"/>
        </w:rPr>
        <w:t xml:space="preserve"> </w:t>
      </w:r>
      <w:r>
        <w:rPr>
          <w:rFonts w:ascii="Myanmar Text" w:hAnsi="Myanmar Text" w:eastAsia="Myanmar Text" w:cs="Myanmar Text"/>
        </w:rPr>
        <w:t>အတွေ့အကြုံကို</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ရတနာက</w:t>
      </w:r>
      <w:r>
        <w:rPr>
          <w:rFonts w:ascii="Times New Roman" w:hAnsi="Times New Roman" w:eastAsia="Times New Roman" w:cs="Times New Roman"/>
        </w:rPr>
        <w:t xml:space="preserve"> </w:t>
      </w:r>
      <w:r>
        <w:rPr>
          <w:rFonts w:ascii="Myanmar Text" w:hAnsi="Myanmar Text" w:eastAsia="Myanmar Text" w:cs="Myanmar Text"/>
        </w:rPr>
        <w:t>ကိုယ်စားပြုထားပြီး၊</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ဉာဏ်ပညာရေးရာအရ</w:t>
      </w:r>
      <w:r>
        <w:rPr>
          <w:rFonts w:ascii="Times New Roman" w:hAnsi="Times New Roman" w:eastAsia="Times New Roman" w:cs="Times New Roman"/>
        </w:rPr>
        <w:t xml:space="preserve">” </w:t>
      </w:r>
      <w:r>
        <w:rPr>
          <w:rFonts w:ascii="Myanmar Text" w:hAnsi="Myanmar Text" w:eastAsia="Myanmar Text" w:cs="Myanmar Text"/>
        </w:rPr>
        <w:t>တည်ငြိမ်စွာ</w:t>
      </w:r>
      <w:r>
        <w:rPr>
          <w:rFonts w:ascii="Times New Roman" w:hAnsi="Times New Roman" w:eastAsia="Times New Roman" w:cs="Times New Roman"/>
        </w:rPr>
        <w:t xml:space="preserve"> </w:t>
      </w:r>
      <w:r>
        <w:rPr>
          <w:rFonts w:ascii="Myanmar Text" w:hAnsi="Myanmar Text" w:eastAsia="Myanmar Text" w:cs="Myanmar Text"/>
        </w:rPr>
        <w:t>အခြေချဝင်ရောက်လာခြင်းကို</w:t>
      </w:r>
      <w:r>
        <w:rPr>
          <w:rFonts w:ascii="Times New Roman" w:hAnsi="Times New Roman" w:eastAsia="Times New Roman" w:cs="Times New Roman"/>
        </w:rPr>
        <w:t xml:space="preserve"> </w:t>
      </w:r>
      <w:r>
        <w:rPr>
          <w:rFonts w:ascii="Myanmar Text" w:hAnsi="Myanmar Text" w:eastAsia="Myanmar Text" w:cs="Myanmar Text"/>
        </w:rPr>
        <w:t>တတိယအဝိုင်း၏</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နောင်တရခြင်းနှင့်</w:t>
      </w:r>
      <w:r>
        <w:rPr>
          <w:rFonts w:ascii="Times New Roman" w:hAnsi="Times New Roman" w:eastAsia="Times New Roman" w:cs="Times New Roman"/>
        </w:rPr>
        <w:t xml:space="preserve"> </w:t>
      </w:r>
      <w:r>
        <w:rPr>
          <w:rFonts w:ascii="Myanmar Text" w:hAnsi="Myanmar Text" w:eastAsia="Myanmar Text" w:cs="Myanmar Text"/>
        </w:rPr>
        <w:t>အပြစ်ဝန်ခံခြင်းသို့</w:t>
      </w:r>
      <w:r>
        <w:rPr>
          <w:rFonts w:ascii="Times New Roman" w:hAnsi="Times New Roman" w:eastAsia="Times New Roman" w:cs="Times New Roman"/>
        </w:rPr>
        <w:t xml:space="preserve"> </w:t>
      </w:r>
      <w:r>
        <w:rPr>
          <w:rFonts w:ascii="Myanmar Text" w:hAnsi="Myanmar Text" w:eastAsia="Myanmar Text" w:cs="Myanmar Text"/>
        </w:rPr>
        <w:t>ခေါ်ဆိုမှုသည်</w:t>
      </w:r>
      <w:r>
        <w:rPr>
          <w:rFonts w:ascii="Times New Roman" w:hAnsi="Times New Roman" w:eastAsia="Times New Roman" w:cs="Times New Roman"/>
        </w:rPr>
        <w:t xml:space="preserve"> </w:t>
      </w:r>
      <w:r>
        <w:rPr>
          <w:rFonts w:ascii="Myanmar Text" w:hAnsi="Myanmar Text" w:eastAsia="Myanmar Text" w:cs="Myanmar Text"/>
        </w:rPr>
        <w:t>အလွန်သန့်ရှင်းရာဌာန၌</w:t>
      </w:r>
      <w:r>
        <w:rPr>
          <w:rFonts w:ascii="Times New Roman" w:hAnsi="Times New Roman" w:eastAsia="Times New Roman" w:cs="Times New Roman"/>
        </w:rPr>
        <w:t xml:space="preserve"> </w:t>
      </w:r>
      <w:r>
        <w:rPr>
          <w:rFonts w:ascii="Myanmar Text" w:hAnsi="Myanmar Text" w:eastAsia="Myanmar Text" w:cs="Myanmar Text"/>
        </w:rPr>
        <w:t>ခရစ်တော်နှင့်အတူ</w:t>
      </w:r>
      <w:r>
        <w:rPr>
          <w:rFonts w:ascii="Times New Roman" w:hAnsi="Times New Roman" w:eastAsia="Times New Roman" w:cs="Times New Roman"/>
        </w:rPr>
        <w:t xml:space="preserve"> </w:t>
      </w:r>
      <w:r>
        <w:rPr>
          <w:rFonts w:ascii="Myanmar Text" w:hAnsi="Myanmar Text" w:eastAsia="Myanmar Text" w:cs="Myanmar Text"/>
        </w:rPr>
        <w:t>ပူးပေါင်း၍</w:t>
      </w:r>
      <w:r>
        <w:rPr>
          <w:rFonts w:ascii="Times New Roman" w:hAnsi="Times New Roman" w:eastAsia="Times New Roman" w:cs="Times New Roman"/>
        </w:rPr>
        <w:t xml:space="preserve"> </w:t>
      </w:r>
      <w:r>
        <w:rPr>
          <w:rFonts w:ascii="Myanmar Text" w:hAnsi="Myanmar Text" w:eastAsia="Myanmar Text" w:cs="Myanmar Text"/>
        </w:rPr>
        <w:t>ဆောင်ရွက်သော</w:t>
      </w:r>
      <w:r>
        <w:rPr>
          <w:rFonts w:ascii="Times New Roman" w:hAnsi="Times New Roman" w:eastAsia="Times New Roman" w:cs="Times New Roman"/>
        </w:rPr>
        <w:t xml:space="preserve"> </w:t>
      </w:r>
      <w:r>
        <w:rPr>
          <w:rFonts w:ascii="Myanmar Text" w:hAnsi="Myanmar Text" w:eastAsia="Myanmar Text" w:cs="Myanmar Text"/>
        </w:rPr>
        <w:t>အလုပ်တစ်ရပ်ကို</w:t>
      </w:r>
      <w:r>
        <w:rPr>
          <w:rFonts w:ascii="Times New Roman" w:hAnsi="Times New Roman" w:eastAsia="Times New Roman" w:cs="Times New Roman"/>
        </w:rPr>
        <w:t xml:space="preserve"> </w:t>
      </w:r>
      <w:r>
        <w:rPr>
          <w:rFonts w:ascii="Myanmar Text" w:hAnsi="Myanmar Text" w:eastAsia="Myanmar Text" w:cs="Myanmar Text"/>
        </w:rPr>
        <w:t>ဖော်ထုတ်ပြသပြီး၊</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“mareh”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Body"/>
        <w:jc w:val="left"/>
      </w:pPr>
      <w:r>
        <w:rPr>
          <w:rFonts w:ascii="Times New Roman" w:hAnsi="Times New Roman" w:eastAsia="Times New Roman" w:cs="Times New Roman"/>
        </w:rPr>
        <w:t>“Kefahaman intelektual” tentang Islam bagi Celaka yang ketiga dilambangkan oleh penglihatan “chazon”, dan kedua-duanya diperlukan bagi mereka yang akan dimeteraikan. Pada tahun 1863, Adventisme Laodikia memilih untuk membina semula Yerikho, lalu meninggalkan pekerjaannya untuk memulihkan Yerusalem. Yerikho ialah suatu lambang kemewahan, sebagaimana juga dilambangkan oleh kebutaan Laodikia.</w:t>
      </w:r>
    </w:p>
    <w:p>
      <w:pPr>
        <w:pStyle w:val="ArticleScripture"/>
        <w:jc w:val="left"/>
      </w:pPr>
      <w:r>
        <w:rPr>
          <w:rFonts w:ascii="Times New Roman" w:hAnsi="Times New Roman" w:eastAsia="Times New Roman" w:cs="Times New Roman"/>
        </w:rPr>
        <w:t>“Mu pama fumo likali nganshi mu calo—musumba ukalamba no muli no mpiya wa Yeriko—waali fye kuntanshi yabo, nangula pa butali buni ukufuma ku nkambi yabo pa Gilgali. Pa mpela ya cifunda cawama icaisula ne fintu ifisuma kandi ifya misango iingi ifya mu fyalo fya bushiku, amapalashe yakwe ne tempile fyakwe fyali ubwikalo bwa bwikashi no buipisha, uyu musumba wa matama, ku nyuma kwa bipanga byakwe ifikosa, waalebomfya ukwikatilila no kupingula Lesa wa kwa Israyeli. Yeriko waali umo pa myanda ikulu iya kupepela utulubi, pa kuba sana uwaipelesha kuli Ashtaroti, kalunga wa mwezi. Pano epo paali pakati pa fyonse ifyali ifibi nganshi kandi ifyakuponta umuntu mu cipembedzo ca Bakaanaani. Abantu ba kwa Israyeli, mu mano yabo mukali mutete impela iya kutinya iya lubembu lwabo pa Beti-peori, baali no kulolekesha kuli uyu musumba wa bapagani fye no kusansamuka no kutinya.” Patriarchs and Prophets, 487.</w:t>
      </w:r>
    </w:p>
    <w:p>
      <w:pPr>
        <w:pStyle w:val="ArticleBody"/>
        <w:jc w:val="left"/>
      </w:pPr>
      <w:r>
        <w:rPr>
          <w:rFonts w:ascii="Times New Roman" w:hAnsi="Times New Roman" w:eastAsia="Times New Roman" w:cs="Times New Roman"/>
        </w:rPr>
        <w:t>“Batu” yang telah ditolak oleh para pembina pada tahun 1863, semasa mereka membina semula Yerikho, ialah “tujuh kali” yang pada akhir zaman akan menjadi kebenaran (permata), yang menjadi “kepala penjuru”, kerana itulah kebenaran yang menenun bersama permulaan Adventisme dalam pergerakan Millerit, dengan pengakhiran Adventisme dalam pergerakan seratus empat puluh empat ribu. Permata itu, iaitu “tujuh kali,” juga ialah “hari yang dijadikan TUHAN”, dan itulah Kristus sendiri, kerana Dialah Firman, dan Dialah “Kebenaran.” Pokok perihal Islam ialah tema yang menghasilkan penyucian kedua-dua umat pilihan yang terdahulu dan yang baharu, dan penyucian berganda itu bermula pada 11 September 2001, iaitu “hari angin timur”. Pada hari itu para pengawal harus menyanyikan lagu yang sama seperti yang dinyanyikan Kristus, ketika Dia memberitakan perumpamaan tentang kebun anggur. Seratus empat puluh empat ribu menyanyikan nyanyian Musa (iaitu “tujuh kali”), dan nyanyian Anak Domba.</w:t>
      </w:r>
    </w:p>
    <w:p>
      <w:pPr>
        <w:pStyle w:val="ArticleScripture"/>
        <w:jc w:val="left"/>
      </w:pPr>
      <w:r>
        <w:rPr>
          <w:rFonts w:ascii="Times New Roman" w:hAnsi="Times New Roman" w:eastAsia="Times New Roman" w:cs="Times New Roman"/>
        </w:rPr>
        <w:t>Kemudian aku melihat sesuatu bagaikan lautan kaca bercampur api; dan mereka yang telah memperoleh kemenangan atas binatang itu, atas patungnya, atas tandanya, dan atas bilangan namanya, berdiri di atas lautan kaca itu sambil memegang kecapi Allah. Dan mereka menyanyikan nyanyian Musa, hamba Allah, dan nyanyian Anak Domba, katanya: Besar dan ajaib segala pekerjaan-Mu, ya Tuhan, Allah Yang Mahakuasa; adil dan benar segala jalan-Mu, ya Raja orang-orang kudus. Wahyu 15:2, 3.</w:t>
      </w:r>
    </w:p>
    <w:p>
      <w:pPr>
        <w:pStyle w:val="ArticleBody"/>
        <w:jc w:val="left"/>
      </w:pPr>
      <w:r>
        <w:rPr>
          <w:rFonts w:ascii="Times New Roman" w:hAnsi="Times New Roman" w:eastAsia="Times New Roman" w:cs="Times New Roman"/>
        </w:rPr>
        <w:t>“Anak Domba” nyaéta Kristus anu geus dipaéhan, sarta Anjeunna dipaéhan dina tengah-tengah dua rébu lima ratus dua puluh poé, ku kituna ngararangkaykeun kurban hirup jeung getih-Na (tempat Anjeunna netepkeun perjangjian), babarengan jeung “paséa ngeunaan perjangjian-Na” Musa, dina Imamat dua puluh genep. Lagu Musa jeung Anak Domba téh lagu ngeunaan chazon tina sajarah nubuat jeung lagu ngeunaan mareh tina “pangnembongan”-Na. Éta téh lagu ngeunaan pamahaman intelektual jeung rohani sakumaha dilambangkeun ku dua titingalian dina Daniel pasal dalapan. Éta téh lagu ngeunaan hiji umat perjangjian anu keur dihukum jeung diliwatan, sedengkeun hiji umat pilihan anyar keur dipilih. Prosés pamilihan éta, ku kituna ogé laguna, dimimitian dina 11 Séptémber 2001.</w:t>
      </w:r>
    </w:p>
    <w:p>
      <w:pPr>
        <w:pStyle w:val="ArticleScripture"/>
        <w:jc w:val="left"/>
      </w:pPr>
      <w:r>
        <w:rPr>
          <w:rFonts w:ascii="Times New Roman" w:hAnsi="Times New Roman" w:eastAsia="Times New Roman" w:cs="Times New Roman"/>
        </w:rPr>
        <w:t>Mereka yang datang daripada Yakub akan dibuat-Nya berakar; Israel akan berbunga dan bertunas, dan memenuhi muka dunia dengan buah. Adakah Dia telah memukulnya sebagaimana Dia memukul mereka yang memukulnya? Atau adakah dia dibunuh menurut pembantaian orang-orang yang dibunuh olehnya? Dengan sukatan, apabila ia bertunas keluar, Engkau akan berperkara dengannya; Dia menahan angin-Nya yang keras pada hari angin timur. Oleh itu, dengan inilah kesalahan Yakub akan dihapuskan; dan inilah seluruh buahnya, yakni melenyapkan dosanya; apabila ia menjadikan segala batu mezbah itu seperti batu kapur yang dipecahkan berkeping-keping, maka tiang-tiang berhala dan patung-patung ukiran tidak akan tetap berdiri. Namun demikian, kota yang berkubu itu akan menjadi sunyi sepi, dan tempat kediaman itu ditinggalkan, dan dibiarkan seperti padang belantara; di sana anak lembu akan meragut, dan di sana ia akan berbaring, serta memakan habis cabang-cabangnya. Apabila ranting-rantingnya menjadi kering, semuanya akan dipatahkan; perempuan-perempuan datang dan membakarnya; kerana bangsa ini ialah bangsa yang tidak berpengertian; sebab itu Dia yang menjadikan mereka tidak akan menaruh belas kasihan kepada mereka, dan Dia yang membentuk mereka tidak akan menunjukkan kemurahan kepada mereka. Dan akan terjadi pada hari itu, bahawa Tuhan akan mengirik dari alur Sungai itu sampai ke batang air Mesir, dan kamu akan dihimpunkan seorang demi seorang, hai anak-anak Israel. Dan akan terjadi pada hari itu, bahawa sangkakala besar akan ditiup, dan mereka yang hampir binasa di tanah Asyur, serta mereka yang dibuang di tanah Mesir, akan datang dan menyembah Tuhan di gunung kudus di Yerusalem. Yesaya 27:6–13.</w:t>
      </w:r>
    </w:p>
    <w:p>
      <w:pPr>
        <w:pStyle w:val="ArticleBody"/>
        <w:jc w:val="left"/>
      </w:pPr>
      <w:r>
        <w:rPr>
          <w:rFonts w:ascii="Times New Roman" w:hAnsi="Times New Roman" w:eastAsia="Times New Roman" w:cs="Times New Roman"/>
        </w:rPr>
        <w:t>Hosea ena ka nepahalo li supa nako ho tloha ka Loetse 11, 2001, ho isa molaong oa Sontaha o tlang kapele. Temana ea botšelela e supa histori eohle, ka ho supa qalo ea semela se melang metso, se ntan’o thunya le ho mela, ’me qetellong se tlatse lefatše ka litholoana. Litholoana tse tletseng lefatše li etsa joalo nakong ea “hora,” e leng qaka ea molao oa Sontaha. Ha Kreste ka nako eo a ntse a bokella litholoana tsa hae polokelong ea hae, o boetse o tlisetsa Babilona kahlolo. Kahlolo e etsahalang nakong eo lefatše le tletseng litholoana e emeloa temaneng ea bosupa, ha ho botsoa lipotso tse peli: “Na o mo otlile, joalokaha a ile a otla ba ileng ba mo otla? kapa na o bolailoe ho ea ka polao ea ba bolailoeng ke eena?”</w:t>
      </w:r>
    </w:p>
    <w:p>
      <w:pPr>
        <w:pStyle w:val="ArticleBody"/>
        <w:jc w:val="left"/>
      </w:pPr>
      <w:r>
        <w:rPr>
          <w:rFonts w:ascii="Myanmar Text" w:hAnsi="Myanmar Text" w:eastAsia="Myanmar Text" w:cs="Myanmar Text"/>
        </w:rPr>
        <w:t>မင်းတော်၏</w:t>
      </w:r>
      <w:r>
        <w:rPr>
          <w:rFonts w:ascii="Times New Roman" w:hAnsi="Times New Roman" w:eastAsia="Times New Roman" w:cs="Times New Roman"/>
        </w:rPr>
        <w:t xml:space="preserve"> </w:t>
      </w:r>
      <w:r>
        <w:rPr>
          <w:rFonts w:ascii="Myanmar Text" w:hAnsi="Myanmar Text" w:eastAsia="Myanmar Text" w:cs="Myanmar Text"/>
        </w:rPr>
        <w:t>ရှစ်ပိုဒ်၌</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ဖျန်းသွန်းခြင်းကို</w:t>
      </w:r>
      <w:r>
        <w:rPr>
          <w:rFonts w:ascii="Times New Roman" w:hAnsi="Times New Roman" w:eastAsia="Times New Roman" w:cs="Times New Roman"/>
        </w:rPr>
        <w:t xml:space="preserve"> “</w:t>
      </w:r>
      <w:r>
        <w:rPr>
          <w:rFonts w:ascii="Myanmar Text" w:hAnsi="Myanmar Text" w:eastAsia="Myanmar Text" w:cs="Myanmar Text"/>
        </w:rPr>
        <w:t>အတိုင်းအတာဖြင့်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အသုံးအနှုန်းဖြင့်</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အပင်များ</w:t>
      </w:r>
      <w:r>
        <w:rPr>
          <w:rFonts w:ascii="Times New Roman" w:hAnsi="Times New Roman" w:eastAsia="Times New Roman" w:cs="Times New Roman"/>
        </w:rPr>
        <w:t xml:space="preserve"> </w:t>
      </w:r>
      <w:r>
        <w:rPr>
          <w:rFonts w:ascii="Myanmar Text" w:hAnsi="Myanmar Text" w:eastAsia="Myanmar Text" w:cs="Myanmar Text"/>
        </w:rPr>
        <w:t>ပေါက်ထွက်လာစေသောအရာမှာ</w:t>
      </w:r>
      <w:r>
        <w:rPr>
          <w:rFonts w:ascii="Times New Roman" w:hAnsi="Times New Roman" w:eastAsia="Times New Roman" w:cs="Times New Roman"/>
        </w:rPr>
        <w:t xml:space="preserve"> </w:t>
      </w:r>
      <w:r>
        <w:rPr>
          <w:rFonts w:ascii="Myanmar Text" w:hAnsi="Myanmar Text" w:eastAsia="Myanmar Text" w:cs="Myanmar Text"/>
        </w:rPr>
        <w:t>မိုးဖြစ်ပြီး၊</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အစပြုခြင်းကို</w:t>
      </w:r>
      <w:r>
        <w:rPr>
          <w:rFonts w:ascii="Times New Roman" w:hAnsi="Times New Roman" w:eastAsia="Times New Roman" w:cs="Times New Roman"/>
        </w:rPr>
        <w:t xml:space="preserve"> </w:t>
      </w:r>
      <w:r>
        <w:rPr>
          <w:rFonts w:ascii="Myanmar Text" w:hAnsi="Myanmar Text" w:eastAsia="Myanmar Text" w:cs="Myanmar Text"/>
        </w:rPr>
        <w:t>ဖော်ပြရာ၌လည်း</w:t>
      </w:r>
      <w:r>
        <w:rPr>
          <w:rFonts w:ascii="Times New Roman" w:hAnsi="Times New Roman" w:eastAsia="Times New Roman" w:cs="Times New Roman"/>
        </w:rPr>
        <w:t xml:space="preserve"> “</w:t>
      </w:r>
      <w:r>
        <w:rPr>
          <w:rFonts w:ascii="Myanmar Text" w:hAnsi="Myanmar Text" w:eastAsia="Myanmar Text" w:cs="Myanmar Text"/>
        </w:rPr>
        <w:t>အတိုင်းအတာဖြင့်၊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ပေါက်ထွက်လာသောအခါ</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အစပြုသည်ဟု</w:t>
      </w:r>
      <w:r>
        <w:rPr>
          <w:rFonts w:ascii="Times New Roman" w:hAnsi="Times New Roman" w:eastAsia="Times New Roman" w:cs="Times New Roman"/>
        </w:rPr>
        <w:t xml:space="preserve"> </w:t>
      </w:r>
      <w:r>
        <w:rPr>
          <w:rFonts w:ascii="Myanmar Text" w:hAnsi="Myanmar Text" w:eastAsia="Myanmar Text" w:cs="Myanmar Text"/>
        </w:rPr>
        <w:t>သတ်မှတ်ထားသည်။</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စတင်သောအခါ</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အတိုင်းအတာဖြင့်</w:t>
      </w:r>
      <w:r>
        <w:rPr>
          <w:rFonts w:ascii="Times New Roman" w:hAnsi="Times New Roman" w:eastAsia="Times New Roman" w:cs="Times New Roman"/>
        </w:rPr>
        <w:t xml:space="preserve">” </w:t>
      </w:r>
      <w:r>
        <w:rPr>
          <w:rFonts w:ascii="Myanmar Text" w:hAnsi="Myanmar Text" w:eastAsia="Myanmar Text" w:cs="Myanmar Text"/>
        </w:rPr>
        <w:t>သွန်းလောင်းတော်မူသည်။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ရိတ်သိမ်းမည့်ကာလ၌</w:t>
      </w:r>
      <w:r>
        <w:rPr>
          <w:rFonts w:ascii="Times New Roman" w:hAnsi="Times New Roman" w:eastAsia="Times New Roman" w:cs="Times New Roman"/>
        </w:rPr>
        <w:t xml:space="preserve"> </w:t>
      </w:r>
      <w:r>
        <w:rPr>
          <w:rFonts w:ascii="Myanmar Text" w:hAnsi="Myanmar Text" w:eastAsia="Myanmar Text" w:cs="Myanmar Text"/>
        </w:rPr>
        <w:t>မှန်ကန်သူနှင့်</w:t>
      </w:r>
      <w:r>
        <w:rPr>
          <w:rFonts w:ascii="Times New Roman" w:hAnsi="Times New Roman" w:eastAsia="Times New Roman" w:cs="Times New Roman"/>
        </w:rPr>
        <w:t xml:space="preserve"> </w:t>
      </w:r>
      <w:r>
        <w:rPr>
          <w:rFonts w:ascii="Myanmar Text" w:hAnsi="Myanmar Text" w:eastAsia="Myanmar Text" w:cs="Myanmar Text"/>
        </w:rPr>
        <w:t>မမှန်ကန်သူ</w:t>
      </w:r>
      <w:r>
        <w:rPr>
          <w:rFonts w:ascii="Times New Roman" w:hAnsi="Times New Roman" w:eastAsia="Times New Roman" w:cs="Times New Roman"/>
        </w:rPr>
        <w:t xml:space="preserve"> </w:t>
      </w:r>
      <w:r>
        <w:rPr>
          <w:rFonts w:ascii="Myanmar Text" w:hAnsi="Myanmar Text" w:eastAsia="Myanmar Text" w:cs="Myanmar Text"/>
        </w:rPr>
        <w:t>ရောနှောနေပါက၊</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အတိုင်းအတာမဲ့</w:t>
      </w:r>
      <w:r>
        <w:rPr>
          <w:rFonts w:ascii="Times New Roman" w:hAnsi="Times New Roman" w:eastAsia="Times New Roman" w:cs="Times New Roman"/>
        </w:rPr>
        <w:t xml:space="preserve"> </w:t>
      </w:r>
      <w:r>
        <w:rPr>
          <w:rFonts w:ascii="Myanmar Text" w:hAnsi="Myanmar Text" w:eastAsia="Myanmar Text" w:cs="Myanmar Text"/>
        </w:rPr>
        <w:t>သွန်းလောင်းတော်မမူသောကြောင့်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“Setiap jiwa yang sungguh-sungguh bertobat akan sangat rindu untuk membawa orang lain dari kegelapan kesesatan kepada terang ajaib dari kebenaran Yesus Kristus. Pencurahan besar Roh Allah, yang menerangi seluruh bumi dengan kemuliaan-Nya, tidak akan datang sebelum kita mempunyai suatu umat yang tercerahkan, yang mengetahui dari pengalaman apa artinya menjadi sesama pekerja dengan Allah. Apabila kita memiliki penyerahan yang penuh, segenap hati, kepada pelayanan Kristus, Allah akan mengakui kenyataan itu dengan pencurahan Roh-Nya tanpa ukuran; tetapi hal ini tidak akan terjadi selama bagian terbesar dari jemaat bukan sesama pekerja dengan Allah. Allah tidak dapat mencurahkan Roh-Nya ketika keegoisan dan pemanjaan diri begitu nyata; ketika suatu roh berkuasa yang, jika diungkapkan dengan kata-kata, akan menyatakan jawaban Kain itu,—‘Apakah aku penjaga adikku?’ Jika kebenaran untuk zaman ini, jika tanda-tanda yang makin banyak di segala penjuru, yang memberi kesaksian bahwa kesudahan segala sesuatu sudah dekat, tidak cukup untuk membangkitkan tenaga yang tertidur dari mereka yang mengaku mengenal kebenaran, maka kegelapan yang sebanding dengan terang yang telah bercahaya akan menimpa jiwa-jiwa ini. Tidak ada sedikit pun alasan pembenaran bagi sikap acuh tak acuh mereka yang akan dapat mereka ajukan kepada Allah pada hari besar perhitungan terakhir. Tidak akan ada alasan yang dapat dikemukakan tentang mengapa mereka tidak hidup dan berjalan dan bekerja di dalam terang kebenaran suci firman Allah, dan dengan demikian menyatakan kepada dunia yang digelapkan oleh dosa, melalui tingkah laku mereka, simpati mereka, dan semangat mereka, bahwa kuasa dan kenyataan Injil tidak dapat disangkal.” Review and Herald, 21 Juli 1896.</w:t>
      </w:r>
    </w:p>
    <w:p>
      <w:pPr>
        <w:pStyle w:val="ArticleBody"/>
        <w:jc w:val="left"/>
      </w:pPr>
      <w:r>
        <w:rPr>
          <w:rFonts w:ascii="Times New Roman" w:hAnsi="Times New Roman" w:eastAsia="Times New Roman" w:cs="Times New Roman"/>
        </w:rPr>
        <w:t>Ms. White mitsae se passage yaa ko ɔberɛ a ɔbɔfoɔ a ɔwɔ Adiyisɛm mu no si fam no, ɛfiri sɛ ɔka sɛ, “Onyankopɔn Honhom no hwie gu kɛseɛ no, a ɛma asase nyinaa hyerɛn wɔ n’animuonyam mu.” Wɔ passage foforo bi mu a yɛtaa fa kaeɛ wɔ saa nkrasɛm yi mu no, ɔkyerɛɛ mu sɛ, sɛ “New York adan akɛseɛ no” “wɔto gu fam” a, “Adiyisɛm ti dunwɔtwe, nkyekyɛmu baako kɔsi mmiɛnsa no bɛba mu.”</w:t>
      </w:r>
    </w:p>
    <w:p>
      <w:pPr>
        <w:pStyle w:val="ArticleBody"/>
        <w:jc w:val="left"/>
      </w:pPr>
      <w:r>
        <w:rPr>
          <w:rFonts w:ascii="Times New Roman" w:hAnsi="Times New Roman" w:eastAsia="Times New Roman" w:cs="Times New Roman"/>
        </w:rPr>
        <w:t>Kami akan meneruskan pemikiran ini dalam artikel yang berikutnya.</w:t>
      </w:r>
    </w:p>
    <w:p>
      <w:pPr>
        <w:pStyle w:val="ArticleScripture"/>
        <w:jc w:val="left"/>
      </w:pPr>
      <w:r>
        <w:rPr>
          <w:rFonts w:ascii="Times New Roman" w:hAnsi="Times New Roman" w:eastAsia="Times New Roman" w:cs="Times New Roman"/>
        </w:rPr>
        <w:t>꞉Ndzi ta yimbelela sweswi eka la ndzi n’wi rhandzaka swinene risimu ra la ndzi rhandzaka mayelana ni nsimu yakwe ya madiriva. La ndzi rhandzaka swinene u ni nsimu ya madiriva entshaveni leyi noneke ngopfu: U yi biyerile, a susa maribye ya yona, a yi byela hi murhi wa vhinya lowu hlawuriweke swinene, a aka xihondzo exikarhi ka yona, naswona a endla xigayo xa vhinyo endzeni ka yona: kutani a langutela leswaku yi humesa madiriva, kambe yi humese madiriva ya nhova. Kutani sweswi, n’wina vaaki va Yerusalema ni vavanuna va Yuda, ndzi kombela leswaku mi avanyisa exikarhi ka mina ni nsimu ya mina ya madiriva. Xana i yini lexi a xi nga ha endliwa eka nsimu ya mina ya madiriva lexi ndzi nga xi endlaka eka yona? hikwalaho ka yini, loko ndzi langutela leswaku yi humesa madiriva, yi humese madiriva ya nhova? Kutani sweswi tanani; ndzi ta mi byela leswi ndzi nga ta swi endla eka nsimu ya mina ya madiriva: Ndzi ta susa rirhangu ra yona, kutani yi ta dyiwa; ndzi ta hirimuxa khumbi ra yona, kutani yi ta kandziyeriwa ehansi: Ndzi ta yi hundzula ndhawu leyi onhiweke; a yi nge tsemiwi, hambi ku ri ku ceriwa; kambe ku ta mila mitwa ni swihlahla leswi tlhavaka: ndzi ta tlhela ndzi lerisa mapapa leswaku ma nga yi niselisi mpfula. Hikuva nsimu ya madiriva ya HOSI ya mavuthu i yindlu ya Israyele, naswona vavanuna va Yuda i murhi wakwe lowu n’wi tsakisaka: kutani a langutela vuavanyisi, kambe waswivo, ku tshikileriwa; a langutela ku lulama, kambe waswivo, xirilo. Esaya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ni Daniel — Bilangan Enam Puluh Lima</dc:title>
  <dc:subject>Penyingkapan Nubuat: Memahami Kekecewaan 18 Juli 2020 dan Terbukanya Pekabaran Seruan Tengah Malam pada Hari-hari Terakhir</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