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Enam Puluh Tujuh</w:t>
      </w:r>
    </w:p>
    <w:p>
      <w:pPr>
        <w:pStyle w:val="ArticleSubtitle"/>
        <w:jc w:val="left"/>
      </w:pPr>
      <w:r>
        <w:rPr>
          <w:rFonts w:ascii="Arial" w:hAnsi="Arial" w:eastAsia="Arial" w:cs="Arial"/>
        </w:rPr>
        <w:t>Kulezgo ka Siprofeto: Islamu, Seetembere 11, 2001, ni Siku ya Upepo wa Mashariki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Islam wokin bong pangkat gitamko September 11, 2001, aro uni rang∙ko dakgipa ong∙a ine katchinikgimin itihaso sokbaaha, aro uamangko rang∙sanan dondake dakaha. Ua somoio ja∙manchi chu∙sokani cha∙ani ga∙akna a∙bachengaha, indiba iani “sisiako man∙gimin” ong∙aha.</w:t>
      </w:r>
    </w:p>
    <w:p>
      <w:pPr>
        <w:pStyle w:val="ArticleScripture"/>
        <w:jc w:val="left"/>
      </w:pPr>
      <w:r>
        <w:rPr>
          <w:rFonts w:ascii="Times New Roman" w:hAnsi="Times New Roman" w:eastAsia="Times New Roman" w:cs="Times New Roman"/>
        </w:rPr>
        <w:t>Dalam sukatan, apabila ia bertunas, Engkau akan berperkara dengannya; Ia menahan angin-Nya yang keras pada hari angin timur. Oleh sebab itu, kesalahan Yakub akan disucikan; dan inilah seluruh buahnya, yaitu penghapusan dosanya; apabila ia menjadikan segala batu mezbah seperti batu kapur yang diremukkan berkeping-keping, maka tiang-tiang berhala dan patung-patung tidak akan tetap berdiri. Namun kota yang berkubu itu akan menjadi sunyi sepi, dan tempat kediaman akan ditinggalkan, serta dibiarkan seperti padang gurun; di sana anak lembu akan makan rumput, dan di sana ia akan berbaring, serta memakan habis cabang-cabangnya. Apabila ranting-rantingnya telah menjadi kering, semuanya akan dipatahkan; perempuan-perempuan datang lalu membakarnya; kerana itulah suatu bangsa yang tidak berpengertian; sebab itu Dia yang menjadikan mereka tidak akan berbelas kasihan kepada mereka, dan Dia yang membentuk mereka tidak akan menunjukkan kemurahan kepada mereka. Maka akan terjadi pada hari itu, bahawa Tuhan akan mengirik dari saluran sungai itu sampai ke anak sungai Mesir, dan kamu akan dihimpunkan seorang demi seorang, hai bani Israel. Maka akan terjadi pada hari itu, bahawa sangkakala besar akan ditiup, lalu mereka yang hampir binasa di tanah Asyur, dan mereka yang terbuang di tanah Mesir, akan datang dan akan menyembah Tuhan di gunung kudus di Yerusalem. Yesaya 27:6–13.</w:t>
      </w:r>
    </w:p>
    <w:p>
      <w:pPr>
        <w:pStyle w:val="ArticleBody"/>
        <w:jc w:val="left"/>
      </w:pPr>
      <w:r>
        <w:rPr>
          <w:rFonts w:ascii="Times New Roman" w:hAnsi="Times New Roman" w:eastAsia="Times New Roman" w:cs="Times New Roman"/>
        </w:rPr>
        <w:t>“</w:t>
      </w:r>
      <w:r>
        <w:rPr>
          <w:rFonts w:ascii="Myanmar Text" w:hAnsi="Myanmar Text" w:eastAsia="Myanmar Text" w:cs="Myanmar Text"/>
        </w:rPr>
        <w:t>တောင်လေ၏နေ့</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နောက်မိုးရွာချိန်၏</w:t>
      </w:r>
      <w:r>
        <w:rPr>
          <w:rFonts w:ascii="Times New Roman" w:hAnsi="Times New Roman" w:eastAsia="Times New Roman" w:cs="Times New Roman"/>
        </w:rPr>
        <w:t xml:space="preserve"> </w:t>
      </w:r>
      <w:r>
        <w:rPr>
          <w:rFonts w:ascii="Myanmar Text" w:hAnsi="Myanmar Text" w:eastAsia="Myanmar Text" w:cs="Myanmar Text"/>
        </w:rPr>
        <w:t>ရောက်ရှိလာမှုကိုလည်းကောင်း၊</w:t>
      </w:r>
      <w:r>
        <w:rPr>
          <w:rFonts w:ascii="Times New Roman" w:hAnsi="Times New Roman" w:eastAsia="Times New Roman" w:cs="Times New Roman"/>
        </w:rPr>
        <w:t xml:space="preserve"> </w:t>
      </w:r>
      <w:r>
        <w:rPr>
          <w:rFonts w:ascii="Myanmar Text" w:hAnsi="Myanmar Text" w:eastAsia="Myanmar Text" w:cs="Myanmar Text"/>
        </w:rPr>
        <w:t>တတိယအမင်္ဂလာနှင့်ဆိုင်သော</w:t>
      </w:r>
      <w:r>
        <w:rPr>
          <w:rFonts w:ascii="Times New Roman" w:hAnsi="Times New Roman" w:eastAsia="Times New Roman" w:cs="Times New Roman"/>
        </w:rPr>
        <w:t xml:space="preserve"> </w:t>
      </w:r>
      <w:r>
        <w:rPr>
          <w:rFonts w:ascii="Myanmar Text" w:hAnsi="Myanmar Text" w:eastAsia="Myanmar Text" w:cs="Myanmar Text"/>
        </w:rPr>
        <w:t>အစ္စလာမ်ကိုလည်းကောင်း</w:t>
      </w:r>
      <w:r>
        <w:rPr>
          <w:rFonts w:ascii="Times New Roman" w:hAnsi="Times New Roman" w:eastAsia="Times New Roman" w:cs="Times New Roman"/>
        </w:rPr>
        <w:t xml:space="preserve"> </w:t>
      </w:r>
      <w:r>
        <w:rPr>
          <w:rFonts w:ascii="Myanmar Text" w:hAnsi="Myanmar Text" w:eastAsia="Myanmar Text" w:cs="Myanmar Text"/>
        </w:rPr>
        <w:t>ဖော်ညွှန်းသည်။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ယာကုပ်၏ဒုစရိုက်ကို</w:t>
      </w:r>
      <w:r>
        <w:rPr>
          <w:rFonts w:ascii="Times New Roman" w:hAnsi="Times New Roman" w:eastAsia="Times New Roman" w:cs="Times New Roman"/>
        </w:rPr>
        <w:t xml:space="preserve"> </w:t>
      </w:r>
      <w:r>
        <w:rPr>
          <w:rFonts w:ascii="Myanmar Text" w:hAnsi="Myanmar Text" w:eastAsia="Myanmar Text" w:cs="Myanmar Text"/>
        </w:rPr>
        <w:t>သန့်စင်ဖယ်ရှားသော</w:t>
      </w:r>
      <w:r>
        <w:rPr>
          <w:rFonts w:ascii="Times New Roman" w:hAnsi="Times New Roman" w:eastAsia="Times New Roman" w:cs="Times New Roman"/>
        </w:rPr>
        <w:t xml:space="preserve">” </w:t>
      </w:r>
      <w:r>
        <w:rPr>
          <w:rFonts w:ascii="Myanmar Text" w:hAnsi="Myanmar Text" w:eastAsia="Myanmar Text" w:cs="Myanmar Text"/>
        </w:rPr>
        <w:t>သမိုင်းကာလ၏</w:t>
      </w:r>
      <w:r>
        <w:rPr>
          <w:rFonts w:ascii="Times New Roman" w:hAnsi="Times New Roman" w:eastAsia="Times New Roman" w:cs="Times New Roman"/>
        </w:rPr>
        <w:t xml:space="preserve"> </w:t>
      </w:r>
      <w:r>
        <w:rPr>
          <w:rFonts w:ascii="Myanmar Text" w:hAnsi="Myanmar Text" w:eastAsia="Myanmar Text" w:cs="Myanmar Text"/>
        </w:rPr>
        <w:t>အစကိုလည်း</w:t>
      </w:r>
      <w:r>
        <w:rPr>
          <w:rFonts w:ascii="Times New Roman" w:hAnsi="Times New Roman" w:eastAsia="Times New Roman" w:cs="Times New Roman"/>
        </w:rPr>
        <w:t xml:space="preserve"> </w:t>
      </w:r>
      <w:r>
        <w:rPr>
          <w:rFonts w:ascii="Myanmar Text" w:hAnsi="Myanmar Text" w:eastAsia="Myanmar Text" w:cs="Myanmar Text"/>
        </w:rPr>
        <w:t>သတ်မှတ်ပေးသည်။</w:t>
      </w:r>
      <w:r>
        <w:rPr>
          <w:rFonts w:ascii="Times New Roman" w:hAnsi="Times New Roman" w:eastAsia="Times New Roman" w:cs="Times New Roman"/>
        </w:rPr>
        <w:t xml:space="preserve"> </w:t>
      </w:r>
      <w:r>
        <w:rPr>
          <w:rFonts w:ascii="Myanmar Text" w:hAnsi="Myanmar Text" w:eastAsia="Myanmar Text" w:cs="Myanmar Text"/>
        </w:rPr>
        <w:t>တောင်လေ၏နေ့သည်</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ရောက်ရှိလာခဲ့ပြီး၊</w:t>
      </w:r>
      <w:r>
        <w:rPr>
          <w:rFonts w:ascii="Times New Roman" w:hAnsi="Times New Roman" w:eastAsia="Times New Roman" w:cs="Times New Roman"/>
        </w:rPr>
        <w:t xml:space="preserve"> </w:t>
      </w:r>
      <w:r>
        <w:rPr>
          <w:rFonts w:ascii="Myanmar Text" w:hAnsi="Myanmar Text" w:eastAsia="Myanmar Text" w:cs="Myanmar Text"/>
        </w:rPr>
        <w:t>ထိုအချိန်မှစ၍</w:t>
      </w:r>
      <w:r>
        <w:rPr>
          <w:rFonts w:ascii="Times New Roman" w:hAnsi="Times New Roman" w:eastAsia="Times New Roman" w:cs="Times New Roman"/>
        </w:rPr>
        <w:t xml:space="preserve"> </w:t>
      </w:r>
      <w:r>
        <w:rPr>
          <w:rFonts w:ascii="Myanmar Text" w:hAnsi="Myanmar Text" w:eastAsia="Myanmar Text" w:cs="Myanmar Text"/>
        </w:rPr>
        <w:t>အသက်ရှင်သူတို့၏</w:t>
      </w:r>
      <w:r>
        <w:rPr>
          <w:rFonts w:ascii="Times New Roman" w:hAnsi="Times New Roman" w:eastAsia="Times New Roman" w:cs="Times New Roman"/>
        </w:rPr>
        <w:t xml:space="preserve"> </w:t>
      </w:r>
      <w:r>
        <w:rPr>
          <w:rFonts w:ascii="Myanmar Text" w:hAnsi="Myanmar Text" w:eastAsia="Myanmar Text" w:cs="Myanmar Text"/>
        </w:rPr>
        <w:t>တရားစီရင်ခြင်းသည်</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အသက်ရှင်သူတို့၏</w:t>
      </w:r>
      <w:r>
        <w:rPr>
          <w:rFonts w:ascii="Times New Roman" w:hAnsi="Times New Roman" w:eastAsia="Times New Roman" w:cs="Times New Roman"/>
        </w:rPr>
        <w:t xml:space="preserve"> </w:t>
      </w:r>
      <w:r>
        <w:rPr>
          <w:rFonts w:ascii="Myanmar Text" w:hAnsi="Myanmar Text" w:eastAsia="Myanmar Text" w:cs="Myanmar Text"/>
        </w:rPr>
        <w:t>တရားစီရင်ခြင်းသည်</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ပိတ်သိမ်းရေးအမှုဖြစ်ပြီး၊</w:t>
      </w:r>
      <w:r>
        <w:rPr>
          <w:rFonts w:ascii="Times New Roman" w:hAnsi="Times New Roman" w:eastAsia="Times New Roman" w:cs="Times New Roman"/>
        </w:rPr>
        <w:t xml:space="preserve"> </w:t>
      </w:r>
      <w:r>
        <w:rPr>
          <w:rFonts w:ascii="Myanmar Text" w:hAnsi="Myanmar Text" w:eastAsia="Myanmar Text" w:cs="Myanmar Text"/>
        </w:rPr>
        <w:t>ထိုနေရာ၌ပင်</w:t>
      </w:r>
      <w:r>
        <w:rPr>
          <w:rFonts w:ascii="Times New Roman" w:hAnsi="Times New Roman" w:eastAsia="Times New Roman" w:cs="Times New Roman"/>
        </w:rPr>
        <w:t xml:space="preserve"> </w:t>
      </w:r>
      <w:r>
        <w:rPr>
          <w:rFonts w:ascii="Myanmar Text" w:hAnsi="Myanmar Text" w:eastAsia="Myanmar Text" w:cs="Myanmar Text"/>
        </w:rPr>
        <w:t>တစ်သိန်းလေးသောင်းလေးထောင်တို့၏</w:t>
      </w:r>
      <w:r>
        <w:rPr>
          <w:rFonts w:ascii="Times New Roman" w:hAnsi="Times New Roman" w:eastAsia="Times New Roman" w:cs="Times New Roman"/>
        </w:rPr>
        <w:t xml:space="preserve"> </w:t>
      </w:r>
      <w:r>
        <w:rPr>
          <w:rFonts w:ascii="Myanmar Text" w:hAnsi="Myanmar Text" w:eastAsia="Myanmar Text" w:cs="Myanmar Text"/>
        </w:rPr>
        <w:t>အပြစ်များကို</w:t>
      </w:r>
      <w:r>
        <w:rPr>
          <w:rFonts w:ascii="Times New Roman" w:hAnsi="Times New Roman" w:eastAsia="Times New Roman" w:cs="Times New Roman"/>
        </w:rPr>
        <w:t xml:space="preserve"> </w:t>
      </w:r>
      <w:r>
        <w:rPr>
          <w:rFonts w:ascii="Myanmar Text" w:hAnsi="Myanmar Text" w:eastAsia="Myanmar Text" w:cs="Myanmar Text"/>
        </w:rPr>
        <w:t>ဖယ်ရှားခြင်းသည်</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ထိုအရာကိုပင်</w:t>
      </w:r>
      <w:r>
        <w:rPr>
          <w:rFonts w:ascii="Times New Roman" w:hAnsi="Times New Roman" w:eastAsia="Times New Roman" w:cs="Times New Roman"/>
        </w:rPr>
        <w:t xml:space="preserve"> </w:t>
      </w:r>
      <w:r>
        <w:rPr>
          <w:rFonts w:ascii="Myanmar Text" w:hAnsi="Myanmar Text" w:eastAsia="Myanmar Text" w:cs="Myanmar Text"/>
        </w:rPr>
        <w:t>ဟေရှာယက</w:t>
      </w:r>
      <w:r>
        <w:rPr>
          <w:rFonts w:ascii="Times New Roman" w:hAnsi="Times New Roman" w:eastAsia="Times New Roman" w:cs="Times New Roman"/>
        </w:rPr>
        <w:t xml:space="preserve"> “</w:t>
      </w:r>
      <w:r>
        <w:rPr>
          <w:rFonts w:ascii="Myanmar Text" w:hAnsi="Myanmar Text" w:eastAsia="Myanmar Text" w:cs="Myanmar Text"/>
        </w:rPr>
        <w:t>ဤအရာအားဖြင့်</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ရေးသားသောအခါ</w:t>
      </w:r>
      <w:r>
        <w:rPr>
          <w:rFonts w:ascii="Times New Roman" w:hAnsi="Times New Roman" w:eastAsia="Times New Roman" w:cs="Times New Roman"/>
        </w:rPr>
        <w:t xml:space="preserve"> </w:t>
      </w:r>
      <w:r>
        <w:rPr>
          <w:rFonts w:ascii="Myanmar Text" w:hAnsi="Myanmar Text" w:eastAsia="Myanmar Text" w:cs="Myanmar Text"/>
        </w:rPr>
        <w:t>ဆိုလိုခြင်းဖြစ်သည်။</w:t>
      </w:r>
    </w:p>
    <w:p>
      <w:pPr>
        <w:pStyle w:val="ArticleBody"/>
        <w:jc w:val="left"/>
      </w:pPr>
      <w:r>
        <w:rPr>
          <w:rFonts w:ascii="Leelawadee UI" w:hAnsi="Leelawadee UI" w:eastAsia="Leelawadee UI" w:cs="Leelawadee UI"/>
        </w:rPr>
        <w:t>ពាក្យដែលនាំមុខឃ្លា</w:t>
      </w:r>
      <w:r>
        <w:rPr>
          <w:rFonts w:ascii="Times New Roman" w:hAnsi="Times New Roman" w:eastAsia="Times New Roman" w:cs="Times New Roman"/>
        </w:rPr>
        <w:t xml:space="preserve"> «</w:t>
      </w:r>
      <w:r>
        <w:rPr>
          <w:rFonts w:ascii="Leelawadee UI" w:hAnsi="Leelawadee UI" w:eastAsia="Leelawadee UI" w:cs="Leelawadee UI"/>
        </w:rPr>
        <w:t>ដោយនេះ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w:t>
      </w:r>
      <w:r>
        <w:rPr>
          <w:rFonts w:ascii="Leelawadee UI" w:hAnsi="Leelawadee UI" w:eastAsia="Leelawadee UI" w:cs="Leelawadee UI"/>
        </w:rPr>
        <w:t>តាមខ្នាត</w:t>
      </w:r>
      <w:r>
        <w:rPr>
          <w:rFonts w:ascii="Times New Roman" w:hAnsi="Times New Roman" w:eastAsia="Times New Roman" w:cs="Times New Roman"/>
        </w:rPr>
        <w:t xml:space="preserve"> </w:t>
      </w:r>
      <w:r>
        <w:rPr>
          <w:rFonts w:ascii="Leelawadee UI" w:hAnsi="Leelawadee UI" w:eastAsia="Leelawadee UI" w:cs="Leelawadee UI"/>
        </w:rPr>
        <w:t>ពេលវាបន្លាយចេញមក</w:t>
      </w:r>
      <w:r>
        <w:rPr>
          <w:rFonts w:ascii="Times New Roman" w:hAnsi="Times New Roman" w:eastAsia="Times New Roman" w:cs="Times New Roman"/>
        </w:rPr>
        <w:t xml:space="preserve"> </w:t>
      </w:r>
      <w:r>
        <w:rPr>
          <w:rFonts w:ascii="Leelawadee UI" w:hAnsi="Leelawadee UI" w:eastAsia="Leelawadee UI" w:cs="Leelawadee UI"/>
        </w:rPr>
        <w:t>អ្នកនឹងជជែកដេញដោលជាមួយវា៖</w:t>
      </w:r>
      <w:r>
        <w:rPr>
          <w:rFonts w:ascii="Times New Roman" w:hAnsi="Times New Roman" w:eastAsia="Times New Roman" w:cs="Times New Roman"/>
        </w:rPr>
        <w:t xml:space="preserve"> </w:t>
      </w:r>
      <w:r>
        <w:rPr>
          <w:rFonts w:ascii="Leelawadee UI" w:hAnsi="Leelawadee UI" w:eastAsia="Leelawadee UI" w:cs="Leelawadee UI"/>
        </w:rPr>
        <w:t>ទ្រង់បានទប់ខ្យល់ដ៏កាចរបស់ទ្រង់</w:t>
      </w:r>
      <w:r>
        <w:rPr>
          <w:rFonts w:ascii="Times New Roman" w:hAnsi="Times New Roman" w:eastAsia="Times New Roman" w:cs="Times New Roman"/>
        </w:rPr>
        <w:t xml:space="preserve"> </w:t>
      </w:r>
      <w:r>
        <w:rPr>
          <w:rFonts w:ascii="Leelawadee UI" w:hAnsi="Leelawadee UI" w:eastAsia="Leelawadee UI" w:cs="Leelawadee UI"/>
        </w:rPr>
        <w:t>នៅថ្ងៃនៃខ្យល់ខាងកើត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ដោយនេះ</w:t>
      </w:r>
      <w:r>
        <w:rPr>
          <w:rFonts w:ascii="Times New Roman" w:hAnsi="Times New Roman" w:eastAsia="Times New Roman" w:cs="Times New Roman"/>
        </w:rPr>
        <w:t xml:space="preserve">» </w:t>
      </w:r>
      <w:r>
        <w:rPr>
          <w:rFonts w:ascii="Leelawadee UI" w:hAnsi="Leelawadee UI" w:eastAsia="Leelawadee UI" w:cs="Leelawadee UI"/>
        </w:rPr>
        <w:t>កំពុងកំណត់អត្តសញ្ញាណសេចក្តីពិតជាក់លាក់នៃការសាកល្បង</w:t>
      </w:r>
      <w:r>
        <w:rPr>
          <w:rFonts w:ascii="Times New Roman" w:hAnsi="Times New Roman" w:eastAsia="Times New Roman" w:cs="Times New Roman"/>
        </w:rPr>
        <w:t xml:space="preserve"> </w:t>
      </w:r>
      <w:r>
        <w:rPr>
          <w:rFonts w:ascii="Leelawadee UI" w:hAnsi="Leelawadee UI" w:eastAsia="Leelawadee UI" w:cs="Leelawadee UI"/>
        </w:rPr>
        <w:t>ដែលសម្អាតអំពើបាបចេញពីអ្នកដែលត្រូវបានតំណាងថាជាយ៉ាកុប។</w:t>
      </w:r>
      <w:r>
        <w:rPr>
          <w:rFonts w:ascii="Times New Roman" w:hAnsi="Times New Roman" w:eastAsia="Times New Roman" w:cs="Times New Roman"/>
        </w:rPr>
        <w:t xml:space="preserve"> </w:t>
      </w:r>
      <w:r>
        <w:rPr>
          <w:rFonts w:ascii="Leelawadee UI" w:hAnsi="Leelawadee UI" w:eastAsia="Leelawadee UI" w:cs="Leelawadee UI"/>
        </w:rPr>
        <w:t>សេចក្តីពិតទាំងនោះរួមមានព្រឹត្តិការណ៍</w:t>
      </w:r>
      <w:r>
        <w:rPr>
          <w:rFonts w:ascii="Times New Roman" w:hAnsi="Times New Roman" w:eastAsia="Times New Roman" w:cs="Times New Roman"/>
        </w:rPr>
        <w:t xml:space="preserve"> (9/11) </w:t>
      </w:r>
      <w:r>
        <w:rPr>
          <w:rFonts w:ascii="Leelawadee UI" w:hAnsi="Leelawadee UI" w:eastAsia="Leelawadee UI" w:cs="Leelawadee UI"/>
        </w:rPr>
        <w:t>ដែលសម្គាល់ការមកដល់នៃភ្លៀងចុងក្រោយ។</w:t>
      </w:r>
      <w:r>
        <w:rPr>
          <w:rFonts w:ascii="Times New Roman" w:hAnsi="Times New Roman" w:eastAsia="Times New Roman" w:cs="Times New Roman"/>
        </w:rPr>
        <w:t xml:space="preserve"> </w:t>
      </w:r>
      <w:r>
        <w:rPr>
          <w:rFonts w:ascii="Leelawadee UI" w:hAnsi="Leelawadee UI" w:eastAsia="Leelawadee UI" w:cs="Leelawadee UI"/>
        </w:rPr>
        <w:t>សេចក្តីពិតទាំងនោះរួមមាននិយមន័យនៃភ្លៀងចុងក្រោយថាជា</w:t>
      </w:r>
      <w:r>
        <w:rPr>
          <w:rFonts w:ascii="Times New Roman" w:hAnsi="Times New Roman" w:eastAsia="Times New Roman" w:cs="Times New Roman"/>
        </w:rPr>
        <w:t xml:space="preserve"> «</w:t>
      </w:r>
      <w:r>
        <w:rPr>
          <w:rFonts w:ascii="Leelawadee UI" w:hAnsi="Leelawadee UI" w:eastAsia="Leelawadee UI" w:cs="Leelawadee UI"/>
        </w:rPr>
        <w:t>សារ</w:t>
      </w:r>
      <w:r>
        <w:rPr>
          <w:rFonts w:ascii="Times New Roman" w:hAnsi="Times New Roman" w:eastAsia="Times New Roman" w:cs="Times New Roman"/>
        </w:rPr>
        <w:t xml:space="preserve">» </w:t>
      </w:r>
      <w:r>
        <w:rPr>
          <w:rFonts w:ascii="Leelawadee UI" w:hAnsi="Leelawadee UI" w:eastAsia="Leelawadee UI" w:cs="Leelawadee UI"/>
        </w:rPr>
        <w:t>ហើយ</w:t>
      </w:r>
      <w:r>
        <w:rPr>
          <w:rFonts w:ascii="Times New Roman" w:hAnsi="Times New Roman" w:eastAsia="Times New Roman" w:cs="Times New Roman"/>
        </w:rPr>
        <w:t xml:space="preserve"> «</w:t>
      </w:r>
      <w:r>
        <w:rPr>
          <w:rFonts w:ascii="Leelawadee UI" w:hAnsi="Leelawadee UI" w:eastAsia="Leelawadee UI" w:cs="Leelawadee UI"/>
        </w:rPr>
        <w:t>សារ</w:t>
      </w:r>
      <w:r>
        <w:rPr>
          <w:rFonts w:ascii="Times New Roman" w:hAnsi="Times New Roman" w:eastAsia="Times New Roman" w:cs="Times New Roman"/>
        </w:rPr>
        <w:t xml:space="preserve">» </w:t>
      </w:r>
      <w:r>
        <w:rPr>
          <w:rFonts w:ascii="Leelawadee UI" w:hAnsi="Leelawadee UI" w:eastAsia="Leelawadee UI" w:cs="Leelawadee UI"/>
        </w:rPr>
        <w:t>នោះគឺឥស្លាម។</w:t>
      </w:r>
      <w:r>
        <w:rPr>
          <w:rFonts w:ascii="Times New Roman" w:hAnsi="Times New Roman" w:eastAsia="Times New Roman" w:cs="Times New Roman"/>
        </w:rPr>
        <w:t xml:space="preserve"> </w:t>
      </w:r>
      <w:r>
        <w:rPr>
          <w:rFonts w:ascii="Leelawadee UI" w:hAnsi="Leelawadee UI" w:eastAsia="Leelawadee UI" w:cs="Leelawadee UI"/>
        </w:rPr>
        <w:t>វារួមបញ្ចូលទាំងសេចក្តីពិតថា</w:t>
      </w:r>
      <w:r>
        <w:rPr>
          <w:rFonts w:ascii="Times New Roman" w:hAnsi="Times New Roman" w:eastAsia="Times New Roman" w:cs="Times New Roman"/>
        </w:rPr>
        <w:t xml:space="preserve"> «</w:t>
      </w:r>
      <w:r>
        <w:rPr>
          <w:rFonts w:ascii="Leelawadee UI" w:hAnsi="Leelawadee UI" w:eastAsia="Leelawadee UI" w:cs="Leelawadee UI"/>
        </w:rPr>
        <w:t>ខ្យល់ខាងកើត</w:t>
      </w:r>
      <w:r>
        <w:rPr>
          <w:rFonts w:ascii="Times New Roman" w:hAnsi="Times New Roman" w:eastAsia="Times New Roman" w:cs="Times New Roman"/>
        </w:rPr>
        <w:t xml:space="preserve">» </w:t>
      </w:r>
      <w:r>
        <w:rPr>
          <w:rFonts w:ascii="Leelawadee UI" w:hAnsi="Leelawadee UI" w:eastAsia="Leelawadee UI" w:cs="Leelawadee UI"/>
        </w:rPr>
        <w:t>គឺជាឥស្លាមនៃវេទនាទីបី</w:t>
      </w:r>
      <w:r>
        <w:rPr>
          <w:rFonts w:ascii="Times New Roman" w:hAnsi="Times New Roman" w:eastAsia="Times New Roman" w:cs="Times New Roman"/>
        </w:rPr>
        <w:t xml:space="preserve"> </w:t>
      </w:r>
      <w:r>
        <w:rPr>
          <w:rFonts w:ascii="Leelawadee UI" w:hAnsi="Leelawadee UI" w:eastAsia="Leelawadee UI" w:cs="Leelawadee UI"/>
        </w:rPr>
        <w:t>ហើយវារួមបញ្ចូលទាំងលក្ខណៈព្យាករណ៍នៃការទប់ស្កាត់ជាបន្តបន្ទាប់របស់ឥស្លាម</w:t>
      </w:r>
      <w:r>
        <w:rPr>
          <w:rFonts w:ascii="Times New Roman" w:hAnsi="Times New Roman" w:eastAsia="Times New Roman" w:cs="Times New Roman"/>
        </w:rPr>
        <w:t xml:space="preserve"> (</w:t>
      </w:r>
      <w:r>
        <w:rPr>
          <w:rFonts w:ascii="Leelawadee UI" w:hAnsi="Leelawadee UI" w:eastAsia="Leelawadee UI" w:cs="Leelawadee UI"/>
        </w:rPr>
        <w:t>ទប់ទុក</w:t>
      </w:r>
      <w:r>
        <w:rPr>
          <w:rFonts w:ascii="Times New Roman" w:hAnsi="Times New Roman" w:eastAsia="Times New Roman" w:cs="Times New Roman"/>
        </w:rPr>
        <w:t xml:space="preserve">) </w:t>
      </w:r>
      <w:r>
        <w:rPr>
          <w:rFonts w:ascii="Leelawadee UI" w:hAnsi="Leelawadee UI" w:eastAsia="Leelawadee UI" w:cs="Leelawadee UI"/>
        </w:rPr>
        <w:t>ផងដែរ។</w:t>
      </w:r>
    </w:p>
    <w:p>
      <w:pPr>
        <w:pStyle w:val="ArticleBody"/>
        <w:jc w:val="left"/>
      </w:pPr>
      <w:r>
        <w:rPr>
          <w:rFonts w:ascii="Times New Roman" w:hAnsi="Times New Roman" w:eastAsia="Times New Roman" w:cs="Times New Roman"/>
        </w:rPr>
        <w:t>Pengujian itu sendiri dilambangkan oleh “perdebatan,” yang bermula pada 11 September 2001. Yeremia, ketika melambangkan kekecewaan yang pertama, dinasihati supaya “kembali” kepada Tuhan dan memisahkan yang berharga daripada yang hina. “Buah” daripada pekabaran pengujian itu menghasilkan dua golongan penyembah.</w:t>
      </w:r>
    </w:p>
    <w:p>
      <w:pPr>
        <w:pStyle w:val="ArticleBody"/>
        <w:jc w:val="left"/>
      </w:pPr>
      <w:r>
        <w:rPr>
          <w:rFonts w:ascii="Times New Roman" w:hAnsi="Times New Roman" w:eastAsia="Times New Roman" w:cs="Times New Roman"/>
        </w:rPr>
        <w:t>Ka bukho ba ba se nang botlhale bo emetswe jaana: “fa a dira maje otlhe a aletareng jaaka maje a tšhoko a a robagantsweng, ditlhare tsa medimo le ditshwantsho di se ka tsa ema.” Isaia o kaya tshwetso e e builweng kgatlhanong le ba ba menolang dilo, mo dikgaolong tsa masome a mabedi le boferabobedi le masome a mabedi le boferabongwe. Ke bone ba ba sa kgoneng go tlhaloganya buka e e kanelweng. Tiro (leungo) ya baikepi e tshwanetse go tsewa e le letsopa la mmopi wa dipitsa.</w:t>
      </w:r>
    </w:p>
    <w:p>
      <w:pPr>
        <w:pStyle w:val="ArticleScripture"/>
        <w:jc w:val="left"/>
      </w:pPr>
      <w:r>
        <w:rPr>
          <w:rFonts w:ascii="Times New Roman" w:hAnsi="Times New Roman" w:eastAsia="Times New Roman" w:cs="Times New Roman"/>
        </w:rPr>
        <w:t>Ka hona, bonang, ke tla tsoela pele ho etsa mosebetsi o hlollang har’a sechaba sena, e leng mosebetsi o hlollang le mohlolo; hobane bohlale ba banna ba bona ba bohlale bo tla timela, ’me kutloisiso ea banna ba bona ba masene e tla patoa. Ho malimabe ba chekang botebong ho pata merero ea bona ho Jehova, le bao mesebetsi ea bona e leng lefifing, ba reng: Ke mang ea re bonang? ’me ke mang ea re tsebang? Kannete ho kheloha ha lōna ha lintho ho li phethola ho tla nkoa joaloka letsopa la ’mōpi; etsoe na mosebetsi o ka re ho ea o entseng: Ha aa ka a nketsa? kapa na ntho e bōpiloeng e ka re ho ea e bōpileng: O ne a se na kutloisiso? Esaia 29:14–16.</w:t>
      </w:r>
    </w:p>
    <w:p>
      <w:pPr>
        <w:pStyle w:val="ArticleBody"/>
        <w:jc w:val="left"/>
      </w:pPr>
      <w:r>
        <w:rPr>
          <w:rFonts w:ascii="Times New Roman" w:hAnsi="Times New Roman" w:eastAsia="Times New Roman" w:cs="Times New Roman"/>
        </w:rPr>
        <w:t>Tirhegna ka lalau biangin tisa mdw, ma mna phadna saka sni-sni, mara ha ki chapṭar ni somgni snini, a lalau ka donga gipa bewalo minggipa cholonchi rongtalataniko man∙a, chong∙motan, chalk ritingrang gita, jemangko chapchapatachi pil pil pilata. Chalk ba mdwsa sika pil pilgipa ong∙a, aro “altarni pilak rongrangko chalk ritingrang gita chapchapatachi pil pil pilatna” gita dakani chin, aro “groves aro images” rangko galgipa kamko nangrimaniko man∙gipa, manderang “chadengjawa” ine ong∙genchim, uan raja Josiahni reformationchi mesokgipa kam ong∙a. Bon∙kamgipa revival aro reformationo, je reformation Josiahni reformationchi mesokgipa ong∙a, Adventist corporate structure bon∙gimin ong∙gen, maina “the defenced city shall be desolate, and the habitation forsaken, and left like a wilderness.” Uamangni pilak lalau, chong∙motan, a∙gilsak gimikni charchrang, skoolrang, college-rang, university-rang, hospital-rang aro office building-rang hajarrang, katchinikani cholonchi gamgijagipa pil pilgipa mdwsa gita chapchapatachi pil pil pilatako man∙gen.</w:t>
      </w:r>
    </w:p>
    <w:p>
      <w:pPr>
        <w:pStyle w:val="ArticleBody"/>
        <w:jc w:val="left"/>
      </w:pPr>
      <w:r>
        <w:rPr>
          <w:rFonts w:ascii="Times New Roman" w:hAnsi="Times New Roman" w:eastAsia="Times New Roman" w:cs="Times New Roman"/>
        </w:rPr>
        <w:t>Ke maloko le tla boela le be lesupi, hobane bao e leng “batho ba hlokang kutloisiso” ba tla ba joaloka “makala” a “ponetseng” a “tla rojoa” “a beheloe mollong,” hobane “ea ba entseng a ke ke a ba hauhela, ’me ea ba bopileng a ke ke a ba bontša mohau.”</w:t>
      </w:r>
    </w:p>
    <w:p>
      <w:pPr>
        <w:pStyle w:val="ArticleBody"/>
        <w:jc w:val="left"/>
      </w:pPr>
      <w:r>
        <w:rPr>
          <w:rFonts w:ascii="Times New Roman" w:hAnsi="Times New Roman" w:eastAsia="Times New Roman" w:cs="Times New Roman"/>
        </w:rPr>
        <w:t>Bila pengasingan yang disempurnakan oleh perkhabaran ujian itu telah lengkap, maka suara yang kedua dalam Wahyu fasal delapan belas memanggil kawanan Allah yang lain keluar dari Babilon, kerana pada hari itu “akan terjadi” bahawa “sangkakala besar akan ditiup, dan mereka yang hampir binasa di negeri Asyur, dan orang-orang buangan di negeri Mesir, akan datang dan akan menyembah TUHAN di gunung yang kudus, di Yerusalem.”</w:t>
      </w:r>
    </w:p>
    <w:p>
      <w:pPr>
        <w:pStyle w:val="ArticleBody"/>
        <w:jc w:val="left"/>
      </w:pPr>
      <w:r>
        <w:rPr>
          <w:rFonts w:ascii="Times New Roman" w:hAnsi="Times New Roman" w:eastAsia="Times New Roman" w:cs="Times New Roman"/>
        </w:rPr>
        <w:t>Petikan (Yesaya dua puluh tujuh, ayat lapan hingga tiga belas) yang sedang kita pertimbangkan ini mengenal pasti sejarah nubuat yang bermula pada 11 September 2001, dan menggambarkan ujian serta penyucian mereka yang akhirnya akan memanggil kawanan Allah yang lain keluar dari Babel. Ayat-ayat pembukaan dalam fasal yang sama mengenal pasti suatu nyanyian yang harus dinyanyikan pada masa sejarah itu juga.</w:t>
      </w:r>
    </w:p>
    <w:p>
      <w:pPr>
        <w:pStyle w:val="ArticleScripture"/>
        <w:jc w:val="left"/>
      </w:pPr>
      <w:r>
        <w:rPr>
          <w:rFonts w:ascii="Times New Roman" w:hAnsi="Times New Roman" w:eastAsia="Times New Roman" w:cs="Times New Roman"/>
        </w:rPr>
        <w:t>Ka letsatsi leo, mo opeleng ka ga ene lo re: Tšhemo ya merara ya beine e khibidu. Nna Morena ke a e boloka; ke tla e nosa ka dinako tsotlhe; gore e se ka ya gobala, ke tla e boloka bosigo le motshegare. Bogale ga bo yo mo go nna: ke mang yo o ka ntlhomelang mmitlwa le mebitlwa mo ntweng? Ke ne ke tla feta mo gare ga tsone, ke di fisetse tsotlhe mmogo. Kgotsa a a tshware nonofo ya me, gore a tle a dire kagiso le nna; mme o tla dira kagiso le nna. O tla dira gore ba ba tswang mo go Jakobe ba mele medi: Iseraele o tla thunya a bo a mela matlhogela, mme a tlatse lefatshe lotlhe ka maungo. A o mo iteile jaaka a iteile ba ba mo iteileng? Kgotsa a o bolailwe go ya ka polao ya ba ba bolailweng ke ene? Isaia 27:2–7.</w:t>
      </w:r>
    </w:p>
    <w:p>
      <w:pPr>
        <w:pStyle w:val="ArticleBody"/>
        <w:jc w:val="left"/>
      </w:pPr>
      <w:r>
        <w:rPr>
          <w:rFonts w:ascii="Times New Roman" w:hAnsi="Times New Roman" w:eastAsia="Times New Roman" w:cs="Times New Roman"/>
        </w:rPr>
        <w:t>Lagu kebun anggur itu ialah lagu yang mula-mula mengenal pasti umat Tuhan sebagai sebuah kebun anggur yang telah dikasihi dan dipelihara-Nya. Kemudian lagu itu mengemukakan suatu janji penerimaan bagi sesiapa pun yang ingin berpegang pada kebenaran Kristus. Selanjutnya, lagu itu mengenal pasti janji pencurahan Roh Kudus, yang dilambangkan oleh dua tahap hujan. Tahap hujan yang pertama menghidupkan bunga-bunga dan tunas-tunas, dan tahap yang kedua memenuhi bumi dengan buah.</w:t>
      </w:r>
    </w:p>
    <w:p>
      <w:pPr>
        <w:pStyle w:val="ArticleBody"/>
        <w:jc w:val="left"/>
      </w:pPr>
      <w:r>
        <w:rPr>
          <w:rFonts w:ascii="Times New Roman" w:hAnsi="Times New Roman" w:eastAsia="Times New Roman" w:cs="Times New Roman"/>
        </w:rPr>
        <w:t>Nyimbo ya shamba la mizabibu ndiyo wimbo unaotambua kipindi cha wakati ambapo Mungu anawapita watu wa zamani walioteuliwa, huku akiingia katika agano na watu wapya walioteuliwa. Aya ya nane na kuendelea ni kurudia tu na kufafanua kwa upana zaidi aya za mwanzo za sura hiyo. Aya ya kwanza ya sura hiyo inatambua tukio lilo hilo linalotambuliwa kama “siku ya upepo wa mashariki” katika aya ya nane.</w:t>
      </w:r>
    </w:p>
    <w:p>
      <w:pPr>
        <w:pStyle w:val="ArticleScripture"/>
        <w:jc w:val="left"/>
      </w:pPr>
      <w:r>
        <w:rPr>
          <w:rFonts w:ascii="Myanmar Text" w:hAnsi="Myanmar Text" w:eastAsia="Myanmar Text" w:cs="Myanmar Text"/>
        </w:rPr>
        <w:t>အဲဒီနေ့၌</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ပြင်းထန်၍</w:t>
      </w:r>
      <w:r>
        <w:rPr>
          <w:rFonts w:ascii="Times New Roman" w:hAnsi="Times New Roman" w:eastAsia="Times New Roman" w:cs="Times New Roman"/>
        </w:rPr>
        <w:t xml:space="preserve"> </w:t>
      </w:r>
      <w:r>
        <w:rPr>
          <w:rFonts w:ascii="Myanmar Text" w:hAnsi="Myanmar Text" w:eastAsia="Myanmar Text" w:cs="Myanmar Text"/>
        </w:rPr>
        <w:t>ကြီးမြတ်သန်မာသော</w:t>
      </w:r>
      <w:r>
        <w:rPr>
          <w:rFonts w:ascii="Times New Roman" w:hAnsi="Times New Roman" w:eastAsia="Times New Roman" w:cs="Times New Roman"/>
        </w:rPr>
        <w:t xml:space="preserve"> </w:t>
      </w:r>
      <w:r>
        <w:rPr>
          <w:rFonts w:ascii="Myanmar Text" w:hAnsi="Myanmar Text" w:eastAsia="Myanmar Text" w:cs="Myanmar Text"/>
        </w:rPr>
        <w:t>ထားဖြင့်</w:t>
      </w:r>
      <w:r>
        <w:rPr>
          <w:rFonts w:ascii="Times New Roman" w:hAnsi="Times New Roman" w:eastAsia="Times New Roman" w:cs="Times New Roman"/>
        </w:rPr>
        <w:t xml:space="preserve"> </w:t>
      </w:r>
      <w:r>
        <w:rPr>
          <w:rFonts w:ascii="Myanmar Text" w:hAnsi="Myanmar Text" w:eastAsia="Myanmar Text" w:cs="Myanmar Text"/>
        </w:rPr>
        <w:t>လျှောကောက်သွားတတ်သော</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လေဝိသန်ကို</w:t>
      </w:r>
      <w:r>
        <w:rPr>
          <w:rFonts w:ascii="Times New Roman" w:hAnsi="Times New Roman" w:eastAsia="Times New Roman" w:cs="Times New Roman"/>
        </w:rPr>
        <w:t xml:space="preserve"> </w:t>
      </w:r>
      <w:r>
        <w:rPr>
          <w:rFonts w:ascii="Myanmar Text" w:hAnsi="Myanmar Text" w:eastAsia="Myanmar Text" w:cs="Myanmar Text"/>
        </w:rPr>
        <w:t>အပြစ်ပေးတော်မူမည်။</w:t>
      </w:r>
      <w:r>
        <w:rPr>
          <w:rFonts w:ascii="Times New Roman" w:hAnsi="Times New Roman" w:eastAsia="Times New Roman" w:cs="Times New Roman"/>
        </w:rPr>
        <w:t xml:space="preserve"> </w:t>
      </w:r>
      <w:r>
        <w:rPr>
          <w:rFonts w:ascii="Myanmar Text" w:hAnsi="Myanmar Text" w:eastAsia="Myanmar Text" w:cs="Myanmar Text"/>
        </w:rPr>
        <w:t>ကွေ့ကောက်သော</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လေဝိသန်ကိုပင်</w:t>
      </w:r>
      <w:r>
        <w:rPr>
          <w:rFonts w:ascii="Times New Roman" w:hAnsi="Times New Roman" w:eastAsia="Times New Roman" w:cs="Times New Roman"/>
        </w:rPr>
        <w:t xml:space="preserve"> </w:t>
      </w:r>
      <w:r>
        <w:rPr>
          <w:rFonts w:ascii="Myanmar Text" w:hAnsi="Myanmar Text" w:eastAsia="Myanmar Text" w:cs="Myanmar Text"/>
        </w:rPr>
        <w:t>အပြစ်ပေးတော်မူ၍</w:t>
      </w:r>
      <w:r>
        <w:rPr>
          <w:rFonts w:ascii="Times New Roman" w:hAnsi="Times New Roman" w:eastAsia="Times New Roman" w:cs="Times New Roman"/>
        </w:rPr>
        <w:t xml:space="preserve"> </w:t>
      </w:r>
      <w:r>
        <w:rPr>
          <w:rFonts w:ascii="Myanmar Text" w:hAnsi="Myanmar Text" w:eastAsia="Myanmar Text" w:cs="Myanmar Text"/>
        </w:rPr>
        <w:t>ပင်လယ်၌ရှိသော</w:t>
      </w:r>
      <w:r>
        <w:rPr>
          <w:rFonts w:ascii="Times New Roman" w:hAnsi="Times New Roman" w:eastAsia="Times New Roman" w:cs="Times New Roman"/>
        </w:rPr>
        <w:t xml:space="preserve"> </w:t>
      </w:r>
      <w:r>
        <w:rPr>
          <w:rFonts w:ascii="Myanmar Text" w:hAnsi="Myanmar Text" w:eastAsia="Myanmar Text" w:cs="Myanmar Text"/>
        </w:rPr>
        <w:t>နဂါးကို</w:t>
      </w:r>
      <w:r>
        <w:rPr>
          <w:rFonts w:ascii="Times New Roman" w:hAnsi="Times New Roman" w:eastAsia="Times New Roman" w:cs="Times New Roman"/>
        </w:rPr>
        <w:t xml:space="preserve"> </w:t>
      </w:r>
      <w:r>
        <w:rPr>
          <w:rFonts w:ascii="Myanmar Text" w:hAnsi="Myanmar Text" w:eastAsia="Myanmar Text" w:cs="Myanmar Text"/>
        </w:rPr>
        <w:t>သတ်တော်မူမည်။</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w:t>
      </w:r>
      <w:r>
        <w:rPr>
          <w:rFonts w:ascii="Myanmar Text" w:hAnsi="Myanmar Text" w:eastAsia="Myanmar Text" w:cs="Myanmar Text"/>
        </w:rPr>
        <w:t>၂၇</w:t>
      </w:r>
      <w:r>
        <w:rPr>
          <w:rFonts w:ascii="Times New Roman" w:hAnsi="Times New Roman" w:eastAsia="Times New Roman" w:cs="Times New Roman"/>
        </w:rPr>
        <w:t>:</w:t>
      </w:r>
      <w:r>
        <w:rPr>
          <w:rFonts w:ascii="Myanmar Text" w:hAnsi="Myanmar Text" w:eastAsia="Myanmar Text" w:cs="Myanmar Text"/>
        </w:rPr>
        <w:t>၁။</w:t>
      </w:r>
    </w:p>
    <w:p>
      <w:pPr>
        <w:pStyle w:val="ArticleBody"/>
        <w:jc w:val="left"/>
      </w:pPr>
      <w:r>
        <w:rPr>
          <w:rFonts w:ascii="Times New Roman" w:hAnsi="Times New Roman" w:eastAsia="Times New Roman" w:cs="Times New Roman"/>
        </w:rPr>
        <w:t>Naga itu ialah Iblis, tetapi dalam pengertian sekunder ia juga ialah Rom kafir.</w:t>
      </w:r>
    </w:p>
    <w:p>
      <w:pPr>
        <w:pStyle w:val="ArticleScripture"/>
        <w:jc w:val="left"/>
      </w:pPr>
      <w:r>
        <w:rPr>
          <w:rFonts w:ascii="Times New Roman" w:hAnsi="Times New Roman" w:eastAsia="Times New Roman" w:cs="Times New Roman"/>
        </w:rPr>
        <w:t>“Ka hona, leha drakone, haholo-holo, e emela Satane, ka kutloisiso ea bobeli, ke letšoao la Roma ea bohetene.” The Great Controversy, 439.</w:t>
      </w:r>
    </w:p>
    <w:p>
      <w:pPr>
        <w:pStyle w:val="ArticleBody"/>
        <w:jc w:val="left"/>
      </w:pPr>
      <w:r>
        <w:rPr>
          <w:rFonts w:ascii="Times New Roman" w:hAnsi="Times New Roman" w:eastAsia="Times New Roman" w:cs="Times New Roman"/>
        </w:rPr>
        <w:t>Dikgosi tše lesome tša Roma ya boheitene, go tema ya bošupa ya Daniele, le go tema ya lesomepedi ya Kutollo di emela dikgoši tše lesome tša Kutollo lesomepedi le šupa—mehleng ya bofelo.</w:t>
      </w:r>
    </w:p>
    <w:p>
      <w:pPr>
        <w:pStyle w:val="ArticleScripture"/>
        <w:jc w:val="left"/>
      </w:pPr>
      <w:r>
        <w:rPr>
          <w:rFonts w:ascii="Times New Roman" w:hAnsi="Times New Roman" w:eastAsia="Times New Roman" w:cs="Times New Roman"/>
        </w:rPr>
        <w:t>“Raja-raja, pemerintah-pemerintah, dan para gabenor telah mengenakan pada diri mereka sendiri tanda antikristus, dan digambarkan sebagai naga yang pergi berperang melawan orang-orang kudus—mereka yang menuruti perintah-perintah Allah dan yang memiliki iman Yesus.” Testimonies to Ministers, 38.</w:t>
      </w:r>
    </w:p>
    <w:p>
      <w:pPr>
        <w:pStyle w:val="ArticleBody"/>
        <w:jc w:val="left"/>
      </w:pPr>
      <w:r>
        <w:rPr>
          <w:rFonts w:ascii="Times New Roman" w:hAnsi="Times New Roman" w:eastAsia="Times New Roman" w:cs="Times New Roman"/>
        </w:rPr>
        <w:t>Ayat pertama dalam Yesaya 27 menandai permulaan penghakiman atas naga itu, yang dimulai pada hari angin timur, pada 11 September 2001. Penghakiman atas raja-raja bumi, beserta para mitra saudagar globalis mereka, digenapi ketika struktur keuangan bumi dihancurkan oleh suatu “angin timur”, di tengah-tengah “lautan-lautan”.</w:t>
      </w:r>
    </w:p>
    <w:p>
      <w:pPr>
        <w:pStyle w:val="ArticleScripture"/>
        <w:jc w:val="left"/>
      </w:pPr>
      <w:r>
        <w:rPr>
          <w:rFonts w:ascii="Times New Roman" w:hAnsi="Times New Roman" w:eastAsia="Times New Roman" w:cs="Times New Roman"/>
        </w:rPr>
        <w:t>“Lihatlah, raja-raja telah berhimpun, mereka berjalan bersama-sama. Mereka melihatnya, lalu tercengang; mereka terkejut, lalu lari terbirit-birit. Kegentaran mencekam mereka di sana, dan kesakitan seperti perempuan yang hendak melahirkan. Dengan angin timur Engkau memecahkan kapal-kapal Tarsis.” Mazmur 48:4–7.</w:t>
      </w:r>
    </w:p>
    <w:p>
      <w:pPr>
        <w:pStyle w:val="ArticleBody"/>
        <w:jc w:val="left"/>
      </w:pPr>
      <w:r>
        <w:rPr>
          <w:rFonts w:ascii="Times New Roman" w:hAnsi="Times New Roman" w:eastAsia="Times New Roman" w:cs="Times New Roman"/>
        </w:rPr>
        <w:t>Yesaya bab dua puluh tujuh, ayat satu hingga tujuh, diulangi dan diperluaskan dalam ayat lapan hingga tiga belas. Bahagian ini mengenal pasti bahawa pada “hari angin timur” raja-raja dan saudagar-saudagar bumi akan berhadapan dengan ketakutan, dan ketakutan mereka meningkat sepanjang sejarah dari titik itu dan seterusnya. Ketakutan itu menandakan tindakan-tindakan tidak logik dan tergesa-gesa golongan globalis progresif di planet bumi sejak 11 September 2001, ketika mereka mendorong agenda mereka lebih jauh dan dengan lebih agresif daripada apa yang secara logiknya dijangkakan. Iblis, dan wakil-wakilnya, iaitu saudagar-saudagar dan raja-raja bumi (golongan globalis), sebagai lambang naga, mengetahui bahawa waktu mereka singkat.</w:t>
      </w:r>
    </w:p>
    <w:p>
      <w:pPr>
        <w:pStyle w:val="ArticleScripture"/>
        <w:jc w:val="left"/>
      </w:pPr>
      <w:r>
        <w:rPr>
          <w:rFonts w:ascii="Times New Roman" w:hAnsi="Times New Roman" w:eastAsia="Times New Roman" w:cs="Times New Roman"/>
        </w:rPr>
        <w:t>Oleh itu, bersukacitalah, hai syurga, dan kamu yang diam di dalamnya. Celakalah para penghuni bumi dan laut! kerana Iblis telah turun kepadamu dengan murka yang besar, kerana ia tahu bahawa waktunya tinggal sedikit. Wahyu 12:12.</w:t>
      </w:r>
    </w:p>
    <w:p>
      <w:pPr>
        <w:pStyle w:val="ArticleBody"/>
        <w:jc w:val="left"/>
      </w:pPr>
      <w:r>
        <w:rPr>
          <w:rFonts w:ascii="Times New Roman" w:hAnsi="Times New Roman" w:eastAsia="Times New Roman" w:cs="Times New Roman"/>
        </w:rPr>
        <w:t>Umlanga womoya wasempumalanga, owabangela inhlekelele yomnotho ngo-2001, eye yaqhubeka iba yimbi nakakhulu, kungakhathaliseki ukuthi abezindaba bomhlaba wonke abalandela i-globalism bazama ukuthini, yilo daba olubhekene nomhlaba ngesikhathi lapho udrako azi khona ukuthi isikhathi sakhe sifushane. Ngaleso sikhathi ube esenyusa imizamo yakhe yokulawula umhlaba wonke, futhi ukwenza lokho ngesikhathi “uMaye” (uMaye wesithathu) ulethwa phezu “kwabakhileyo emhlabeni nasolwandle.”</w:t>
      </w:r>
    </w:p>
    <w:p>
      <w:pPr>
        <w:pStyle w:val="ArticleBody"/>
        <w:jc w:val="left"/>
      </w:pPr>
      <w:r>
        <w:rPr>
          <w:rFonts w:ascii="Times New Roman" w:hAnsi="Times New Roman" w:eastAsia="Times New Roman" w:cs="Times New Roman"/>
        </w:rPr>
        <w:t>Kedatangan Islam dari Celaka ketiga (angin timur), pada 11 September 2001, telah menimbulkan suatu bencana ekonomi yang memaksa kaum globalis mempercepat upaya mereka untuk memaksakan suatu pemerintahan dunia tunggal atas planet bumi. Namun demikian, Islam terus melaksanakan peranannya. Mungkin penyingkapan yang paling serius mengenai Islam sebagai suatu lambang nubuatan Alkitab terdapat dalam rujukan pertama kepada Islam.</w:t>
      </w:r>
    </w:p>
    <w:p>
      <w:pPr>
        <w:pStyle w:val="ArticleScripture"/>
        <w:jc w:val="left"/>
      </w:pPr>
      <w:r>
        <w:rPr>
          <w:rFonts w:ascii="Times New Roman" w:hAnsi="Times New Roman" w:eastAsia="Times New Roman" w:cs="Times New Roman"/>
        </w:rPr>
        <w:t>Na malaika wa Bwana akamwambia, Tazama, una mimba, nawe utazaa mwana, nawe utamwita jina lake Ishmaeli; kwa sababu Bwana amesikia mateso yako. Naye atakuwa mtu wa porini; mkono wake utakuwa juu ya kila mtu, na mkono wa kila mtu juu yake; naye atakaa mbele ya nduguze wote. Mwanzo 16:11, 12.</w:t>
      </w:r>
    </w:p>
    <w:p>
      <w:pPr>
        <w:pStyle w:val="ArticleBody"/>
        <w:jc w:val="left"/>
      </w:pPr>
      <w:r>
        <w:rPr>
          <w:rFonts w:ascii="Times New Roman" w:hAnsi="Times New Roman" w:eastAsia="Times New Roman" w:cs="Times New Roman"/>
        </w:rPr>
        <w:t>Firman Tuhan tidak pernah gagal. Sementara Islam terus mendatangkan kesakitan seperti seorang perempuan yang hendak bersalin, sebagian orang, yang bahkan mungkin menerima bahwa Islam dikenali dalam nubuat Alkitab, masih belum memahami sepenuhnya kenyataan yang nyata dalam kedua ayat itu. Sebagian mungkin mengerti bahwa Islamlah yang menghimpunkan setiap orang di muka bumi untuk menentang satu musuh bersama, dan ini tentu benar. Namun frasa terakhir dalam ayat itu adalah kebenaran yang lebih serius. Dunia diguncangkan oleh 11 September 2001, dan baru-baru ini diguncangkan lagi oleh serangan 7 Oktober tahun ini oleh Hamas terhadap Israel. Tetapi tidak seorang pun mau melihat bahwa roh peperangan dan kebinasaan yang mendadak ada “di hadapan semua” saudara-saudara Ismael.</w:t>
      </w:r>
    </w:p>
    <w:p>
      <w:pPr>
        <w:pStyle w:val="ArticleBody"/>
        <w:jc w:val="left"/>
      </w:pPr>
      <w:r>
        <w:rPr>
          <w:rFonts w:ascii="Times New Roman" w:hAnsi="Times New Roman" w:eastAsia="Times New Roman" w:cs="Times New Roman"/>
        </w:rPr>
        <w:t>Apakah jenis kehancuran yang akan dilaksanakan apabila berlaku suatu serangan mengejut yang dilakukan oleh negara-negara Islam seperti Arab Saudi, Emiriah Arab Bersatu, Qatar, Kuwait, Brunei dan Bahrain? Roh Ismael ada dalam “semua saudaranya,” dan peperangan yang setakat ini telah dihasilkan oleh Malapetaka yang ketiga dari negara-negara seperti Afghanistan atau Iraq, akan menjadi sangat berbeza apabila nubuat tentang Ismael digenapi sepenuhnya. Berapakah jumlah bom nuklear yang dimiliki oleh Pakistan?</w:t>
      </w:r>
    </w:p>
    <w:p>
      <w:pPr>
        <w:pStyle w:val="ArticleBody"/>
        <w:jc w:val="left"/>
      </w:pPr>
      <w:r>
        <w:rPr>
          <w:rFonts w:ascii="Times New Roman" w:hAnsi="Times New Roman" w:eastAsia="Times New Roman" w:cs="Times New Roman"/>
        </w:rPr>
        <w:t>Ciri kenabian peperangan Islam, sebagaimana ditunjukkan dalam Sengsara Islam yang pertama dan kedua, ialah serangan mengejut yang datang secara tiba-tiba. Adakah terdapat dana yang mencukupi di negara-negara Islam yang makmur untuk secara rahsia memperoleh atau menghasilkan persenjataan yang lebih canggih dan lebih mematikan daripada pesawat yang sarat dengan bahan api, bom kereta, tayar yang dibakar, rogol, dan pisau? Adakah Firman Tuhan patut dipercayai?</w:t>
      </w:r>
    </w:p>
    <w:p>
      <w:pPr>
        <w:pStyle w:val="ArticleBody"/>
        <w:jc w:val="left"/>
      </w:pPr>
      <w:r>
        <w:rPr>
          <w:rFonts w:ascii="Times New Roman" w:hAnsi="Times New Roman" w:eastAsia="Times New Roman" w:cs="Times New Roman"/>
        </w:rPr>
        <w:t>Ar ka simik hmuahhmuah a tel lo chu Miller mang in a hmuhte hi ni hnuhnung berah chuan fiahna thutak an ni vek ang a, chutiang ni lo mah se, chûng thutakte chu hnawlhin an awm tawh a, zâwlnei thuin an lo siamṭhat leh dâwn tih a sawi hi chu a tak tak a ni. Nimahsela, chûng simik thenkhatte—vân biak inah Krista hnathawh leh Vawk Pathumnaa Islam angte—chuan hrilhlawkna thenkhat, ni hnuhnung ber chauha famkim tûrte, an sawi chhuak a ni. Pakhat chuan Hmun Thianghlim Berah Krista hnathawh a entîr a, chu chu tunlai fiahna thutak a ni ngei a; pakhat dang chuan Zanriah Laite auhna thuchah a hriattîr leh a, chu pawh tunlai fiahna thutak a ni leh bawk.</w:t>
      </w:r>
    </w:p>
    <w:p>
      <w:pPr>
        <w:pStyle w:val="ArticleBody"/>
        <w:jc w:val="left"/>
      </w:pPr>
      <w:r>
        <w:rPr>
          <w:rFonts w:ascii="Times New Roman" w:hAnsi="Times New Roman" w:eastAsia="Times New Roman" w:cs="Times New Roman"/>
        </w:rPr>
        <w:t>Benang yang menenun bersama gerakan Millerite dan masa akhir pada tahun 1989, yang pada gilirannya memperkenalkan gerakan seratus empat puluh empat ribu, ialah “tujuh masa,” yang merupakan permata pertama Miller dan yang pertama diketepikan ketika Adventisme meninggalkan jalan-jalan lama. Seratus dua puluh enam tahun dari pemberontakan tahun 1863 hingga masa akhir pada tahun 1989 melambangkan “tujuh masa.” Dua ribu lima ratus dua puluh dibahagikan kepada dua tempoh seribu dua ratus enam puluh, dan sepersepuluh atau persepuluhan daripada seribu dua ratus enam puluh ialah seratus dua puluh enam. Batu yang ditolak oleh para pembina itu demikian panjang sehingga menghubungkan gerakan pertama dan terakhir daripada tiga malaikat. Dengan berbuat demikian, hal itu mengenal pasti bahawa kebenaran “tujuh masa” itu juga merupakan kebenaran ujian masa kini, dan bahawa itulah kebenaran yang tidak lagi sekadar menjadi batu asas, melainkan kepala penjuru.</w:t>
      </w:r>
    </w:p>
    <w:p>
      <w:pPr>
        <w:pStyle w:val="ArticleBody"/>
        <w:jc w:val="left"/>
      </w:pPr>
      <w:r>
        <w:rPr>
          <w:rFonts w:ascii="Times New Roman" w:hAnsi="Times New Roman" w:eastAsia="Times New Roman" w:cs="Times New Roman"/>
        </w:rPr>
        <w:t>Sekarang kita akan menghentikan pembahasan kita mengenai pertambahan pengetahuan dalam pergerakan Millerite, yang dilambangkan oleh penglihatan Sungai Ulai dalam kitab Daniel, dan mengalihkan perhatian kita kepada penglihatan Sungai Hiddekel, yang melambangkan pertambahan pengetahuan dalam pergerakan seratus empat puluh empat ribu.</w:t>
      </w:r>
    </w:p>
    <w:p>
      <w:pPr>
        <w:pStyle w:val="ArticleBody"/>
        <w:jc w:val="left"/>
      </w:pPr>
      <w:r>
        <w:rPr>
          <w:rFonts w:ascii="Times New Roman" w:hAnsi="Times New Roman" w:eastAsia="Times New Roman" w:cs="Times New Roman"/>
        </w:rPr>
        <w:t>Ka leh bynta kaba bud da kaba pyrkhat ïa ki saw pateng jong ka Adventism kiba kynthup ïa ka shi spah arphew hynriew snem naduh 1863 haduh 1989.</w:t>
      </w:r>
    </w:p>
    <w:p>
      <w:pPr>
        <w:pStyle w:val="ArticleBody"/>
        <w:jc w:val="left"/>
      </w:pPr>
      <w:r>
        <w:rPr>
          <w:rFonts w:ascii="Leelawadee UI" w:hAnsi="Leelawadee UI" w:eastAsia="Leelawadee UI" w:cs="Leelawadee UI"/>
        </w:rPr>
        <w:t>យើងនឹងចាប់ផ្ដើមការសិក្សានោះនៅក្នុងអត្ថបទបន្ទាប់។</w:t>
      </w:r>
    </w:p>
    <w:p>
      <w:pPr>
        <w:pStyle w:val="ArticleScripture"/>
        <w:jc w:val="left"/>
      </w:pPr>
      <w:r>
        <w:rPr>
          <w:rFonts w:ascii="Times New Roman" w:hAnsi="Times New Roman" w:eastAsia="Times New Roman" w:cs="Times New Roman"/>
        </w:rPr>
        <w:t>Inkangā taḥ a hnuaiakum parukruk ni ah, thla paruknak niang ni ah, ni panga nak ah, ka inn ah ka ṭhu i, Judah upa pawl cu ka hmaiah an ṭhu lai ah, khuaruahhar Bawipa Pathian kut cu cutaka ka cungah a tla. Cun ka zoh i, ngaihṭha, mei bangin a langmi pakhat a um: a tak hniang tanglam ahcun mei a si; a hniang cunglam ahcun tleu tleu mi bangin a lang, amber var bangin a um. Cun kut pianhmang bang a phorh i, ka lu sam chu a kaih; thlarau cun lei le van karah min kai tho i, Pathian hmuhnak ah Jerusalem ah min hruai, sakhuanak inn chhung sangka lei thlanglam ah a hawi mi innka ah; cutaka cun thathnak a totertu ṭhaithen lem ṭhutdan a um. Cun, ngaihṭha, Israel Pathian ropuinak cu cutaka a um, ram hmunphiah ah ka hmuh mi hmuhnak ang khan. Cun anih cun ka hnenah, “Mipa fapa, tu ah i mit kha thlanglam lam panin han zoh,” tiah a ti. Cucaah ka mit ka han zoh, thlanglam lam panin; cun ngaihṭha, biaktheng innka lutnak ah thlanglam ah hin thathnak a totertu hihi a um. Cun anih cun ka hnenah a ti ṭhan, “Mipa fapa, an tuahmi hi i hmu maw? Israel innkuan in hika an tuahmi tenṭhumnak lianzet hi, ka biakinn hnen ihsin ka hlawhter ding ruangah? asinain kir ṭhan rih, tenṭhumnak hleice in lian deuhdeuh na hmu lai,” tiah. Cun anih cun vawlei innka ah min hruai; cun ka zoh ah, ngaihṭha, bangvawng ah khur a um.</w:t>
      </w:r>
    </w:p>
    <w:p>
      <w:pPr>
        <w:pStyle w:val="ArticleScripture"/>
        <w:jc w:val="left"/>
      </w:pPr>
      <w:r>
        <w:rPr>
          <w:rFonts w:ascii="Times New Roman" w:hAnsi="Times New Roman" w:eastAsia="Times New Roman" w:cs="Times New Roman"/>
        </w:rPr>
        <w:t>Lalu firman-Nya kepadaku, “Hai anak manusia, galilah sekarang pada tembok itu.” Maka ketika aku menggali pada tembok itu, tampaklah sebuah pintu. Dan firman-Nya kepadaku, “Masuklah, dan lihatlah kekejian-kekejian jahat yang mereka lakukan di sini.” Lalu aku masuk dan melihat; dan sesungguhnya ada segala rupa binatang melata, dan binatang-binatang najis yang menjijikkan, dan segala berhala kaum Israel, tergambar pada tembok sekelilingnya. Dan di hadapan semuanya itu berdiri tujuh puluh orang tua-tua dari kaum Israel, dan di tengah-tengah mereka berdiri Yaazanya bin Safan, masing-masing dengan pedupaan di tangannya; dan awan kemenyan yang tebal naik ke atas. Lalu firman-Nya kepadaku, “Hai anak manusia, sudahkah engkau melihat apa yang dilakukan oleh tua-tua kaum Israel dalam gelap, masing-masing di kamar-kamar patungnya? Sebab mereka berkata: TUHAN tidak melihat kami; TUHAN telah meninggalkan negeri ini.” Firman-Nya pula kepadaku, “Berpalinglah sekali lagi, maka engkau akan melihat kekejian-kekejian yang lebih besar, yang mereka lakukan.” Kemudian dibawa-Nya aku ke pintu gerbang rumah TUHAN yang menghadap ke utara; dan sesungguhnya, di sana duduk perempuan-perempuan yang menangisi Tamus. Lalu firman-Nya kepadaku, “Sudahkah engkau melihat hal ini, hai anak manusia? Berpalinglah sekali lagi, maka engkau akan melihat kekejian-kekejian yang lebih besar dari pada ini.” Kemudian dibawa-Nya aku ke pelataran dalam rumah TUHAN, dan sesungguhnya, pada pintu Bait TUHAN, di antara balai depan dan mezbah, ada kira-kira dua puluh lima orang, dengan punggung mereka menghadap Bait TUHAN dan muka mereka menghadap ke timur; mereka sujud menyembah matahari ke arah timur. Lalu firman-Nya kepadaku, “Sudahkah engkau melihat hal ini, hai anak manusia? Adakah perkara yang ringan bagi kaum Yehuda bahwa mereka melakukan kekejian-kekejian yang mereka lakukan di sini? Sebab mereka telah memenuhi negeri ini dengan kekerasan, dan berbalik lagi untuk membangkitkan murka-Ku; dan lihatlah, mereka menaruh ranting itu ke hidung mereka. Sebab itu Aku pun akan bertindak dalam kegusaran; mata-Ku tidak akan menyayangkan, dan Aku tidak akan berbelas kasihan; sekalipun mereka berseru ke telinga-Ku dengan suara nyaring, Aku tidak akan mendengarkan mereka.” Yehezkiel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Enam Puluh Tujuh</dc:title>
  <dc:subject>Kulezgo ka Siprofeto: Islamu, Seetembere 11, 2001, ni Siku ya Upepo wa Mashariki</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