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Sitini na Tisa</w:t>
      </w:r>
    </w:p>
    <w:p>
      <w:pPr>
        <w:pStyle w:val="ArticleSubtitle"/>
        <w:jc w:val="left"/>
      </w:pPr>
      <w:r>
        <w:rPr>
          <w:rFonts w:ascii="Arial" w:hAnsi="Arial" w:eastAsia="Arial" w:cs="Arial"/>
        </w:rPr>
        <w:t>Ho Tsenola Selikalikoe sa Meloko: Manyala a Mane a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Rungu tikupela sakhancha, kumta Adventism ta'nchol ta nts'ina-generation maakashti.</w:t>
      </w:r>
    </w:p>
    <w:p>
      <w:pPr>
        <w:pStyle w:val="ArticleScripture"/>
        <w:jc w:val="left"/>
      </w:pPr>
      <w:r>
        <w:rPr>
          <w:rFonts w:ascii="Times New Roman" w:hAnsi="Times New Roman" w:eastAsia="Times New Roman" w:cs="Times New Roman"/>
        </w:rPr>
        <w:t>“‘A rag a ding ho sai langsing ki dingsat naba ani mi mingsatgipa ongʼaoni ine aganaha, jean sikgipa gita onga aro an∙tangni side-o serikna kosakara dongachim; aro Gitel unko aganaha, Jerusalem songjinmani gisepo, songjinmani gisepo reangbo, aro uni gisepo dakgipa pilak mitchi ong∙ani rangna gisik duk ong∙e siatgipa aro gronggipa manderangni mikrango chinha toabo. Aro gipinrangna Angni knaon Ua aganaha, Na∙simang unni ja∙man songjinmao reangbo, aro dokbo: na∙simangni mikron ka∙sachakna nangjawa, aro na∙simang ka∙sachakjawa: buda aro chonchongipa, me∙chikrang, chonchonggipa bi∙sarang, aro me∙chikrangko bon∙e dokbo: indiba jean chinha gnanggipa ong∙a, una sepangnaba re∙banabe; aro Angni Rongtalgipa biapo a∙bachengbo. Unon uamang nokni mikkangon donggipa budarangoni a∙bachengaha.’”</w:t>
      </w:r>
    </w:p>
    <w:p>
      <w:pPr>
        <w:pStyle w:val="ArticleScripture"/>
        <w:jc w:val="left"/>
      </w:pPr>
      <w:r>
        <w:rPr>
          <w:rFonts w:ascii="Times New Roman" w:hAnsi="Times New Roman" w:eastAsia="Times New Roman" w:cs="Times New Roman"/>
        </w:rPr>
        <w:t>“Yesu anajiandaa kuondoka katika kiti cha rehema cha patakatifu pa mbinguni ili avae mavazi ya kisasi na kumimina ghadhabu Yake katika hukumu juu ya wale ambao hawakuitikia nuru ambayo Mungu amewapa. ‘Kwa kuwa hukumu juu ya tendo baya haitolewi upesi, kwa hiyo mioyo ya wanadamu imeazimia kabisa kutenda maovu.’ Badala ya kulainishwa na uvumilivu na ustahimilivu mrefu ambao Bwana ameonyesha kwao, wale wasiomcha Mungu na wasiopenda kweli huzitia nguvu mioyo yao katika njia yao mbaya. Lakini hata ustahimilivu wa Mungu una mipaka, na wengi wanavuka sana mipaka hiyo. Wamezidisha mipaka ya neema, na kwa hiyo Mungu hana budi kuingilia kati na kuitetea heshima Yake mwenyewe.</w:t>
      </w:r>
    </w:p>
    <w:p>
      <w:pPr>
        <w:pStyle w:val="ArticleScripture"/>
        <w:jc w:val="left"/>
      </w:pPr>
      <w:r>
        <w:rPr>
          <w:rFonts w:ascii="Times New Roman" w:hAnsi="Times New Roman" w:eastAsia="Times New Roman" w:cs="Times New Roman"/>
        </w:rPr>
        <w:t>Mengenai orang Amori Tuhan berfirman: “Pada keturunan yang keempat mereka akan kembali ke sini lagi; sebab kedurjanaan orang Amori itu belum genap.” Meskipun bangsa ini menonjol karena penyembahan berhalanya dan kebejatannya, mereka belum juga memenuhi cawan kedurjanaannya, dan Allah tidak akan memberi perintah untuk membinasakan mereka sama sekali. Umat itu harus melihat kuasa ilahi dinyatakan dengan cara yang nyata, supaya mereka dibiarkan tanpa alasan. Sang Pencipta yang penuh belas kasihan rela menanggung kedurjanaan mereka sampai keturunan yang keempat. Kemudian, jika tidak tampak perubahan ke arah yang lebih baik, hukuman-hukuman-Nya akan ditimpakan atas mereka.</w:t>
      </w:r>
    </w:p>
    <w:p>
      <w:pPr>
        <w:pStyle w:val="ArticleScripture"/>
        <w:jc w:val="left"/>
      </w:pPr>
      <w:r>
        <w:rPr>
          <w:rFonts w:ascii="Times New Roman" w:hAnsi="Times New Roman" w:eastAsia="Times New Roman" w:cs="Times New Roman"/>
        </w:rPr>
        <w:t>“Ka jingthikna kaba ym ju bakla, U Bymjukut u dang bat ia ka jingkheiñ bad ki jaitbynriew baroh. Katba la ai ia ka jingisynei jong U ryngkat bad ki jingkhot sha ka jingïakylli noh, kane ka jingkheiñ kan dang plie; hynrei ynda ki jingïaroh jingkheiñ ki poi sha ka jingïon ba U Blei hi u la buh, ka jingshakri jong ka jingbitar jong U ka sdang. La khang noh ia ka jingkheiñ. Ka jingiaishah bakynjai jong U Blei ka kut. Ym don shuh ka jingduwai kyrpad jingsynei na ka bynta jong ki.”</w:t>
      </w:r>
    </w:p>
    <w:p>
      <w:pPr>
        <w:pStyle w:val="ArticleScripture"/>
        <w:jc w:val="left"/>
      </w:pPr>
      <w:r>
        <w:rPr>
          <w:rFonts w:ascii="Times New Roman" w:hAnsi="Times New Roman" w:eastAsia="Times New Roman" w:cs="Times New Roman"/>
        </w:rPr>
        <w:t>“Nabi, ketika memandang merentas zaman-zaman, telah diperlihatkan masa ini dalam penglihatannya. Bangsa-bangsa pada zaman ini telah menjadi penerima belas kasihan yang tidak pernah ada bandingannya. Berkat-berkat pilihan dari syurga telah dikurniakan kepada mereka, tetapi kesombongan yang semakin bertambah, ketamakan, penyembahan berhala, penghinaan terhadap Allah, dan ketidakbersyukuran yang hina tercatat terhadap mereka. Mereka sedang dengan cepat menutup perhitungan mereka dengan Allah.</w:t>
      </w:r>
    </w:p>
    <w:p>
      <w:pPr>
        <w:pStyle w:val="ArticleScripture"/>
        <w:jc w:val="left"/>
      </w:pPr>
      <w:r>
        <w:rPr>
          <w:rFonts w:ascii="Times New Roman" w:hAnsi="Times New Roman" w:eastAsia="Times New Roman" w:cs="Times New Roman"/>
        </w:rPr>
        <w:t>“Suba okunsasira n’ankankanya nnyo kwe kuba nti abo abafunye omusana n’enkizo ezisinga obungi boonoonebwa obutali butuukirivu obufuga wonna. Olw’okukwatibwako ababi ababazingirizza, bangi, ne ku abo abagamba nti balina amazima, bafuuse abagwamu amaanyi, ne batwalibwa omugga omuzito ogw’obubi. Okunyoomwa okw’ensi yonna okuteekebwa ku kutya Katonda okw’amazima n’obutukuvu kuleetera abo abatamwegatta nnyo Katonda okufiirwa ekitiibwa kye balina eri amateeka Ge. Singa babadde bagoberera omusana era nga bagondera amazima okuva mu mutima, etteeka lino ettukuvu lyandirabise nga lya muwendo nnyo gye bali bwe lityo bwe linyoomwa era ne lisuulibwa ku bbali. Nga obutassa kitiibwa mu mateeka ga Katonda bwe bweyongera okwolesebwa obulungi, n’olunnyiriri olw’enjawulo wakati w’abo abagakwata n’ensi lwe bweyongera okwawukana obulungi. Okwagala ebiragiro eby’Obwakatonda kweyongera mu kibiina ekimu ng’okunyooma ebiragiro ebyo bwe kweyongera mu kibiina ekirala.”</w:t>
      </w:r>
    </w:p>
    <w:p>
      <w:pPr>
        <w:pStyle w:val="ArticleScripture"/>
        <w:jc w:val="left"/>
      </w:pPr>
      <w:r>
        <w:rPr>
          <w:rFonts w:ascii="Times New Roman" w:hAnsi="Times New Roman" w:eastAsia="Times New Roman" w:cs="Times New Roman"/>
        </w:rPr>
        <w:t>“Crisis ahụ na-abịa ngwa ngwa. Ọnụọgụ ndị na-arịwanye elu ọsọ ọsọ na-egosi na oge nleta Chineke fọrọ nke nta ka ọ bịaruo. Ọ bụ ezie na Ọ naghị achọ ịta ahụhụ, ma ọbụna otu a, Ọ ga-ata ahụhụ, ma nke ahụ ngwa ngwa. Ndị na-eje ije n’ìhè ga-ahụ ihe ịrịba ama nke ihe ize ndụ na-abịa nso; ma ha ekwesịghị ịnọdụ ala n’udo, na-atụ anya mbibi ahụ n’enweghị nchekasị, na-akasi onwe ha obi site n’okwukwe na Chineke ga-echebe ndị Ya n’ụbọchị nleta. Ọ dị nnọọ anya na nke ahụ. Ha kwesịrị ịghọta na ọ bụ ọrụ ha ịrụsi ọrụ ike nke ukwuu iji zọpụta ndị ọzọ, na-ele Chineke anya n’okwukwe siri ike maka enyemaka. ‘Ekpere dị ike ma dị ọkụ nke onye ezi omume bara nnukwu uru.’”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ရိုသေမြတ်နိုးခြင်း၏</w:t>
      </w:r>
      <w:r>
        <w:rPr>
          <w:rFonts w:ascii="Times New Roman" w:hAnsi="Times New Roman" w:eastAsia="Times New Roman" w:cs="Times New Roman"/>
        </w:rPr>
        <w:t xml:space="preserve"> </w:t>
      </w:r>
      <w:r>
        <w:rPr>
          <w:rFonts w:ascii="Myanmar Text" w:hAnsi="Myanmar Text" w:eastAsia="Myanmar Text" w:cs="Myanmar Text"/>
        </w:rPr>
        <w:t>တဆေးသည်</w:t>
      </w:r>
      <w:r>
        <w:rPr>
          <w:rFonts w:ascii="Times New Roman" w:hAnsi="Times New Roman" w:eastAsia="Times New Roman" w:cs="Times New Roman"/>
        </w:rPr>
        <w:t xml:space="preserve"> </w:t>
      </w:r>
      <w:r>
        <w:rPr>
          <w:rFonts w:ascii="Myanmar Text" w:hAnsi="Myanmar Text" w:eastAsia="Myanmar Text" w:cs="Myanmar Text"/>
        </w:rPr>
        <w:t>မိမိ၏တန်ခိုးကို</w:t>
      </w:r>
      <w:r>
        <w:rPr>
          <w:rFonts w:ascii="Times New Roman" w:hAnsi="Times New Roman" w:eastAsia="Times New Roman" w:cs="Times New Roman"/>
        </w:rPr>
        <w:t xml:space="preserve"> </w:t>
      </w:r>
      <w:r>
        <w:rPr>
          <w:rFonts w:ascii="Myanmar Text" w:hAnsi="Myanmar Text" w:eastAsia="Myanmar Text" w:cs="Myanmar Text"/>
        </w:rPr>
        <w:t>လုံးဝမပျောက်ဆုံးသေးပါ။</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အန္တရာယ်နှင့်</w:t>
      </w:r>
      <w:r>
        <w:rPr>
          <w:rFonts w:ascii="Times New Roman" w:hAnsi="Times New Roman" w:eastAsia="Times New Roman" w:cs="Times New Roman"/>
        </w:rPr>
        <w:t xml:space="preserve"> </w:t>
      </w:r>
      <w:r>
        <w:rPr>
          <w:rFonts w:ascii="Myanmar Text" w:hAnsi="Myanmar Text" w:eastAsia="Myanmar Text" w:cs="Myanmar Text"/>
        </w:rPr>
        <w:t>စိတ်ပျက်နိမ့်ကျမှု</w:t>
      </w:r>
      <w:r>
        <w:rPr>
          <w:rFonts w:ascii="Times New Roman" w:hAnsi="Times New Roman" w:eastAsia="Times New Roman" w:cs="Times New Roman"/>
        </w:rPr>
        <w:t xml:space="preserve"> </w:t>
      </w:r>
      <w:r>
        <w:rPr>
          <w:rFonts w:ascii="Myanmar Text" w:hAnsi="Myanmar Text" w:eastAsia="Myanmar Text" w:cs="Myanmar Text"/>
        </w:rPr>
        <w:t>အကြီးမားဆုံးဖြစ်သည့်</w:t>
      </w:r>
      <w:r>
        <w:rPr>
          <w:rFonts w:ascii="Times New Roman" w:hAnsi="Times New Roman" w:eastAsia="Times New Roman" w:cs="Times New Roman"/>
        </w:rPr>
        <w:t xml:space="preserve"> </w:t>
      </w:r>
      <w:r>
        <w:rPr>
          <w:rFonts w:ascii="Myanmar Text" w:hAnsi="Myanmar Text" w:eastAsia="Myanmar Text" w:cs="Myanmar Text"/>
        </w:rPr>
        <w:t>အချိန်တွင်၊</w:t>
      </w:r>
      <w:r>
        <w:rPr>
          <w:rFonts w:ascii="Times New Roman" w:hAnsi="Times New Roman" w:eastAsia="Times New Roman" w:cs="Times New Roman"/>
        </w:rPr>
        <w:t xml:space="preserve"> </w:t>
      </w:r>
      <w:r>
        <w:rPr>
          <w:rFonts w:ascii="Myanmar Text" w:hAnsi="Myanmar Text" w:eastAsia="Myanmar Text" w:cs="Myanmar Text"/>
        </w:rPr>
        <w:t>အလင်းထဲ၌</w:t>
      </w:r>
      <w:r>
        <w:rPr>
          <w:rFonts w:ascii="Times New Roman" w:hAnsi="Times New Roman" w:eastAsia="Times New Roman" w:cs="Times New Roman"/>
        </w:rPr>
        <w:t xml:space="preserve"> </w:t>
      </w:r>
      <w:r>
        <w:rPr>
          <w:rFonts w:ascii="Myanmar Text" w:hAnsi="Myanmar Text" w:eastAsia="Myanmar Text" w:cs="Myanmar Text"/>
        </w:rPr>
        <w:t>ရပ်တည်နေသော</w:t>
      </w:r>
      <w:r>
        <w:rPr>
          <w:rFonts w:ascii="Times New Roman" w:hAnsi="Times New Roman" w:eastAsia="Times New Roman" w:cs="Times New Roman"/>
        </w:rPr>
        <w:t xml:space="preserve"> </w:t>
      </w:r>
      <w:r>
        <w:rPr>
          <w:rFonts w:ascii="Myanmar Text" w:hAnsi="Myanmar Text" w:eastAsia="Myanmar Text" w:cs="Myanmar Text"/>
        </w:rPr>
        <w:t>လူအနည်းငယ်စုသည်</w:t>
      </w:r>
      <w:r>
        <w:rPr>
          <w:rFonts w:ascii="Times New Roman" w:hAnsi="Times New Roman" w:eastAsia="Times New Roman" w:cs="Times New Roman"/>
        </w:rPr>
        <w:t xml:space="preserve"> </w:t>
      </w:r>
      <w:r>
        <w:rPr>
          <w:rFonts w:ascii="Myanmar Text" w:hAnsi="Myanmar Text" w:eastAsia="Myanmar Text" w:cs="Myanmar Text"/>
        </w:rPr>
        <w:t>တိုင်းပြည်၌</w:t>
      </w:r>
      <w:r>
        <w:rPr>
          <w:rFonts w:ascii="Times New Roman" w:hAnsi="Times New Roman" w:eastAsia="Times New Roman" w:cs="Times New Roman"/>
        </w:rPr>
        <w:t xml:space="preserve"> </w:t>
      </w:r>
      <w:r>
        <w:rPr>
          <w:rFonts w:ascii="Myanmar Text" w:hAnsi="Myanmar Text" w:eastAsia="Myanmar Text" w:cs="Myanmar Text"/>
        </w:rPr>
        <w:t>ပြုလုပ်လျက်ရှိသော</w:t>
      </w:r>
      <w:r>
        <w:rPr>
          <w:rFonts w:ascii="Times New Roman" w:hAnsi="Times New Roman" w:eastAsia="Times New Roman" w:cs="Times New Roman"/>
        </w:rPr>
        <w:t xml:space="preserve"> </w:t>
      </w:r>
      <w:r>
        <w:rPr>
          <w:rFonts w:ascii="Myanmar Text" w:hAnsi="Myanmar Text" w:eastAsia="Myanmar Text" w:cs="Myanmar Text"/>
        </w:rPr>
        <w:t>စက်ဆုပ်ရွံရှာဖွယ်</w:t>
      </w:r>
      <w:r>
        <w:rPr>
          <w:rFonts w:ascii="Times New Roman" w:hAnsi="Times New Roman" w:eastAsia="Times New Roman" w:cs="Times New Roman"/>
        </w:rPr>
        <w:t xml:space="preserve"> </w:t>
      </w:r>
      <w:r>
        <w:rPr>
          <w:rFonts w:ascii="Myanmar Text" w:hAnsi="Myanmar Text" w:eastAsia="Myanmar Text" w:cs="Myanmar Text"/>
        </w:rPr>
        <w:t>အပြစ်များကြောင့်</w:t>
      </w:r>
      <w:r>
        <w:rPr>
          <w:rFonts w:ascii="Times New Roman" w:hAnsi="Times New Roman" w:eastAsia="Times New Roman" w:cs="Times New Roman"/>
        </w:rPr>
        <w:t xml:space="preserve"> </w:t>
      </w:r>
      <w:r>
        <w:rPr>
          <w:rFonts w:ascii="Myanmar Text" w:hAnsi="Myanmar Text" w:eastAsia="Myanmar Text" w:cs="Myanmar Text"/>
        </w:rPr>
        <w:t>ညည်းတွားကာ</w:t>
      </w:r>
      <w:r>
        <w:rPr>
          <w:rFonts w:ascii="Times New Roman" w:hAnsi="Times New Roman" w:eastAsia="Times New Roman" w:cs="Times New Roman"/>
        </w:rPr>
        <w:t xml:space="preserve"> </w:t>
      </w:r>
      <w:r>
        <w:rPr>
          <w:rFonts w:ascii="Myanmar Text" w:hAnsi="Myanmar Text" w:eastAsia="Myanmar Text" w:cs="Myanmar Text"/>
        </w:rPr>
        <w:t>ဟစ်ကြွေးလျက်ရှိကြလိမ့်မည်။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ဆုတောင်းချက်များသည်</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အကျိုးအတွက်</w:t>
      </w:r>
      <w:r>
        <w:rPr>
          <w:rFonts w:ascii="Times New Roman" w:hAnsi="Times New Roman" w:eastAsia="Times New Roman" w:cs="Times New Roman"/>
        </w:rPr>
        <w:t xml:space="preserve"> </w:t>
      </w:r>
      <w:r>
        <w:rPr>
          <w:rFonts w:ascii="Myanmar Text" w:hAnsi="Myanmar Text" w:eastAsia="Myanmar Text" w:cs="Myanmar Text"/>
        </w:rPr>
        <w:t>မြင့်တက်လာကြလိမ့်မည်၊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အဖွဲ့ဝင်များသည်</w:t>
      </w:r>
      <w:r>
        <w:rPr>
          <w:rFonts w:ascii="Times New Roman" w:hAnsi="Times New Roman" w:eastAsia="Times New Roman" w:cs="Times New Roman"/>
        </w:rPr>
        <w:t xml:space="preserve"> </w:t>
      </w:r>
      <w:r>
        <w:rPr>
          <w:rFonts w:ascii="Myanmar Text" w:hAnsi="Myanmar Text" w:eastAsia="Myanmar Text" w:cs="Myanmar Text"/>
        </w:rPr>
        <w:t>လောကီလူတို့၏</w:t>
      </w:r>
      <w:r>
        <w:rPr>
          <w:rFonts w:ascii="Times New Roman" w:hAnsi="Times New Roman" w:eastAsia="Times New Roman" w:cs="Times New Roman"/>
        </w:rPr>
        <w:t xml:space="preserve"> </w:t>
      </w:r>
      <w:r>
        <w:rPr>
          <w:rFonts w:ascii="Myanmar Text" w:hAnsi="Myanmar Text" w:eastAsia="Myanmar Text" w:cs="Myanmar Text"/>
        </w:rPr>
        <w:t>နည်းလမ်းအတိုင်း</w:t>
      </w:r>
      <w:r>
        <w:rPr>
          <w:rFonts w:ascii="Times New Roman" w:hAnsi="Times New Roman" w:eastAsia="Times New Roman" w:cs="Times New Roman"/>
        </w:rPr>
        <w:t xml:space="preserve"> </w:t>
      </w:r>
      <w:r>
        <w:rPr>
          <w:rFonts w:ascii="Myanmar Text" w:hAnsi="Myanmar Text" w:eastAsia="Myanmar Text" w:cs="Myanmar Text"/>
        </w:rPr>
        <w:t>ကျင့်ကြံပြုမူလျက်ရှိကြသောကြောင့်ဖြစ်သည်။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អធិស្ឋានដ៏ទទូចស្មោះត្រង់របស់អ្នកស្មោះត្រង់តិចតួចនេះ</w:t>
      </w:r>
      <w:r>
        <w:rPr>
          <w:rFonts w:ascii="Times New Roman" w:hAnsi="Times New Roman" w:eastAsia="Times New Roman" w:cs="Times New Roman"/>
        </w:rPr>
        <w:t xml:space="preserve"> </w:t>
      </w:r>
      <w:r>
        <w:rPr>
          <w:rFonts w:ascii="Leelawadee UI" w:hAnsi="Leelawadee UI" w:eastAsia="Leelawadee UI" w:cs="Leelawadee UI"/>
        </w:rPr>
        <w:t>នឹងមិនឥតប្រយោជន៍ឡើយ។</w:t>
      </w:r>
      <w:r>
        <w:rPr>
          <w:rFonts w:ascii="Times New Roman" w:hAnsi="Times New Roman" w:eastAsia="Times New Roman" w:cs="Times New Roman"/>
        </w:rPr>
        <w:t xml:space="preserve"> </w:t>
      </w:r>
      <w:r>
        <w:rPr>
          <w:rFonts w:ascii="Leelawadee UI" w:hAnsi="Leelawadee UI" w:eastAsia="Leelawadee UI" w:cs="Leelawadee UI"/>
        </w:rPr>
        <w:t>នៅពេលដែលព្រះអម្ចាស់យាងចេញមកក្នុងនាមជាអ្នកសងសឹក</w:t>
      </w:r>
      <w:r>
        <w:rPr>
          <w:rFonts w:ascii="Times New Roman" w:hAnsi="Times New Roman" w:eastAsia="Times New Roman" w:cs="Times New Roman"/>
        </w:rPr>
        <w:t xml:space="preserve"> </w:t>
      </w:r>
      <w:r>
        <w:rPr>
          <w:rFonts w:ascii="Leelawadee UI" w:hAnsi="Leelawadee UI" w:eastAsia="Leelawadee UI" w:cs="Leelawadee UI"/>
        </w:rPr>
        <w:t>ទ្រង់ក៏នឹងយាងមកក្នុងនាមជាអ្នកការពាររបស់អស់អ្នកដែលបានរក្សាសេចក្តីជំនឿឲ្យស្ថិតនៅក្នុងភាពបរិសុទ្ធរបស់វា</w:t>
      </w:r>
      <w:r>
        <w:rPr>
          <w:rFonts w:ascii="Times New Roman" w:hAnsi="Times New Roman" w:eastAsia="Times New Roman" w:cs="Times New Roman"/>
        </w:rPr>
        <w:t xml:space="preserve"> </w:t>
      </w:r>
      <w:r>
        <w:rPr>
          <w:rFonts w:ascii="Leelawadee UI" w:hAnsi="Leelawadee UI" w:eastAsia="Leelawadee UI" w:cs="Leelawadee UI"/>
        </w:rPr>
        <w:t>និងបានរក្សាខ្លួនឯងឲ្យឥតសៅហ្មងពីលោកិយផងដែរ។</w:t>
      </w:r>
      <w:r>
        <w:rPr>
          <w:rFonts w:ascii="Times New Roman" w:hAnsi="Times New Roman" w:eastAsia="Times New Roman" w:cs="Times New Roman"/>
        </w:rPr>
        <w:t xml:space="preserve"> </w:t>
      </w:r>
      <w:r>
        <w:rPr>
          <w:rFonts w:ascii="Leelawadee UI" w:hAnsi="Leelawadee UI" w:eastAsia="Leelawadee UI" w:cs="Leelawadee UI"/>
        </w:rPr>
        <w:t>គឺនៅពេលនេះហើយដែលព្រះបានសន្យាថា</w:t>
      </w:r>
      <w:r>
        <w:rPr>
          <w:rFonts w:ascii="Times New Roman" w:hAnsi="Times New Roman" w:eastAsia="Times New Roman" w:cs="Times New Roman"/>
        </w:rPr>
        <w:t xml:space="preserve"> </w:t>
      </w:r>
      <w:r>
        <w:rPr>
          <w:rFonts w:ascii="Leelawadee UI" w:hAnsi="Leelawadee UI" w:eastAsia="Leelawadee UI" w:cs="Leelawadee UI"/>
        </w:rPr>
        <w:t>នឹងសងសឹកជំនួសពួកអ្នកដែលទ្រង់បានជ្រើសរើសរបស់ទ្រង់</w:t>
      </w:r>
      <w:r>
        <w:rPr>
          <w:rFonts w:ascii="Times New Roman" w:hAnsi="Times New Roman" w:eastAsia="Times New Roman" w:cs="Times New Roman"/>
        </w:rPr>
        <w:t xml:space="preserve"> </w:t>
      </w:r>
      <w:r>
        <w:rPr>
          <w:rFonts w:ascii="Leelawadee UI" w:hAnsi="Leelawadee UI" w:eastAsia="Leelawadee UI" w:cs="Leelawadee UI"/>
        </w:rPr>
        <w:t>ដែលអំពាវនាវដល់ទ្រង់ទាំងយប់ទាំងថ្ងៃ</w:t>
      </w:r>
      <w:r>
        <w:rPr>
          <w:rFonts w:ascii="Times New Roman" w:hAnsi="Times New Roman" w:eastAsia="Times New Roman" w:cs="Times New Roman"/>
        </w:rPr>
        <w:t xml:space="preserve"> </w:t>
      </w:r>
      <w:r>
        <w:rPr>
          <w:rFonts w:ascii="Leelawadee UI" w:hAnsi="Leelawadee UI" w:eastAsia="Leelawadee UI" w:cs="Leelawadee UI"/>
        </w:rPr>
        <w:t>ទោះបីទ្រង់អត់ធ្មត់ចំពោះពួកគេយូរមកហើយក៏ដោយ។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Perintahnya ialah: “Berjalanlah melintasi tengah-tengah kota itu, melintasi tengah-tengah Yerusalem, dan bubuhkanlah suatu tanda pada dahi orang-orang yang berkeluh kesah dan yang menangis karena segala kekejian yang dilakukan di tengah-tengahnya.” Mereka yang berkeluh kesah dan menangis ini telah memberitakan firman kehidupan; mereka telah menegur, menasihati, dan memohon dengan sungguh-sungguh. Sebagian orang yang telah menghina Allah bertobat dan merendahkan hati mereka di hadapan-Nya. Tetapi kemuliaan Tuhan telah meninggalkan Israel; meskipun banyak orang masih terus menjalankan bentuk-bentuk agama, kuasa dan hadirat-Nya tidak ada. Testimonies, volume 5, 207–210.</w:t>
      </w:r>
    </w:p>
    <w:p>
      <w:pPr>
        <w:pStyle w:val="ArticleBody"/>
        <w:jc w:val="left"/>
      </w:pPr>
      <w:r>
        <w:rPr>
          <w:rFonts w:ascii="Times New Roman" w:hAnsi="Times New Roman" w:eastAsia="Times New Roman" w:cs="Times New Roman"/>
        </w:rPr>
        <w:t>Nwɛnsoɔ a Onuabaa White de repɛsɛ ɔde kyerɛ Onyankopɔn atemmuo no wɔ saa asɛm no mu ne atemmuo a wɔde baa kuropɔn Yerusalem so no, a wɔ awieɛ berɛ mu no yɛ Seventh-day Adventist asɔre no. Wɔwie saa atemmuo no wɔ Sunday mmara no mu, ɛfiri sɛ ɛhɔ na wɔde Onyankopɔn nsɔano ne aboa no agyiraehyɛde no hyɛ nnipa so. Ezekiel ti nwɔtwe no kyerɛ akyiwadeɛ anan a ɛrekɔ so renyin. Nkyekyem a ɛdi kan no si so dua sɛ ɛsɛ sɛ wɔte anisoadehunu no ase ansa na ahummɔborɔ berɛ no ato mu, berɛ a ɛkyerɛ bosome a ɛtɔ so nsia no da a ɛtɔ so num wɔ afe a ɛtɔ so nsia no mu.</w:t>
      </w:r>
    </w:p>
    <w:p>
      <w:pPr>
        <w:pStyle w:val="ArticleBody"/>
        <w:jc w:val="left"/>
      </w:pPr>
      <w:r>
        <w:rPr>
          <w:rFonts w:ascii="Times New Roman" w:hAnsi="Times New Roman" w:eastAsia="Times New Roman" w:cs="Times New Roman"/>
        </w:rPr>
        <w:t>Esekieli hakuhitaji kujumuisha rejea hiyo ya kihistoria. Angeweza tu kuandika, “Ikawa nilipokuwa nimeketi nyumbani mwangu, na wazee wa Yuda wameketi mbele yangu, ndipo mkono wa Bwana MUNGU ukaniangukia hapo.” Ukweli kwamba alijumuisha rejea ya siku iliyo kabla ya “666,” ni rejea ya kinabii kwa wanafunzi wa unabii. Rejea hiyo ni kwa wale walio na ushindi juu ya hesabu ya jina la mnyama, wanaoijua “666,” kuwa ni sehemu ya Ufunuo wa Yesu Kristo, unaofunuliwa muhuri wake kabla tu ya kufungwa kwa muda wa rehema. Wanajua jambo hili kwa maana wao ni watu wa Mungu, ambao kulingana na Petro, “zamani hawakuwa watu wa Mungu.”</w:t>
      </w:r>
    </w:p>
    <w:p>
      <w:pPr>
        <w:pStyle w:val="ArticleBody"/>
        <w:jc w:val="left"/>
      </w:pPr>
      <w:r>
        <w:rPr>
          <w:rFonts w:ascii="Times New Roman" w:hAnsi="Times New Roman" w:eastAsia="Times New Roman" w:cs="Times New Roman"/>
        </w:rPr>
        <w:t>Dalam 1 Petrus pasal dua, orang-orang yang kini menjadi umat Allah, “telah mengecap, bahwa Tuhan itu murah hati.” Mereka adalah mereka yang secara profetik telah “memakan” firman Allah, berbeda dengan mereka yang menolak memakan firman Allah. Semua nabi berbicara tentang hari-hari terakhir, dan dalam Yohanes pasal enam, Yesus menyampaikan pesan bahwa murid-murid-Nya harus makan daging-Nya dan minum darah-Nya. Dalam pasal itu, murid-murid yang menolak makan daging-Nya dan minum darah-Nya, melakukannya pada ayat enam puluh enam.</w:t>
      </w:r>
    </w:p>
    <w:p>
      <w:pPr>
        <w:pStyle w:val="ArticleScripture"/>
        <w:jc w:val="left"/>
      </w:pPr>
      <w:r>
        <w:rPr>
          <w:rFonts w:ascii="Times New Roman" w:hAnsi="Times New Roman" w:eastAsia="Times New Roman" w:cs="Times New Roman"/>
        </w:rPr>
        <w:t>Нэгэн үеэс эхлэн Түүний олон шавь нар буцаж явж, цаашид Түүнтэй хамт явахаа больжээ. Иохан 6:66.</w:t>
      </w:r>
    </w:p>
    <w:p>
      <w:pPr>
        <w:pStyle w:val="ArticleBody"/>
        <w:jc w:val="left"/>
      </w:pPr>
      <w:r>
        <w:rPr>
          <w:rFonts w:ascii="Times New Roman" w:hAnsi="Times New Roman" w:eastAsia="Times New Roman" w:cs="Times New Roman"/>
        </w:rPr>
        <w:t>Bilong ol savemanmeri husat, long ol las de, i save kaikai bodi na dring blut bilong Krais, ol i save gut olsem Krais, olsem Palmoni, em i nambawan Man bilong Kaunim Namba long pasin i narakain tru, na taim ol i soim mak bilong Em, ol i save long en. Namba “665,” long namba wan ves bilong Esekiel 8, i stap long hap olsem bilong olgeta husat i laik lukim, bilong soim klia olsem em i makim pinis tupela bikpela poin bilong profesi. Namba wan poin em i olsem: dispela tok i mas kisim save long en olsem em i karamapim wanpela hap taim bipo long loa bilong Sande. Namba tu poin em i olsem: namba “666” i stap long wanpela bilong tupela tasol ves long buk bilong Revelesen, em ol i makim stret long tok olsem ol “savemanmeri” bai kisim save long en long ol las de.</w:t>
      </w:r>
    </w:p>
    <w:p>
      <w:pPr>
        <w:pStyle w:val="ArticleScripture"/>
        <w:jc w:val="left"/>
      </w:pPr>
      <w:r>
        <w:rPr>
          <w:rFonts w:ascii="Times New Roman" w:hAnsi="Times New Roman" w:eastAsia="Times New Roman" w:cs="Times New Roman"/>
        </w:rPr>
        <w:t>Inilah hikmat. Barangsiapa yang mempunyai pengertian, biarlah ia menghitung bilangan binatang itu, karena bilangan itu ialah bilangan seorang manusia; dan bilangannya ialah enam ratus enam puluh enam. Wahyu 13:18.</w:t>
      </w:r>
    </w:p>
    <w:p>
      <w:pPr>
        <w:pStyle w:val="ArticleBody"/>
        <w:jc w:val="left"/>
      </w:pPr>
      <w:r>
        <w:rPr>
          <w:rFonts w:ascii="Times New Roman" w:hAnsi="Times New Roman" w:eastAsia="Times New Roman" w:cs="Times New Roman"/>
        </w:rPr>
        <w:t>Orang “bijaksana” yang memahami pertambahan pengetahuan pada akhir zaman, ketika Penyingkapan Yesus Kristus dibuka meterainya, akan mengetahui bahwa “666” adalah suatu lambang nubuat yang penting, karena mereka telah memperoleh kemenangan atas bilangan itu. Oleh sebab itu, dalam pasal delapan Yehezkiel memperkenalkan suatu pemberontakan yang makin memuncak, yang dilukiskan oleh empat kejijikan yang semakin bertambah. Yang terakhir mengidentifikasi orang-orang bodoh sebagai mereka yang sujud menyembah matahari, dengan demikian menandai penghakiman atas Yerusalem (Adventisme), pada akhir zaman. Penghakiman itu terjadi dalam generasi keempat. Keempat kejijikan itu adalah lambang-lambang dari empat generasi Adventisme Laodikia.</w:t>
      </w:r>
    </w:p>
    <w:p>
      <w:pPr>
        <w:pStyle w:val="ArticleBody"/>
        <w:jc w:val="left"/>
      </w:pPr>
      <w:r>
        <w:rPr>
          <w:rFonts w:ascii="Times New Roman" w:hAnsi="Times New Roman" w:eastAsia="Times New Roman" w:cs="Times New Roman"/>
        </w:rPr>
        <w:t>Mbombo ya liboso yandimaka na 1863, elongo na botomboki mpo na ndai ya Moize ya “mbala sambo.” Sima ya mibu ntuku mibale na mitano, botomboki ya 1888 emonanaki polele. Sima ya mibu ntuku misato na moko, botomboki ya 1919 esalemaki, emonisami na buku ya W. W. Prescott, “The Doctrine of Christ”. Sima ya mibu ntuku misato na mwambe lisusu, na 1957, botomboki oyo emonisamaki na buku, “Questions on Doctrine” esalemaki. Sikawa tokobanda kolakisa mpo na nini bilembo wana minei ya nzela ekokani na makambo minei ya nkele ya Ezekiele mokapo mwa mwambe.</w:t>
      </w:r>
    </w:p>
    <w:p>
      <w:pPr>
        <w:pStyle w:val="ArticleBody"/>
        <w:jc w:val="left"/>
      </w:pPr>
      <w:r>
        <w:rPr>
          <w:rFonts w:ascii="Times New Roman" w:hAnsi="Times New Roman" w:eastAsia="Times New Roman" w:cs="Times New Roman"/>
        </w:rPr>
        <w:t>Pada tahun 1863, Adventisme Laodikia memperkenalkan suatu carta baharu untuk menggantikan dua carta yang merupakan penggenapan perintah dalam Habakuk fasal dua supaya, “tuliskanlah penglihatan itu dan ukirkanlah itu dengan jelas pada loh-loh.” Carta tahun 1863 itu menggugurkan “tujuh masa” daripada ilustrasi nubuatan, padahal perkara itu terdapat pada kedua-dua carta suci tersebut bersama-sama dengan 1260, 1290, dan 1335. Dalam kitab Habakuk, perintah itu menunjukkan bahawa loh-loh itu (dalam bentuk jamak) akan diterbitkan sedemikian rupa sehingga, “orang yang membacanya dapat berlari.” Carta tahun 1863 itu begitu jauh menyimpang daripada sasaran, sehingga diperlukan suatu helaian penjelasan untuk menyertainya. Tidak mungkin seseorang melihat carta tahun 1863 itu lalu “berlari” tanpa adanya helaian tambahan.</w:t>
      </w:r>
    </w:p>
    <w:p>
      <w:pPr>
        <w:pStyle w:val="ArticleScripture"/>
        <w:jc w:val="left"/>
      </w:pPr>
      <w:r>
        <w:rPr>
          <w:rFonts w:ascii="Leelawadee UI" w:hAnsi="Leelawadee UI" w:eastAsia="Leelawadee UI" w:cs="Leelawadee UI"/>
        </w:rPr>
        <w:t>សេចក្តីអម្ចាស់បានឆ្លើយមកខ្ញុំ</w:t>
      </w:r>
      <w:r>
        <w:rPr>
          <w:rFonts w:ascii="Times New Roman" w:hAnsi="Times New Roman" w:eastAsia="Times New Roman" w:cs="Times New Roman"/>
        </w:rPr>
        <w:t xml:space="preserve"> </w:t>
      </w:r>
      <w:r>
        <w:rPr>
          <w:rFonts w:ascii="Leelawadee UI" w:hAnsi="Leelawadee UI" w:eastAsia="Leelawadee UI" w:cs="Leelawadee UI"/>
        </w:rPr>
        <w:t>ហើយមានព្រះបន្ទូលថា៖</w:t>
      </w:r>
      <w:r>
        <w:rPr>
          <w:rFonts w:ascii="Times New Roman" w:hAnsi="Times New Roman" w:eastAsia="Times New Roman" w:cs="Times New Roman"/>
        </w:rPr>
        <w:t xml:space="preserve"> «</w:t>
      </w:r>
      <w:r>
        <w:rPr>
          <w:rFonts w:ascii="Leelawadee UI" w:hAnsi="Leelawadee UI" w:eastAsia="Leelawadee UI" w:cs="Leelawadee UI"/>
        </w:rPr>
        <w:t>ចូរសរសេរនិមិត្ត</w:t>
      </w:r>
      <w:r>
        <w:rPr>
          <w:rFonts w:ascii="Times New Roman" w:hAnsi="Times New Roman" w:eastAsia="Times New Roman" w:cs="Times New Roman"/>
        </w:rPr>
        <w:t xml:space="preserve"> </w:t>
      </w:r>
      <w:r>
        <w:rPr>
          <w:rFonts w:ascii="Leelawadee UI" w:hAnsi="Leelawadee UI" w:eastAsia="Leelawadee UI" w:cs="Leelawadee UI"/>
        </w:rPr>
        <w:t>ហើយធ្វើឲ្យច្បាស់លាស់លើផ្ទាំង</w:t>
      </w:r>
      <w:r>
        <w:rPr>
          <w:rFonts w:ascii="Times New Roman" w:hAnsi="Times New Roman" w:eastAsia="Times New Roman" w:cs="Times New Roman"/>
        </w:rPr>
        <w:t xml:space="preserve"> </w:t>
      </w:r>
      <w:r>
        <w:rPr>
          <w:rFonts w:ascii="Leelawadee UI" w:hAnsi="Leelawadee UI" w:eastAsia="Leelawadee UI" w:cs="Leelawadee UI"/>
        </w:rPr>
        <w:t>ដើម្បីឲ្យអ្នកដែលអានវា</w:t>
      </w:r>
      <w:r>
        <w:rPr>
          <w:rFonts w:ascii="Times New Roman" w:hAnsi="Times New Roman" w:eastAsia="Times New Roman" w:cs="Times New Roman"/>
        </w:rPr>
        <w:t xml:space="preserve"> </w:t>
      </w:r>
      <w:r>
        <w:rPr>
          <w:rFonts w:ascii="Leelawadee UI" w:hAnsi="Leelawadee UI" w:eastAsia="Leelawadee UI" w:cs="Leelawadee UI"/>
        </w:rPr>
        <w:t>អាចរត់ទៅបាន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ហាបាគុក</w:t>
      </w:r>
      <w:r>
        <w:rPr>
          <w:rFonts w:ascii="Times New Roman" w:hAnsi="Times New Roman" w:eastAsia="Times New Roman" w:cs="Times New Roman"/>
        </w:rPr>
        <w:t xml:space="preserve"> 2:2</w:t>
      </w:r>
    </w:p>
    <w:p>
      <w:pPr>
        <w:pStyle w:val="ArticleBody"/>
        <w:jc w:val="left"/>
      </w:pPr>
      <w:r>
        <w:rPr>
          <w:rFonts w:ascii="Times New Roman" w:hAnsi="Times New Roman" w:eastAsia="Times New Roman" w:cs="Times New Roman"/>
        </w:rPr>
        <w:t>Carta ya 1863 e ne e le sa maaka se reretsweng go khurumetsa sa nnete, fela jaaka William Miller a bone mo torong ya gagwe. Ditšhate tse pedi tse di boitshepo e ne e le sesupo sa kgolagano e Keresete a e dirileng le batho ba ba neng ba sa tswa go tsaya boemo jwa lonaka lwa lefatshe la sebata e le Boprotestanta jwa nnete. Ditšhate tseo tse pedi di ne di emela sesupo sa kamano ya kgolagano magareng ga ba-Millerite le Keresete, yo o neng a tla ka tshoganyetso mo tempeleng ya Gagwe ka 1844; mme fa A tla, O ne a tla e le Morongwa wa Kgolagano. Iseraele wa bogologolo o tshwantsha Iseraele wa segompieno, mme fa Keresete a ne a ntsha Iseraele wa bogologolo mo botlhankeng jwa Egepeto, O ne a supa pele nako e A neng a tla go ntsha Iseraele wa segompieno mo botlhankeng jwa dingwaga di le sekete makgolo a mabedi le masome a marataro tsa puso ya bopapa. Kgaitsadi White o gatelela gangwe le gape dipolelo tseno tse pedi tsa hisetori e le dihisetori tse di tsamaisanang.</w:t>
      </w:r>
    </w:p>
    <w:p>
      <w:pPr>
        <w:pStyle w:val="ArticleScripture"/>
        <w:jc w:val="left"/>
      </w:pPr>
      <w:r>
        <w:rPr>
          <w:rFonts w:ascii="Times New Roman" w:hAnsi="Times New Roman" w:eastAsia="Times New Roman" w:cs="Times New Roman"/>
        </w:rPr>
        <w:t>“</w:t>
      </w:r>
      <w:r>
        <w:rPr>
          <w:rFonts w:ascii="Nirmala UI" w:hAnsi="Nirmala UI" w:eastAsia="Nirmala UI" w:cs="Nirmala UI"/>
        </w:rPr>
        <w:t>हामीमाथि</w:t>
      </w:r>
      <w:r>
        <w:rPr>
          <w:rFonts w:ascii="Times New Roman" w:hAnsi="Times New Roman" w:eastAsia="Times New Roman" w:cs="Times New Roman"/>
        </w:rPr>
        <w:t xml:space="preserve"> </w:t>
      </w:r>
      <w:r>
        <w:rPr>
          <w:rFonts w:ascii="Nirmala UI" w:hAnsi="Nirmala UI" w:eastAsia="Nirmala UI" w:cs="Nirmala UI"/>
        </w:rPr>
        <w:t>बितेका</w:t>
      </w:r>
      <w:r>
        <w:rPr>
          <w:rFonts w:ascii="Times New Roman" w:hAnsi="Times New Roman" w:eastAsia="Times New Roman" w:cs="Times New Roman"/>
        </w:rPr>
        <w:t xml:space="preserve"> </w:t>
      </w:r>
      <w:r>
        <w:rPr>
          <w:rFonts w:ascii="Nirmala UI" w:hAnsi="Nirmala UI" w:eastAsia="Nirmala UI" w:cs="Nirmala UI"/>
        </w:rPr>
        <w:t>युगहरूको</w:t>
      </w:r>
      <w:r>
        <w:rPr>
          <w:rFonts w:ascii="Times New Roman" w:hAnsi="Times New Roman" w:eastAsia="Times New Roman" w:cs="Times New Roman"/>
        </w:rPr>
        <w:t xml:space="preserve"> </w:t>
      </w:r>
      <w:r>
        <w:rPr>
          <w:rFonts w:ascii="Nirmala UI" w:hAnsi="Nirmala UI" w:eastAsia="Nirmala UI" w:cs="Nirmala UI"/>
        </w:rPr>
        <w:t>सञ्चित</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चम्किरहेको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बिर्सनेपनको</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ज्ञानोदयका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युगमा</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भाषाबाट</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बटुल्न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फैलाउनुभएको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उत्तराधिकारका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इस्राएलीहरूलाई</w:t>
      </w:r>
      <w:r>
        <w:rPr>
          <w:rFonts w:ascii="Times New Roman" w:hAnsi="Times New Roman" w:eastAsia="Times New Roman" w:cs="Times New Roman"/>
        </w:rPr>
        <w:t xml:space="preserve"> </w:t>
      </w:r>
      <w:r>
        <w:rPr>
          <w:rFonts w:ascii="Nirmala UI" w:hAnsi="Nirmala UI" w:eastAsia="Nirmala UI" w:cs="Nirmala UI"/>
        </w:rPr>
        <w:t>मिश्रदेशबाट</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परखियो</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समुद्रको</w:t>
      </w:r>
      <w:r>
        <w:rPr>
          <w:rFonts w:ascii="Times New Roman" w:hAnsi="Times New Roman" w:eastAsia="Times New Roman" w:cs="Times New Roman"/>
        </w:rPr>
        <w:t xml:space="preserve"> </w:t>
      </w:r>
      <w:r>
        <w:rPr>
          <w:rFonts w:ascii="Nirmala UI" w:hAnsi="Nirmala UI" w:eastAsia="Nirmala UI" w:cs="Nirmala UI"/>
        </w:rPr>
        <w:t>किनारमा</w:t>
      </w:r>
      <w:r>
        <w:rPr>
          <w:rFonts w:ascii="Times New Roman" w:hAnsi="Times New Roman" w:eastAsia="Times New Roman" w:cs="Times New Roman"/>
        </w:rPr>
        <w:t xml:space="preserve"> </w:t>
      </w:r>
      <w:r>
        <w:rPr>
          <w:rFonts w:ascii="Nirmala UI" w:hAnsi="Nirmala UI" w:eastAsia="Nirmala UI" w:cs="Nirmala UI"/>
        </w:rPr>
        <w:t>हिब्रूहरूको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परखिएको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Testimonies, volume 8, 115, 116.</w:t>
      </w:r>
    </w:p>
    <w:p>
      <w:pPr>
        <w:pStyle w:val="ArticleBody"/>
        <w:jc w:val="left"/>
      </w:pPr>
      <w:r>
        <w:rPr>
          <w:rFonts w:ascii="Times New Roman" w:hAnsi="Times New Roman" w:eastAsia="Times New Roman" w:cs="Times New Roman"/>
        </w:rPr>
        <w:t>Apabila Tuhan mengikat perjanjian dengan Israel purba, Dia memberikan dua loh untuk melambangkan hubungan perjanjian itu. Apabila Tuhan mengikat perjanjian dengan Israel moden, Dia memberikan dua loh untuk melambangkan hubungan perjanjian itu. Dua loh Sepuluh Hukum itu melambangkan dua loh Habakuk. Dia memberikan kepada mereka dua loh itu tidak lama selepas penyeberangan Laut Merah, yang oleh Sister White disejajarkan dengan kekecewaan besar tahun 1844. Tidak lama selepas tahun 1844, dari segi sejarah nubuatan, Tuhan menghasilkan loh yang kedua. Israel purba dijadikan pemegang amanat hukum Tuhan, dan Israel moden dijadikan pemegang amanat bukan sahaja hukum Tuhan, tetapi juga kebenaran-kebenaran nubuatan yang agung itu.</w:t>
      </w:r>
    </w:p>
    <w:p>
      <w:pPr>
        <w:pStyle w:val="ArticleScripture"/>
        <w:jc w:val="left"/>
      </w:pPr>
      <w:r>
        <w:rPr>
          <w:rFonts w:ascii="Times New Roman" w:hAnsi="Times New Roman" w:eastAsia="Times New Roman" w:cs="Times New Roman"/>
        </w:rPr>
        <w:t>“Modimo o biditše kereke ya Gagwe mehleng ye, bjalo ka ge A biditše Isiraele ya bogologolo, gore e eme bjalo ka seetša lefaseng. Ka searoganyi se segolo sa therešo, e lego melaetša ya morongwa wa mathomo, wa bobedi, le wa boraro, O ba arogantše le dikereke le lefase gore A ba tliše kgauswi e kgethwa le Yena. O ba dirile baboloki ba molao wa Gagwe, gomme O ba gafetše ditherešo tše kgolo tša boporofeta tša nako ye. Bjalo ka dipolelo tše kgethwa tšeo di gafetšwego Isiraeleng ya bogologolo, tše ke boikarabelo bjo bokgethwa bjo bo swanetšego go tsebišwa lefase.” Testimonies, volume 5, 455.</w:t>
      </w:r>
    </w:p>
    <w:p>
      <w:pPr>
        <w:pStyle w:val="ArticleBody"/>
        <w:jc w:val="left"/>
      </w:pPr>
      <w:r>
        <w:rPr>
          <w:rFonts w:ascii="Times New Roman" w:hAnsi="Times New Roman" w:eastAsia="Times New Roman" w:cs="Times New Roman"/>
        </w:rPr>
        <w:t>Litaelo tse pedi tsa ntlha di supa letlhoo la Modimo mo kobamelong ya medimo ya disetwa, mme mo Litaelong tseo tse pedi tsa ntlha O supa gore katlholo e diragadiwa go ya kwa kokomaneng ya boraro le ya bone, gonne O supa gore Ke Modimo yo o lefufa.</w:t>
      </w:r>
    </w:p>
    <w:p>
      <w:pPr>
        <w:pStyle w:val="ArticleScripture"/>
        <w:jc w:val="left"/>
      </w:pPr>
      <w:r>
        <w:rPr>
          <w:rFonts w:ascii="Times New Roman" w:hAnsi="Times New Roman" w:eastAsia="Times New Roman" w:cs="Times New Roman"/>
        </w:rPr>
        <w:t>“Molao ha oa ka oa boleloa nakong ena feela molemong oa Baheberu. Molimo o ile a ba hlompha ka ho ba etsa balebeli le bahlokomeli ba molao oa Hae, empa o ne o lokela ho bolokoa e le tšepo e halalelang bakeng sa lefatše lohle. Litaelo tsa Dekalogo li loketse batho bohle, ’me li ile tsa fanoa bakeng sa thuto le puso ea bohle. Litaelo tse leshome, tse khutšoanyane, tse akaretsang, le tse nang le matla a taolo, li akaretsa boikarabelo ba motho ho Molimo le ho motho oa habo; ’me tsohle li theiloe holim’a molao-motheo o moholo oa lerato. ‘U rate Morena Molimo oa hao ka pelo ea hao eohle, le ka moea oa hao oohle, le ka matla a hao ’ohle, le ka kelello ea hao eohle; ’me moahelani oa hao u mo rate joalokaha u ithata.’ Luka 10:27. Sheba hape Deuteronoma 6:4, 5; Levitike 19:18. Melao-motheo ena e hlalosoa ka botlalo ka har’a Melao e Leshome, ’me e etsoa hore e sebetse maemong le maikemisetso a motho.”</w:t>
      </w:r>
    </w:p>
    <w:p>
      <w:pPr>
        <w:pStyle w:val="ArticleScripture"/>
        <w:jc w:val="left"/>
      </w:pPr>
      <w:r>
        <w:rPr>
          <w:rFonts w:ascii="Times New Roman" w:hAnsi="Times New Roman" w:eastAsia="Times New Roman" w:cs="Times New Roman"/>
        </w:rPr>
        <w:t>“‘O tshwanetse go se nne le medimo e mengwe fa pele ga Me.’</w:t>
      </w:r>
    </w:p>
    <w:p>
      <w:pPr>
        <w:pStyle w:val="ArticleScripture"/>
        <w:jc w:val="left"/>
      </w:pPr>
      <w:r>
        <w:rPr>
          <w:rFonts w:ascii="Times New Roman" w:hAnsi="Times New Roman" w:eastAsia="Times New Roman" w:cs="Times New Roman"/>
        </w:rPr>
        <w:t>“Yehovah, Yang kekal, Yang ada dengan sendiri-Nya, Yang tidak dicipta, Dia sendiri Sumber dan Pemelihara segala sesuatu, hanya Dialah yang berhak menerima penghormatan dan penyembahan yang tertinggi. Manusia dilarang memberikan kepada objek lain mana pun tempat yang pertama dalam kasih sayang atau pelayanannya. Apa pun yang kita pelihara yang cenderung mengurangi kasih kita kepada Allah atau menghalangi pelayanan yang patut diberikan kepada-Nya, itulah yang kita jadikan allah.”</w:t>
      </w:r>
    </w:p>
    <w:p>
      <w:pPr>
        <w:pStyle w:val="ArticleScripture"/>
        <w:jc w:val="left"/>
      </w:pPr>
      <w:r>
        <w:rPr>
          <w:rFonts w:ascii="Times New Roman" w:hAnsi="Times New Roman" w:eastAsia="Times New Roman" w:cs="Times New Roman"/>
        </w:rPr>
        <w:t>“‘O se ke wa iketsetsa setshwantsho se betlilweng, leha e le sebopeho sa ntho efe kapa efe e hodimo mahodimong, kapa e lefatsheng tlase, kapa e metsing tlasa lefatshe: o se ke wa e khumamela, leha e le ho e sebeletsa.’</w:t>
      </w:r>
    </w:p>
    <w:p>
      <w:pPr>
        <w:pStyle w:val="ArticleScripture"/>
        <w:jc w:val="left"/>
      </w:pPr>
      <w:r>
        <w:rPr>
          <w:rFonts w:ascii="Times New Roman" w:hAnsi="Times New Roman" w:eastAsia="Times New Roman" w:cs="Times New Roman"/>
        </w:rPr>
        <w:t>“Taŋa riaba gimin ge∙etgipa ge∙etaniara, beben Isolko mimgipa rongtalo ba dakgipa dakchakrango olakkianiko beng∙a. Bang∙a songsarek jat-rang indine aganaha je, uamangni mimgipa rongtalrangde, Isolko olakkina skanggipa cholonrang ba chinrang matnangasan ong∙a; indiba Isol an∙tang indake ge∙etaha je, indakgipa olakkiani pap ong∙a. Jringjrotgipa Ong∙atgipako a∙gilsako dakgimin bosturango mesokna jotton ka∙anide, mandeni Isolni gimin chanchianiko komitgen. Jihvaoni bon∙gijagipa chu∙sokani gita an∙tangni gisikko pil∙atako man∙gimin gisikde, Ong∙atgipani pal mikkangna bate ong∙gimin bostuni palna salbaatgen. Aro, Isolni gimin uni chanchianirang komi ja∙man, mande an∙tangan rakgipa ong∙e ga∙akgen.”</w:t>
      </w:r>
    </w:p>
    <w:p>
      <w:pPr>
        <w:pStyle w:val="ArticleScripture"/>
        <w:jc w:val="left"/>
      </w:pPr>
      <w:r>
        <w:rPr>
          <w:rFonts w:ascii="Times New Roman" w:hAnsi="Times New Roman" w:eastAsia="Times New Roman" w:cs="Times New Roman"/>
        </w:rPr>
        <w:t>“‘Aku, TUHAN, Allahmu, ialah Allah yang cemburu.’ Hubungan Allah yang erat dan kudus dengan umat-Nya digambarkan dengan kiasan perkahwinan. Oleh sebab penyembahan berhala ialah perzinaan rohani, murka Allah terhadapnya dengan tepat disebut kecemburuan.” Patriarchs and Prophets, 305, 306.</w:t>
      </w:r>
    </w:p>
    <w:p>
      <w:pPr>
        <w:pStyle w:val="ArticleBody"/>
        <w:jc w:val="left"/>
      </w:pPr>
      <w:r>
        <w:rPr>
          <w:rFonts w:ascii="Times New Roman" w:hAnsi="Times New Roman" w:eastAsia="Times New Roman" w:cs="Times New Roman"/>
        </w:rPr>
        <w:t>Moné dōk ma todak kitho komoa idolatry, aro ianaba coincidence akchik ong∙a je Ezekiel chapter eight-o skanggipa abominationara “jealousy-ni image” ong∙a.</w:t>
      </w:r>
    </w:p>
    <w:p>
      <w:pPr>
        <w:pStyle w:val="ArticleScripture"/>
        <w:jc w:val="left"/>
      </w:pPr>
      <w:r>
        <w:rPr>
          <w:rFonts w:ascii="Times New Roman" w:hAnsi="Times New Roman" w:eastAsia="Times New Roman" w:cs="Times New Roman"/>
        </w:rPr>
        <w:t>Lalu terjadilah pada tahun keenam, dalam bulan yang keenam, pada hari yang kelima bulan itu, ketika aku duduk di rumahku, dan para tua-tua Yehuda duduk di hadapanku, bahwa tangan Tuhan ALLAH turun menimpa aku di sana. Maka aku melihat, dan tampaklah suatu rupa seperti kelihatan api: dari yang tampak seperti pinggang-Nya ke bawah, api; dan dari pinggang-Nya ke atas, seperti kelihatan cahaya kemilau, seperti warna ambar. Lalu Ia mengulurkan bentuk suatu tangan, dan memegang aku pada jambak rambut kepalaku; dan Roh itu mengangkat aku di antara bumi dan langit, dan membawa aku dalam penglihatan-penglihatan Allah ke Yerusalem, ke pintu gerbang dalam yang menghadap ke utara; di sanalah tempat kedudukan patung kecemburuan, yang membangkitkan kecemburuan. Dan lihatlah, kemuliaan Allah Israel ada di sana, sesuai dengan penglihatan yang telah kulihat di tanah datar. Lalu Ia berfirman kepadaku: Hai anak manusia, angkatlah sekarang matamu ke arah utara. Maka aku mengangkat mataku ke arah utara, dan lihatlah, di sebelah utara, pada pintu gerbang mezbah, patung kecemburuan itu ada di pintu masuk. Yehezkiel 8:1–5.</w:t>
      </w:r>
    </w:p>
    <w:p>
      <w:pPr>
        <w:pStyle w:val="ArticleBody"/>
        <w:jc w:val="left"/>
      </w:pPr>
      <w:r>
        <w:rPr>
          <w:rFonts w:ascii="Times New Roman" w:hAnsi="Times New Roman" w:eastAsia="Times New Roman" w:cs="Times New Roman"/>
        </w:rPr>
        <w:t>Setšoantšo sa mōna ke sa pele ho manyala a mane a ntseng a eketseha ao Ezekiele a a bontšitsoeng. Setšoantšo sa mōna se emela qalo ea moloko oa pele ho meloko e mene ea bofetoheli bo ntseng bo eketseha ka hara Adventism. Moloko oa pele o qalile ka 1863.</w:t>
      </w:r>
    </w:p>
    <w:p>
      <w:pPr>
        <w:pStyle w:val="ArticleBody"/>
        <w:jc w:val="left"/>
      </w:pPr>
      <w:r>
        <w:rPr>
          <w:rFonts w:ascii="Times New Roman" w:hAnsi="Times New Roman" w:eastAsia="Times New Roman" w:cs="Times New Roman"/>
        </w:rPr>
        <w:t>Re tla tswela pele ka thuto eno mo setlhogong se se latelang.</w:t>
      </w:r>
    </w:p>
    <w:p>
      <w:pPr>
        <w:pStyle w:val="ArticleScripture"/>
        <w:jc w:val="left"/>
      </w:pPr>
      <w:r>
        <w:rPr>
          <w:rFonts w:ascii="Times New Roman" w:hAnsi="Times New Roman" w:eastAsia="Times New Roman" w:cs="Times New Roman"/>
        </w:rPr>
        <w:t>“Setiap nabi purba berbicara bukan terutama bagi zaman mereka sendiri, melainkan bagi zaman kita, sehingga nubuat mereka berlaku bagi kita. ‘Semuanya ini telah menimpa mereka sebagai contoh, dan semuanya itu dituliskan untuk menjadi peringatan bagi kita, yang pada kita zaman akhir telah tiba.’ 1 Korintus 10:11. ‘Bukan untuk diri mereka sendiri, tetapi untuk kita mereka melayani perkara-perkara yang sekarang diberitakan kepadamu oleh mereka yang telah memberitakan Injil kepadamu dengan Roh Kudus yang diutus dari surga; perkara-perkara itulah yang ingin diketahui oleh malaikat-malaikat.’ 1 Petrus 1:12....”</w:t>
      </w:r>
    </w:p>
    <w:p>
      <w:pPr>
        <w:pStyle w:val="ArticleScripture"/>
        <w:jc w:val="left"/>
      </w:pPr>
      <w:r>
        <w:rPr>
          <w:rFonts w:ascii="Times New Roman" w:hAnsi="Times New Roman" w:eastAsia="Times New Roman" w:cs="Times New Roman"/>
        </w:rPr>
        <w:t>“ Baebele e phuthetse mme ya kopanya mmogo matlotlo a yona bakeng sa kokomana eno ya bofelo. Ditiragalo tsotlhe tse dikgolo le ditiragalo tsotlhe tse di boitshegang tsa hisitori ya Baebele ya Baebele e Kgologolo di ne di diragala, e bile di a boeletswa mo kerekeng mo malatsing ano a bofelo.”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Sitini na Tisa</dc:title>
  <dc:subject>Ho Tsenola Selikalikoe sa Meloko: Manyala a Mane a Adventism</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