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Tujuh Puluh Lima</w:t>
      </w:r>
    </w:p>
    <w:p>
      <w:pPr>
        <w:pStyle w:val="ArticleSubtitle"/>
        <w:jc w:val="left"/>
      </w:pPr>
      <w:r>
        <w:rPr>
          <w:rFonts w:ascii="Arial" w:hAnsi="Arial" w:eastAsia="Arial" w:cs="Arial"/>
        </w:rPr>
        <w:t>Perumpamaan Nabi: Dari Mesej Yesaya kepada Wahyu Zaman Kini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Busaia ba hlalosa molaetsa o emeloang ke lilemo tse mashome a tšeletseng a metso e mehlano (khaolo ea bosupa, temana ea borobeli) ho moetapele ea khopo oa Jerusalema, o etsa joalo pela “tšimo ea mohlatsisi” le “qetellong ea kotopo ea letangoana le ka holimo,” ka selemo sa 742 BC. 742 BC e emela 1863, hobane Jesu kamehla o bontša qetello ka qalo. Borabele ba 1863 le bona bo emela molao oa Sontaha United States, hobane Jesu kamehla o bontša qetello ea ntho ka qalo ea ntho. 1863 e ne e le qalo ea kereke ea Adventist ea Laodisea e ngolisitsoeng ka molao, ’me kereke eo e tloheloa e le lesupi ka “tšisinyeho e kholo ea lefatše” ea molao oa Sontaha. Khampani e laoloang ka molao ke ’Muso e ka tsoela pele joang ho tšehetsa Sabatha ea letsatsi la bosupa, nakong eo ’muso oo oo ka molao o thibelang borapeli ka letsatsi la bosupa?</w:t>
      </w:r>
    </w:p>
    <w:p>
      <w:pPr>
        <w:pStyle w:val="ArticleBody"/>
        <w:jc w:val="left"/>
      </w:pPr>
      <w:r>
        <w:rPr>
          <w:rFonts w:ascii="Times New Roman" w:hAnsi="Times New Roman" w:eastAsia="Times New Roman" w:cs="Times New Roman"/>
        </w:rPr>
        <w:t>Pagpahit sinugatan ni Cristo, pinadalisay Nia ing templo. King mumunang pamaglinis na ning templo, inditica ne ni Cristo a reng pamagpaliari megawang “ing bale ning Ama Nia” a lungga da reng tulisan; oneng king pamanguli a pamaglinis na ning templo, tinuking ne a “ing bale da” mibate karela a mapali. Ing daan a Israel ilarawan ne ing bayung Israel. Itinag ne ampong pinadalisay ing templong Millerita king pamagpasimula ning Adventismo, oneng king pamanguli a pamaglinis, ing pamaglinis da reng sanggatus ampong apat apulung libu, ing Adventismung Laodiceano iluwa ne king buklat na, at “ing bale da” mibate ne ngan a mapali.</w:t>
      </w:r>
    </w:p>
    <w:p>
      <w:pPr>
        <w:pStyle w:val="ArticleBody"/>
        <w:jc w:val="left"/>
      </w:pPr>
      <w:r>
        <w:rPr>
          <w:rFonts w:ascii="Times New Roman" w:hAnsi="Times New Roman" w:eastAsia="Times New Roman" w:cs="Times New Roman"/>
        </w:rPr>
        <w:t>Yesaya berada di padang tukang penatu ketika ia berhadapan dengan raja Ahas. Padang tukang penatu melambangkan penyucian yang dikerjakan oleh Utusan Perjanjian yang dengan tiba-tiba datang ke Bait-Nya, dan menyucikan bani Lewi seperti dengan “sabun tukang penatu.” Penyucian ini dikerjakan pada permulaan Adventisme, dan dikerjakan lagi pada akhirnya.</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itu akan tiba-tiba datang ke bait-Nya, yaitu utusan perjanjian yang kamu sukai; sesungguhnya, Ia akan datang, firman TUHAN semesta alam. Tetapi siapakah yang dapat tahan pada hari kedatangan-Nya? dan siapakah yang dapat tetap berdiri apabila Ia menampakkan diri? sebab Ia seperti api pemurni dan seperti sabun tukang penatu. Dan Ia akan duduk seperti seorang pemurni dan pentahir perak; Ia akan mentahirkan bani Lewi dan memurnikan mereka seperti emas dan perak, supaya mereka dapat mempersembahkan kepada TUHAN persembahan dalam kebenaran. Maka persembahan Yehuda dan Yerusalem akan menyenangkan TUHAN, seperti pada hari-hari dahulu kala dan seperti pada tahun-tahun yang lampau. Maleakhi 3:1–4.</w:t>
      </w:r>
    </w:p>
    <w:p>
      <w:pPr>
        <w:pStyle w:val="ArticleBody"/>
        <w:jc w:val="left"/>
      </w:pPr>
      <w:r>
        <w:rPr>
          <w:rFonts w:ascii="Times New Roman" w:hAnsi="Times New Roman" w:eastAsia="Times New Roman" w:cs="Times New Roman"/>
        </w:rPr>
        <w:t>Aisaya o kopana le Akase, ka pontšo ea mora oa hae, eo lebitso la hae le tšoantšetsang hore matsatsing a ho qetela “masalla a tla khutla.” Masalla ke bao ba “khutlang.” Aisaya o kopana le morena ea khopo Akase nakong ea histori ea ho hloekisoa ha tempele, e qalileng historing ea Bamillere ka 1844, ’me ea fihlisetsoa qetellong ka ho se mamele ka 1863. Matsatsing a ho qetela, ho hloekisoa ke histori ea ho tiisoa ha ba lekholo le mashome a mane a metso e mene a likete. Hoja Bamillere ba ne ba latetse tataiso e bulehileng ea Molimo e ileng ea latela 1844, ba ka be ba qetile mosebetsi.</w:t>
      </w:r>
    </w:p>
    <w:p>
      <w:pPr>
        <w:pStyle w:val="ArticleScripture"/>
        <w:jc w:val="left"/>
      </w:pPr>
      <w:r>
        <w:rPr>
          <w:rFonts w:ascii="Times New Roman" w:hAnsi="Times New Roman" w:eastAsia="Times New Roman" w:cs="Times New Roman"/>
        </w:rPr>
        <w:t>“1844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대실망</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재림신자들이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지키고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열려</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섭리를</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연합하여</w:t>
      </w:r>
      <w:r>
        <w:rPr>
          <w:rFonts w:ascii="Times New Roman" w:hAnsi="Times New Roman" w:eastAsia="Times New Roman" w:cs="Times New Roman"/>
        </w:rPr>
        <w:t xml:space="preserve"> </w:t>
      </w:r>
      <w:r>
        <w:rPr>
          <w:rFonts w:ascii="Malgun Gothic" w:hAnsi="Malgun Gothic" w:eastAsia="Malgun Gothic" w:cs="Malgun Gothic"/>
        </w:rPr>
        <w:t>전진하며</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능력으로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선포하였더라면</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보았을</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노력과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능력</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역사하셨을</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완결되었을</w:t>
      </w:r>
      <w:r>
        <w:rPr>
          <w:rFonts w:ascii="Times New Roman" w:hAnsi="Times New Roman" w:eastAsia="Times New Roman" w:cs="Times New Roman"/>
        </w:rPr>
        <w:t xml:space="preserve"> </w:t>
      </w:r>
      <w:r>
        <w:rPr>
          <w:rFonts w:ascii="Malgun Gothic" w:hAnsi="Malgun Gothic" w:eastAsia="Malgun Gothic" w:cs="Malgun Gothic"/>
        </w:rPr>
        <w:t>것이고</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이때쯤</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상급으로</w:t>
      </w:r>
      <w:r>
        <w:rPr>
          <w:rFonts w:ascii="Times New Roman" w:hAnsi="Times New Roman" w:eastAsia="Times New Roman" w:cs="Times New Roman"/>
        </w:rPr>
        <w:t xml:space="preserve"> </w:t>
      </w:r>
      <w:r>
        <w:rPr>
          <w:rFonts w:ascii="Malgun Gothic" w:hAnsi="Malgun Gothic" w:eastAsia="Malgun Gothic" w:cs="Malgun Gothic"/>
        </w:rPr>
        <w:t>영접하시기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오셨을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이은</w:t>
      </w:r>
      <w:r>
        <w:rPr>
          <w:rFonts w:ascii="Times New Roman" w:hAnsi="Times New Roman" w:eastAsia="Times New Roman" w:cs="Times New Roman"/>
        </w:rPr>
        <w:t xml:space="preserve"> </w:t>
      </w:r>
      <w:r>
        <w:rPr>
          <w:rFonts w:ascii="Malgun Gothic" w:hAnsi="Malgun Gothic" w:eastAsia="Malgun Gothic" w:cs="Malgun Gothic"/>
        </w:rPr>
        <w:t>의심과</w:t>
      </w:r>
      <w:r>
        <w:rPr>
          <w:rFonts w:ascii="Times New Roman" w:hAnsi="Times New Roman" w:eastAsia="Times New Roman" w:cs="Times New Roman"/>
        </w:rPr>
        <w:t xml:space="preserve"> </w:t>
      </w:r>
      <w:r>
        <w:rPr>
          <w:rFonts w:ascii="Malgun Gothic" w:hAnsi="Malgun Gothic" w:eastAsia="Malgun Gothic" w:cs="Malgun Gothic"/>
        </w:rPr>
        <w:t>불확실의</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재림</w:t>
      </w:r>
      <w:r>
        <w:rPr>
          <w:rFonts w:ascii="Times New Roman" w:hAnsi="Times New Roman" w:eastAsia="Times New Roman" w:cs="Times New Roman"/>
        </w:rPr>
        <w:t xml:space="preserve"> </w:t>
      </w:r>
      <w:r>
        <w:rPr>
          <w:rFonts w:ascii="Malgun Gothic" w:hAnsi="Malgun Gothic" w:eastAsia="Malgun Gothic" w:cs="Malgun Gothic"/>
        </w:rPr>
        <w:t>신자들이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버렸다</w:t>
      </w:r>
      <w:r>
        <w:rPr>
          <w:rFonts w:ascii="Times New Roman" w:hAnsi="Times New Roman" w:eastAsia="Times New Roman" w:cs="Times New Roman"/>
        </w:rPr>
        <w:t xml:space="preserve">.... </w:t>
      </w:r>
      <w:r>
        <w:rPr>
          <w:rFonts w:ascii="Malgun Gothic" w:hAnsi="Malgun Gothic" w:eastAsia="Malgun Gothic" w:cs="Malgun Gothic"/>
        </w:rPr>
        <w:t>이와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방해를</w:t>
      </w:r>
      <w:r>
        <w:rPr>
          <w:rFonts w:ascii="Times New Roman" w:hAnsi="Times New Roman" w:eastAsia="Times New Roman" w:cs="Times New Roman"/>
        </w:rPr>
        <w:t xml:space="preserve"> </w:t>
      </w:r>
      <w:r>
        <w:rPr>
          <w:rFonts w:ascii="Malgun Gothic" w:hAnsi="Malgun Gothic" w:eastAsia="Malgun Gothic" w:cs="Malgun Gothic"/>
        </w:rPr>
        <w:t>받았고</w:t>
      </w:r>
      <w:r>
        <w:rPr>
          <w:rFonts w:ascii="Times New Roman" w:hAnsi="Times New Roman" w:eastAsia="Times New Roman" w:cs="Times New Roman"/>
        </w:rPr>
        <w:t xml:space="preserve">, </w:t>
      </w:r>
      <w:r>
        <w:rPr>
          <w:rFonts w:ascii="Malgun Gothic" w:hAnsi="Malgun Gothic" w:eastAsia="Malgun Gothic" w:cs="Malgun Gothic"/>
        </w:rPr>
        <w:t>세상은</w:t>
      </w:r>
      <w:r>
        <w:rPr>
          <w:rFonts w:ascii="Times New Roman" w:hAnsi="Times New Roman" w:eastAsia="Times New Roman" w:cs="Times New Roman"/>
        </w:rPr>
        <w:t xml:space="preserve"> </w:t>
      </w:r>
      <w:r>
        <w:rPr>
          <w:rFonts w:ascii="Malgun Gothic" w:hAnsi="Malgun Gothic" w:eastAsia="Malgun Gothic" w:cs="Malgun Gothic"/>
        </w:rPr>
        <w:t>어둠</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남겨졌다</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재림신자</w:t>
      </w:r>
      <w:r>
        <w:rPr>
          <w:rFonts w:ascii="Times New Roman" w:hAnsi="Times New Roman" w:eastAsia="Times New Roman" w:cs="Times New Roman"/>
        </w:rPr>
        <w:t xml:space="preserve"> </w:t>
      </w:r>
      <w:r>
        <w:rPr>
          <w:rFonts w:ascii="Malgun Gothic" w:hAnsi="Malgun Gothic" w:eastAsia="Malgun Gothic" w:cs="Malgun Gothic"/>
        </w:rPr>
        <w:t>단체가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계명들과</w:t>
      </w:r>
      <w:r>
        <w:rPr>
          <w:rFonts w:ascii="Times New Roman" w:hAnsi="Times New Roman" w:eastAsia="Times New Roman" w:cs="Times New Roman"/>
        </w:rPr>
        <w:t xml:space="preserve"> </w:t>
      </w:r>
      <w:r>
        <w:rPr>
          <w:rFonts w:ascii="Malgun Gothic" w:hAnsi="Malgun Gothic" w:eastAsia="Malgun Gothic" w:cs="Malgun Gothic"/>
        </w:rPr>
        <w:t>예수의</w:t>
      </w:r>
      <w:r>
        <w:rPr>
          <w:rFonts w:ascii="Times New Roman" w:hAnsi="Times New Roman" w:eastAsia="Times New Roman" w:cs="Times New Roman"/>
        </w:rPr>
        <w:t xml:space="preserve"> </w:t>
      </w:r>
      <w:r>
        <w:rPr>
          <w:rFonts w:ascii="Malgun Gothic" w:hAnsi="Malgun Gothic" w:eastAsia="Malgun Gothic" w:cs="Malgun Gothic"/>
        </w:rPr>
        <w:t>믿음</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연합하였더라면</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달라졌겠는가</w:t>
      </w:r>
      <w:r>
        <w:rPr>
          <w:rFonts w:ascii="Times New Roman" w:hAnsi="Times New Roman" w:eastAsia="Times New Roman" w:cs="Times New Roman"/>
        </w:rPr>
        <w:t>!” Evangelism, 695.</w:t>
      </w:r>
    </w:p>
    <w:p>
      <w:pPr>
        <w:pStyle w:val="ArticleBody"/>
        <w:jc w:val="left"/>
      </w:pPr>
      <w:r>
        <w:rPr>
          <w:rFonts w:ascii="Times New Roman" w:hAnsi="Times New Roman" w:eastAsia="Times New Roman" w:cs="Times New Roman"/>
        </w:rPr>
        <w:t>Kegagalan untuk “majar terus baum sama dalam pemeri’ buka Allah,” nubu’ sida’ masuk ke dalam keadaan Laodikia ba taun 1856, lalu pemberontakan ke datai ba taun 1863 nyadika tanda pun mula pengembara dalam padang belantara, ti udah digambar ngena Israel kelia lebuh sida’ gagal ba ujian sida’ ti kesepuluh enggau ti pengabis, lalu udah nya dihukum mati dalam padang belantara dalam empat puluh taun ti nyusul.</w:t>
      </w:r>
    </w:p>
    <w:p>
      <w:pPr>
        <w:pStyle w:val="ArticleBody"/>
        <w:jc w:val="left"/>
      </w:pPr>
      <w:r>
        <w:rPr>
          <w:rFonts w:ascii="Times New Roman" w:hAnsi="Times New Roman" w:eastAsia="Times New Roman" w:cs="Times New Roman"/>
        </w:rPr>
        <w:t>Anak Yesaya memberikan janji bahwa pada pentahiran Bait Suci yang terakhir pada akhir zaman, “suatu sisa akan kembali.” “Kembalinya” mereka digambarkan oleh Yeremia, yang dijanjikan bahwa jika ia mau “kembali,” ia akan menjadi penjaga Tuhan. Seratus empat puluh empat ribu adalah mereka yang telah kembali dari suatu kekecewaan.</w:t>
      </w:r>
    </w:p>
    <w:p>
      <w:pPr>
        <w:pStyle w:val="ArticleBody"/>
        <w:jc w:val="left"/>
      </w:pPr>
      <w:r>
        <w:rPr>
          <w:rFonts w:ascii="Times New Roman" w:hAnsi="Times New Roman" w:eastAsia="Times New Roman" w:cs="Times New Roman"/>
        </w:rPr>
        <w:t>Ba ba leng ba sekete sekgolo se lekgolo le masome a mane a mane ba fetile mo go swabisweng mme ba letetse Morena wa bone. Ba emetswe ka sesupo ke makgarebe a a botlhale mo hisitoring ya ba-Millerite, mme mo ditiragalong tsotlhe tse pedi, tsa tshimologo le tsa bokhutlo, dithupa tse pedi di kopanngwa go nna setšhaba se le sengwe, ka nako ya tshololelo ya Moya o o Boitshepo mo nakong ya Mokgosi wa Bosigogare.</w:t>
      </w:r>
    </w:p>
    <w:p>
      <w:pPr>
        <w:pStyle w:val="ArticleBody"/>
        <w:jc w:val="left"/>
      </w:pPr>
      <w:r>
        <w:rPr>
          <w:rFonts w:ascii="Times New Roman" w:hAnsi="Times New Roman" w:eastAsia="Times New Roman" w:cs="Times New Roman"/>
        </w:rPr>
        <w:t>Kgosi e mobe Ahase e emela boeteledipele jwa Juda jo bo tla bong bo utlwile molaetsa, mme bo gana molaetsa o o tlhagisitsweng ke Isaia; mme ka go dira jalo bo “kgopiwa, bo we, bo thubega, bo tshwarwa ka serai, bo bo bo tsewa.” Ke bone ba ba “batlang kwa go ba ba nang le meya e e tlwaelaneng le bone, le kwa go baloi ba ba sebang le ba ba ngunang,” ba emela maitemogelo a semowa sa meya ao ba ineelang mo go one fa ba amogela tsietso e e maatla ya 2 Bathesalonika. Go gana ga Ahase molaetsa wa ga Isaia ka 742 BC go tsamaisana le 1863, fa molaetsa wa ga Miller o ne o ganwa. Isaia o emela Miller, mme molaetsa wa ga Isaia le wa ga Miller ka bobedi o ne o theilwe mo go “dinako di supa,” tse di fitlhelang ntlha ya tshegetso ya tsone mo temaneng ya borobedi, ya kgaolo ya bosupa ya Isaia. Morwa Miller (morwa Isaia) o emela motsamao wa Elija o o tlang mo malatsing a bofelo.</w:t>
      </w:r>
    </w:p>
    <w:p>
      <w:pPr>
        <w:pStyle w:val="ArticleBody"/>
        <w:jc w:val="left"/>
      </w:pPr>
      <w:r>
        <w:rPr>
          <w:rFonts w:ascii="Times New Roman" w:hAnsi="Times New Roman" w:eastAsia="Times New Roman" w:cs="Times New Roman"/>
        </w:rPr>
        <w:t>Phatlalatšo ye e dirilwego kgahlanong le Ahase ka baka la go gana ga gagwe e be e akaretša polelopele ya gore o tla fenywa ke kgoši ya leboa, yeo mehleng ya bofelo e lego kopano ya makga a mararo ya Roma ya Sebjalebjale, ye e bušwago ke bopapa.</w:t>
      </w:r>
    </w:p>
    <w:p>
      <w:pPr>
        <w:pStyle w:val="ArticleScripture"/>
        <w:jc w:val="left"/>
      </w:pPr>
      <w:r>
        <w:rPr>
          <w:rFonts w:ascii="Times New Roman" w:hAnsi="Times New Roman" w:eastAsia="Times New Roman" w:cs="Times New Roman"/>
        </w:rPr>
        <w:t>AronNokma mingsingna angna indake aganaha, “Ia manderangni mande Shiloahni chu·rangko, jegrikgrikan re·baenggipa, jegalon, Rezin aro Remaliahni depanterangna katchaaha; uni gimin da, nibo, Jihova uamangni kosako chibimani chu·rangko ra·baenga, bilakbegipa aro bang·begipa, Assyriani raja aro uni pilak rasong baksa. Ua uni pilak nala rangni kosako chadenggen, aro uni pilak jakesrangni kosako re·anggen. Ua Judahko skanggen; ua gal·brugen aro chadenggen; ua kingkingo sokbagen; aro uni grongrangni trikutan nang·ni a·songni pilak tranganiko gapgen, O Immanuel.” Isaiah 8:5–8.</w:t>
      </w:r>
    </w:p>
    <w:p>
      <w:pPr>
        <w:pStyle w:val="ArticleBody"/>
        <w:jc w:val="left"/>
      </w:pPr>
      <w:r>
        <w:rPr>
          <w:rFonts w:ascii="Times New Roman" w:hAnsi="Times New Roman" w:eastAsia="Times New Roman" w:cs="Times New Roman"/>
        </w:rPr>
        <w:t>Yesaya bertemu dengan raja jahat Ahaz di hujung saluran kolam atas, dan walaupun terdapat ketidakpastian dalam kalangan sejarawan Alkitab dan ahli arkeologi tentang sama ada kolam atas itu merupakan kolam yang sama seperti kolam Siloam pada zaman Kristus, konteks nubuat Yesaya menghapuskan segala keraguan, kerana Yesaya menyatakan bahawa raja dari utara akan datang menimpa Ahaz, kerana dia telah menolak air Shiloah, yang mengalir dengan lembut. “Shiloah” ialah nama dalam Perjanjian Lama bagi “Siloam” dalam Perjanjian Baru.</w:t>
      </w:r>
    </w:p>
    <w:p>
      <w:pPr>
        <w:pStyle w:val="ArticleBody"/>
        <w:jc w:val="left"/>
      </w:pPr>
      <w:r>
        <w:rPr>
          <w:rFonts w:ascii="Times New Roman" w:hAnsi="Times New Roman" w:eastAsia="Times New Roman" w:cs="Times New Roman"/>
        </w:rPr>
        <w:t>E ne e le letamong la Siloame moo Jesu a ileng a folisa monna ea foufetseng, ’me morena ea khopo Akase o emela boetapele ba foufetseng ba Laodisea, ka bobeli ka 1863, le molaong oa Sontaha o seng o atametse, ba hanang ho folisoa. “Shiloah” le “Siloame” ka bobeli li bolela “rometsoe,” ’me molaetsa o ile oa romeloa ho tsoa ho Ntate ho ea ho Mora, eo ka mor’a moo a ileng a o nea Gabriele le mangeloi a halalelang hore a o fetisetse ho Esaia, ea ileng a tlisa molaetsa o “rometsoeng” o tsoang leholimong ho moeta-pele ea foufetseng oa Laodisea.</w:t>
      </w:r>
    </w:p>
    <w:p>
      <w:pPr>
        <w:pStyle w:val="ArticleBody"/>
        <w:jc w:val="left"/>
      </w:pPr>
      <w:r>
        <w:rPr>
          <w:rFonts w:ascii="Times New Roman" w:hAnsi="Times New Roman" w:eastAsia="Times New Roman" w:cs="Times New Roman"/>
        </w:rPr>
        <w:t>Saluran dari kolam atas, tempat Yesaya menyampaikan pekabaran itu, melambangkan tempat di mana hujan Roh Kudus disalurkan kepada umat Allah, sebagaimana juga dilambangkan oleh pipa-pipa emas dalam penglihatan Zakharia, atau tangga dalam mimpi Yakub.</w:t>
      </w:r>
    </w:p>
    <w:p>
      <w:pPr>
        <w:pStyle w:val="ArticleScripture"/>
        <w:jc w:val="left"/>
      </w:pPr>
      <w:r>
        <w:rPr>
          <w:rFonts w:ascii="Times New Roman" w:hAnsi="Times New Roman" w:eastAsia="Times New Roman" w:cs="Times New Roman"/>
        </w:rPr>
        <w:t>“Apa yang telah Allah sediakan bagi kita dilambangkan dalam Zakharia, pasal 3 dan 4, serta 4:12–14: ‘Lalu aku menjawab lagi dan berkata kepadanya: Apakah kedua cabang pohon zaitun ini, yang melalui kedua pipa emas itu menyalurkan minyak emas dari dirinya? Maka ia menjawab dan berkata kepadaku: Tidakkah engkau mengetahui apakah ini? Dan aku berkata: Tidak, tuanku. Lalu katanya: Inilah kedua orang yang diurapi, yang berdiri di hadapan Tuhan seluruh bumi.’”</w:t>
      </w:r>
    </w:p>
    <w:p>
      <w:pPr>
        <w:pStyle w:val="ArticleScripture"/>
        <w:jc w:val="left"/>
      </w:pPr>
      <w:r>
        <w:rPr>
          <w:rFonts w:ascii="Times New Roman" w:hAnsi="Times New Roman" w:eastAsia="Times New Roman" w:cs="Times New Roman"/>
        </w:rPr>
        <w:t>“Bwana amejaa rasilimali. Yeye hana upungufu wa vyombo. Ni kwa sababu ya upungufu wetu wa imani, hali yetu ya kidunia, maneno yetu ya ovyo, kutokuamini kwetu, kunakoonekana katika mazungumzo yetu, ndipo vivuli vya giza hukusanyika kutuzunguka. Kristo hafunuliwi kwa neno wala kwa tabia kama Yule aliye mzuri kabisa, na Mkuu kuliko elfu kumi. Wakati nafsi inaporidhika kujiinua yenyewe kwa ubatili, Roho wa Bwana hawezi kuifanyia mengi. Maono yetu ya karibu huona kivuli, lakini hayawezi kuona utukufu ulioko ng’ambo yake. Malaika wanaizuia pepo nne, zikifananishwa na farasi mwenye ghadhabu anayetaka kujinasua na kukimbia juu ya uso wa dunia yote, akileta uharibifu na mauti katika njia yake.”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တော်မူသောကမ္ဘာ၏</w:t>
      </w:r>
      <w:r>
        <w:rPr>
          <w:rFonts w:ascii="Times New Roman" w:hAnsi="Times New Roman" w:eastAsia="Times New Roman" w:cs="Times New Roman"/>
        </w:rPr>
        <w:t xml:space="preserve"> </w:t>
      </w:r>
      <w:r>
        <w:rPr>
          <w:rFonts w:ascii="Myanmar Text" w:hAnsi="Myanmar Text" w:eastAsia="Myanmar Text" w:cs="Myanmar Text"/>
        </w:rPr>
        <w:t>အနားသို့</w:t>
      </w:r>
      <w:r>
        <w:rPr>
          <w:rFonts w:ascii="Times New Roman" w:hAnsi="Times New Roman" w:eastAsia="Times New Roman" w:cs="Times New Roman"/>
        </w:rPr>
        <w:t xml:space="preserve"> </w:t>
      </w:r>
      <w:r>
        <w:rPr>
          <w:rFonts w:ascii="Myanmar Text" w:hAnsi="Myanmar Text" w:eastAsia="Myanmar Text" w:cs="Myanmar Text"/>
        </w:rPr>
        <w:t>ရောက်ရှိလျက်ရှိစဉ်ပင်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အိပ်ပျော်နေရမည်လော။</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ပျင်းရိမောပန်း၍၊</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သေကောင်ကဲ့သို့</w:t>
      </w:r>
      <w:r>
        <w:rPr>
          <w:rFonts w:ascii="Times New Roman" w:hAnsi="Times New Roman" w:eastAsia="Times New Roman" w:cs="Times New Roman"/>
        </w:rPr>
        <w:t xml:space="preserve"> </w:t>
      </w:r>
      <w:r>
        <w:rPr>
          <w:rFonts w:ascii="Myanmar Text" w:hAnsi="Myanmar Text" w:eastAsia="Myanmar Text" w:cs="Myanmar Text"/>
        </w:rPr>
        <w:t>ဖြစ်နေရမည်လော။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အသင်းတော်များ၌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အသက်ရှူသံတော်ကို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လူမျိုးအပေါ်</w:t>
      </w:r>
      <w:r>
        <w:rPr>
          <w:rFonts w:ascii="Times New Roman" w:hAnsi="Times New Roman" w:eastAsia="Times New Roman" w:cs="Times New Roman"/>
        </w:rPr>
        <w:t xml:space="preserve"> </w:t>
      </w:r>
      <w:r>
        <w:rPr>
          <w:rFonts w:ascii="Myanmar Text" w:hAnsi="Myanmar Text" w:eastAsia="Myanmar Text" w:cs="Myanmar Text"/>
        </w:rPr>
        <w:t>မှုတ်သွင်းပေးတော်မူ၍၊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မိမိတို့ခြေထောက်ပေါ်၌</w:t>
      </w:r>
      <w:r>
        <w:rPr>
          <w:rFonts w:ascii="Times New Roman" w:hAnsi="Times New Roman" w:eastAsia="Times New Roman" w:cs="Times New Roman"/>
        </w:rPr>
        <w:t xml:space="preserve"> </w:t>
      </w:r>
      <w:r>
        <w:rPr>
          <w:rFonts w:ascii="Myanmar Text" w:hAnsi="Myanmar Text" w:eastAsia="Myanmar Text" w:cs="Myanmar Text"/>
        </w:rPr>
        <w:t>ရပ်တည်ကာ</w:t>
      </w:r>
      <w:r>
        <w:rPr>
          <w:rFonts w:ascii="Times New Roman" w:hAnsi="Times New Roman" w:eastAsia="Times New Roman" w:cs="Times New Roman"/>
        </w:rPr>
        <w:t xml:space="preserve"> </w:t>
      </w:r>
      <w:r>
        <w:rPr>
          <w:rFonts w:ascii="Myanmar Text" w:hAnsi="Myanmar Text" w:eastAsia="Myanmar Text" w:cs="Myanmar Text"/>
        </w:rPr>
        <w:t>အသက်ရှင်ကြပါစေဟု</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အလွန်လိုလားပါသည်။</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ကျဉ်းမြောင်းပြီး၊</w:t>
      </w:r>
      <w:r>
        <w:rPr>
          <w:rFonts w:ascii="Times New Roman" w:hAnsi="Times New Roman" w:eastAsia="Times New Roman" w:cs="Times New Roman"/>
        </w:rPr>
        <w:t xml:space="preserve"> </w:t>
      </w:r>
      <w:r>
        <w:rPr>
          <w:rFonts w:ascii="Myanmar Text" w:hAnsi="Myanmar Text" w:eastAsia="Myanmar Text" w:cs="Myanmar Text"/>
        </w:rPr>
        <w:t>တံခါးလည်း</w:t>
      </w:r>
      <w:r>
        <w:rPr>
          <w:rFonts w:ascii="Times New Roman" w:hAnsi="Times New Roman" w:eastAsia="Times New Roman" w:cs="Times New Roman"/>
        </w:rPr>
        <w:t xml:space="preserve"> </w:t>
      </w:r>
      <w:r>
        <w:rPr>
          <w:rFonts w:ascii="Myanmar Text" w:hAnsi="Myanmar Text" w:eastAsia="Myanmar Text" w:cs="Myanmar Text"/>
        </w:rPr>
        <w:t>ကျဉ်းကြောင်းကို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မြင်ရမည်။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ကျဉ်းသောတံခါးအားဖြင့်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ဝင်သွားကြသည့်အခါ၊</w:t>
      </w:r>
      <w:r>
        <w:rPr>
          <w:rFonts w:ascii="Times New Roman" w:hAnsi="Times New Roman" w:eastAsia="Times New Roman" w:cs="Times New Roman"/>
        </w:rPr>
        <w:t xml:space="preserve"> </w:t>
      </w:r>
      <w:r>
        <w:rPr>
          <w:rFonts w:ascii="Myanmar Text" w:hAnsi="Myanmar Text" w:eastAsia="Myanmar Text" w:cs="Myanmar Text"/>
        </w:rPr>
        <w:t>ထိုတံခါး၏</w:t>
      </w:r>
      <w:r>
        <w:rPr>
          <w:rFonts w:ascii="Times New Roman" w:hAnsi="Times New Roman" w:eastAsia="Times New Roman" w:cs="Times New Roman"/>
        </w:rPr>
        <w:t xml:space="preserve"> </w:t>
      </w:r>
      <w:r>
        <w:rPr>
          <w:rFonts w:ascii="Myanmar Text" w:hAnsi="Myanmar Text" w:eastAsia="Myanmar Text" w:cs="Myanmar Text"/>
        </w:rPr>
        <w:t>ကျယ်ဝန်းမှုမှာ</w:t>
      </w:r>
      <w:r>
        <w:rPr>
          <w:rFonts w:ascii="Times New Roman" w:hAnsi="Times New Roman" w:eastAsia="Times New Roman" w:cs="Times New Roman"/>
        </w:rPr>
        <w:t xml:space="preserve"> </w:t>
      </w:r>
      <w:r>
        <w:rPr>
          <w:rFonts w:ascii="Myanmar Text" w:hAnsi="Myanmar Text" w:eastAsia="Myanmar Text" w:cs="Myanmar Text"/>
        </w:rPr>
        <w:t>အကန့်အသတ်မရှိပေ။</w:t>
      </w:r>
      <w:r>
        <w:rPr>
          <w:rFonts w:ascii="Times New Roman" w:hAnsi="Times New Roman" w:eastAsia="Times New Roman" w:cs="Times New Roman"/>
        </w:rPr>
        <w:t>” Manuscript Releases, volume 20, 216, 217.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น้ำมันสีทอง</w:t>
      </w:r>
      <w:r>
        <w:rPr>
          <w:rFonts w:ascii="Times New Roman" w:hAnsi="Times New Roman" w:eastAsia="Times New Roman" w:cs="Times New Roman"/>
        </w:rPr>
        <w:t xml:space="preserve">” </w:t>
      </w:r>
      <w:r>
        <w:rPr>
          <w:rFonts w:ascii="Leelawadee UI" w:hAnsi="Leelawadee UI" w:eastAsia="Leelawadee UI" w:cs="Leelawadee UI"/>
        </w:rPr>
        <w:t>คือข่าวสารแห่งพระวิญญาณของพระเจ้าที่ไหลลงมาจากอ่างเบื้องบนผ่านทางท่อส่ง</w:t>
      </w:r>
      <w:r>
        <w:rPr>
          <w:rFonts w:ascii="Times New Roman" w:hAnsi="Times New Roman" w:eastAsia="Times New Roman" w:cs="Times New Roman"/>
        </w:rPr>
        <w:t xml:space="preserve"> </w:t>
      </w:r>
      <w:r>
        <w:rPr>
          <w:rFonts w:ascii="Leelawadee UI" w:hAnsi="Leelawadee UI" w:eastAsia="Leelawadee UI" w:cs="Leelawadee UI"/>
        </w:rPr>
        <w:t>ซึ่งคือท่อทองคำสองท่อ</w:t>
      </w:r>
      <w:r>
        <w:rPr>
          <w:rFonts w:ascii="Times New Roman" w:hAnsi="Times New Roman" w:eastAsia="Times New Roman" w:cs="Times New Roman"/>
        </w:rPr>
        <w:t xml:space="preserve"> </w:t>
      </w:r>
      <w:r>
        <w:rPr>
          <w:rFonts w:ascii="Leelawadee UI" w:hAnsi="Leelawadee UI" w:eastAsia="Leelawadee UI" w:cs="Leelawadee UI"/>
        </w:rPr>
        <w:t>อันเป็นพยานสองคนแห่งพระคัมภีร์และพระวิญญาณแห่งคำพยากรณ์</w:t>
      </w:r>
      <w:r>
        <w:rPr>
          <w:rFonts w:ascii="Times New Roman" w:hAnsi="Times New Roman" w:eastAsia="Times New Roman" w:cs="Times New Roman"/>
        </w:rPr>
        <w:t xml:space="preserve"> </w:t>
      </w:r>
      <w:r>
        <w:rPr>
          <w:rFonts w:ascii="Leelawadee UI" w:hAnsi="Leelawadee UI" w:eastAsia="Leelawadee UI" w:cs="Leelawadee UI"/>
        </w:rPr>
        <w:t>หรือพันธสัญญาเดิมและพันธสัญญาใหม่</w:t>
      </w:r>
      <w:r>
        <w:rPr>
          <w:rFonts w:ascii="Times New Roman" w:hAnsi="Times New Roman" w:eastAsia="Times New Roman" w:cs="Times New Roman"/>
        </w:rPr>
        <w:t xml:space="preserve"> </w:t>
      </w:r>
      <w:r>
        <w:rPr>
          <w:rFonts w:ascii="Leelawadee UI" w:hAnsi="Leelawadee UI" w:eastAsia="Leelawadee UI" w:cs="Leelawadee UI"/>
        </w:rPr>
        <w:t>หรือธรรมบัญญัติและบรรดาผู้เผยพระวจนะ</w:t>
      </w:r>
      <w:r>
        <w:rPr>
          <w:rFonts w:ascii="Times New Roman" w:hAnsi="Times New Roman" w:eastAsia="Times New Roman" w:cs="Times New Roman"/>
        </w:rPr>
        <w:t xml:space="preserve"> </w:t>
      </w:r>
      <w:r>
        <w:rPr>
          <w:rFonts w:ascii="Leelawadee UI" w:hAnsi="Leelawadee UI" w:eastAsia="Leelawadee UI" w:cs="Leelawadee UI"/>
        </w:rPr>
        <w:t>หรือโมเสสและเอลียาห์</w:t>
      </w:r>
    </w:p>
    <w:p>
      <w:pPr>
        <w:pStyle w:val="ArticleScripture"/>
        <w:jc w:val="left"/>
      </w:pPr>
      <w:r>
        <w:rPr>
          <w:rFonts w:ascii="Times New Roman" w:hAnsi="Times New Roman" w:eastAsia="Times New Roman" w:cs="Times New Roman"/>
        </w:rPr>
        <w:t>“Bāo tlângte hi lei pum huapa Lalpa hnêna dingin an awm a, hmaih hian Satan chu cherub humtu anga hmun pêk tawh kha an chang a ni. A lalṭhutphah kimvel a hualtu thianghlimte hmangin, Lalpan leiahte nêna inzawhna nghet tak a vawn reng a. Hriam rangkachak chu Pathianin ringtute khawlrate a chawm rengna khawngaihnaa entîr a ni; chutiangin an chhanvâr chu an ṭhîng thei lo va, mit thei lo bawk. He hriak thianghlim hi vân atanga Pathian Thlarau thuchahte hmanga buatsaih tlâk lovin, sual thiltihna remruatna hrang hrangte chuan mihringte chungah thuneihna famkim an nei ang.”</w:t>
      </w:r>
    </w:p>
    <w:p>
      <w:pPr>
        <w:pStyle w:val="ArticleScripture"/>
        <w:jc w:val="left"/>
      </w:pPr>
      <w:r>
        <w:rPr>
          <w:rFonts w:ascii="Times New Roman" w:hAnsi="Times New Roman" w:eastAsia="Times New Roman" w:cs="Times New Roman"/>
        </w:rPr>
        <w:t>“</w:t>
      </w:r>
      <w:r>
        <w:rPr>
          <w:rFonts w:ascii="Nirmala UI" w:hAnsi="Nirmala UI" w:eastAsia="Nirmala UI" w:cs="Nirmala UI"/>
        </w:rPr>
        <w:t>ਦਿਉਤੇ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ਅਦਬ</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ਭੇਜਦਾ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ਸਾਡੀਆਂ</w:t>
      </w:r>
      <w:r>
        <w:rPr>
          <w:rFonts w:ascii="Times New Roman" w:hAnsi="Times New Roman" w:eastAsia="Times New Roman" w:cs="Times New Roman"/>
        </w:rPr>
        <w:t xml:space="preserve"> </w:t>
      </w:r>
      <w:r>
        <w:rPr>
          <w:rFonts w:ascii="Nirmala UI" w:hAnsi="Nirmala UI" w:eastAsia="Nirmala UI" w:cs="Nirmala UI"/>
        </w:rPr>
        <w:t>ਆਤਮਾਵਾਂ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ਉਡੇਲਣਾ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ਆਵੇਗੀ</w:t>
      </w:r>
      <w:r>
        <w:rPr>
          <w:rFonts w:ascii="Times New Roman" w:hAnsi="Times New Roman" w:eastAsia="Times New Roman" w:cs="Times New Roman"/>
        </w:rPr>
        <w:t>,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ਹਿਰਦਿਆਂ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ਸੰਭਾਲ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ਪਾਉਣਗੇ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ਮਿਲਣ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ਜ਼ਿੰਦਗੀਆਂ</w:t>
      </w:r>
      <w:r>
        <w:rPr>
          <w:rFonts w:ascii="Times New Roman" w:hAnsi="Times New Roman" w:eastAsia="Times New Roman" w:cs="Times New Roman"/>
        </w:rPr>
        <w:t xml:space="preserve"> </w:t>
      </w:r>
      <w:r>
        <w:rPr>
          <w:rFonts w:ascii="Nirmala UI" w:hAnsi="Nirmala UI" w:eastAsia="Nirmala UI" w:cs="Nirmala UI"/>
        </w:rPr>
        <w:t>ਵਿਗੜ</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ਅਰਦਾਸ</w:t>
      </w:r>
      <w:r>
        <w:rPr>
          <w:rFonts w:ascii="Times New Roman" w:hAnsi="Times New Roman" w:eastAsia="Times New Roman" w:cs="Times New Roman"/>
        </w:rPr>
        <w:t xml:space="preserve"> </w:t>
      </w:r>
      <w:r>
        <w:rPr>
          <w:rFonts w:ascii="Nirmala UI" w:hAnsi="Nirmala UI" w:eastAsia="Nirmala UI" w:cs="Nirmala UI"/>
        </w:rPr>
        <w:t>ਕਰੀਏ</w:t>
      </w:r>
      <w:r>
        <w:rPr>
          <w:rFonts w:ascii="Times New Roman" w:hAnsi="Times New Roman" w:eastAsia="Times New Roman" w:cs="Times New Roman"/>
        </w:rPr>
        <w:t>,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ਹਿਰਦਿਆਂ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ਉਡੇਲ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ਨਲੀਆਂ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ਤੇਲ</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ਸੈਨਾਵਾਂ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ਵਚਨ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ਚਮਕਦਾਰ</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ਚਮਕਦੇ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Mesej yang ditolak oleh Ahaz ialah mesej Seruan Tengah Malam, yang akan memuncak kepada kedatangan Kristus yang kedua, sekiranya kepimpinan Laodikia telah menerima mesej kepada Laodikia yang “dikirimkan” kepada mereka pada tahun 1856. Mesej itu kemudiannya akan berkembang menjadi seruan nyaring, dan umat Tuhan akan menyelesaikan pekerjaan itu serta berada dalam damai. Sebaliknya, mereka kembali kepada muntah yang daripadanya mereka telah dibebaskan.</w:t>
      </w:r>
    </w:p>
    <w:p>
      <w:pPr>
        <w:pStyle w:val="ArticleBody"/>
        <w:jc w:val="left"/>
      </w:pPr>
      <w:r>
        <w:rPr>
          <w:rFonts w:ascii="Times New Roman" w:hAnsi="Times New Roman" w:eastAsia="Times New Roman" w:cs="Times New Roman"/>
        </w:rPr>
        <w:t>یسایاہ اور آحاز کو فولر کے کھیت کی تطہیر کے عمل میں دکھایا گیا ہے، جو ملاکی باب تین میں عہد کے فرستادہ کے ذریعے انجام پاتا ہے۔ انہیں علامتی طور پر وہاں واقع بتایا گیا ہے جہاں زکریاہ کے رویا میں “تیل” (ایک پیغام) انڈیلا جا رہا ہے، اور آخری ایام میں آحاز کے لیے یسایاہ کا پیغام تیسرے ہائے کی اسلام کی خبر ہے؛ یہ سات گرجوں کی مخفی تاریخ کا پیغام ہے؛ یہ اس بات کا پیغام ہے کہ آٹھواں سات میں سے ہے؛ یہ انگورستان کا پیغام ہے؛ یہ “سچائی” کا پیغام ہے، اور یہ سب مکاشفۂ یسوع مسیح کے اجزا ہیں، جو آخری ایام میں اس تطہیر کو پیدا کرتا ہے جس کی نمائندگی فولر کا کھیت کرتا ہے۔</w:t>
      </w:r>
    </w:p>
    <w:p>
      <w:pPr>
        <w:pStyle w:val="ArticleBody"/>
        <w:jc w:val="left"/>
      </w:pPr>
      <w:r>
        <w:rPr>
          <w:rFonts w:ascii="Times New Roman" w:hAnsi="Times New Roman" w:eastAsia="Times New Roman" w:cs="Times New Roman"/>
        </w:rPr>
        <w:t>Eli liliikuwa na pia ndilo ujumbe wa “nyakati saba,” unaobadilika kutoka jiwe la msingi la Miller hadi kuwa jiwe kuu la pembeni, kwa maana ulikuwa ukweli wa kwanza, na kwa hiyo ni lazima uwe ukweli wa mwisho. Mwaka 1863 uliashiria hitimisho la mchakato wa utakaso ulioanza kwa kuwasili kwa malaika wa tatu tarehe 22 Oktoba, 1844, na hatimaye ukafikia nuru ya “nyakati saba” mwaka 1856. Mwaka 1844 nuru ya miaka elfu mbili na mia tatu iliashiria mwanzo uliosababisha mwisho uliotiwa alama na miaka elfu mbili mia tano na ishirini. Hata hivyo, upofu wa Laodikia katika mwanzo na katika mwisho, hukataa kuona uhusiano wa maono hayo mawili. Mwaka 1863 unawakilisha hitimisho la mchakato wa utakaso ambao daima hutokea ujumbe unapofunuliwa, na ujumbe wa malaika wa tatu ulifunuliwa tarehe 22 Oktoba, 1844.</w:t>
      </w:r>
    </w:p>
    <w:p>
      <w:pPr>
        <w:pStyle w:val="ArticleBody"/>
        <w:jc w:val="left"/>
      </w:pPr>
      <w:r>
        <w:rPr>
          <w:rFonts w:ascii="Times New Roman" w:hAnsi="Times New Roman" w:eastAsia="Times New Roman" w:cs="Times New Roman"/>
        </w:rPr>
        <w:t>Kumunuh nisa diafrel ma ketiga haro mabuká iha tinan 1844, la’ós kumunuh ida de’it; ne’e mak buat ne’ebé Sister White hatete hanesan “kumunuh avansadu husi anju datoluk nian.” Kumunuh avansadu husi anju datoluk hahú iha 1844, no kontinua avansa to’o tempu prova remata; maibé bainhira ne’e to’o dahuluk, no bainhira ne’e remata iha rohan, iha períodu prova espesífiku ida husi anju datoluk. Períodu prova sira-ne’e, iha hahú no iha rohan, mos reprezenta prosesu prova ida ne’ebé Daniel reprezenta hanesan “aumentu ba koñesimentu,” ne’ebé mos mak kumunuh avansadu husi anju datoluk.</w:t>
      </w:r>
    </w:p>
    <w:p>
      <w:pPr>
        <w:pStyle w:val="ArticleBody"/>
        <w:jc w:val="left"/>
      </w:pPr>
      <w:r>
        <w:rPr>
          <w:rFonts w:ascii="Times New Roman" w:hAnsi="Times New Roman" w:eastAsia="Times New Roman" w:cs="Times New Roman"/>
        </w:rPr>
        <w:t>Proses pengujian pada permulaan bermula pada tahun 1844, dan terang yang semakin berkembang bertambah dalam pengetahuan hingga mencapai kesudahannya pada tahun 1856. Terang permulaan dan terang pengakhiran dalam masa pengujian itu ialah dua penglihatan dalam Daniel fasal lapan, ayat tiga belas dan empat belas, yang melambangkan asas dan tiang utama Adventisme.</w:t>
      </w:r>
    </w:p>
    <w:p>
      <w:pPr>
        <w:pStyle w:val="ArticleBody"/>
        <w:jc w:val="left"/>
      </w:pPr>
      <w:r>
        <w:rPr>
          <w:rFonts w:ascii="Times New Roman" w:hAnsi="Times New Roman" w:eastAsia="Times New Roman" w:cs="Times New Roman"/>
        </w:rPr>
        <w:t>Nako ea teko ea lengeloi la pele e qalile ka la 11 Phato, 1840, ’me ea fela ka masoabi a pele ka la 19 Mmesa, 1844. Eaba nako ea teko ea lengeloi la bobeli e qala, ’me ea tsoela pele ho fihlela ka la 22 Mphalane, 1844. Ka nako eo lengeloi la boraro la fihla, ’me nako ea teko ea lengeloi la boraro ea tsoela pele ho fihlela Adventisme ea Laodisea e hana leseli la lengeloi la boraro ka 1863.</w:t>
      </w:r>
    </w:p>
    <w:p>
      <w:pPr>
        <w:pStyle w:val="ArticleBody"/>
        <w:jc w:val="left"/>
      </w:pPr>
      <w:r>
        <w:rPr>
          <w:rFonts w:ascii="Times New Roman" w:hAnsi="Times New Roman" w:eastAsia="Times New Roman" w:cs="Times New Roman"/>
        </w:rPr>
        <w:t>Nako ya komekama ya anjela wa tatu kwa Uadventisti wa Kimuera ilikuwa na mwanzo na mwisho, na mwanzo na mwisho lazima viwakilishe jambo lilelile, kwa maana Yesu daima huonyesha mwisho wa jambo kwa mwanzo wa jambo hilo. Ufunguzi wa nuru inayosonga mbele ya anjela wa tatu ulikuwa nuru ya kutokea kwake (ono la “mareh”), la aya ya kumi na nne ya sura ya nane ya Danieli. Mwisho wa nuru inayosonga mbele ya anjela wa tatu ulikuwa nuru ya kukanyagwa kwa patakatifu na jeshi (ono la “chazon”), la aya ya kumi na tatu. Maono hayo mawili yamefungamana kwa namna ya kinabii.</w:t>
      </w:r>
    </w:p>
    <w:p>
      <w:pPr>
        <w:pStyle w:val="ArticleScripture"/>
        <w:jc w:val="left"/>
      </w:pPr>
      <w:r>
        <w:rPr>
          <w:rFonts w:ascii="Times New Roman" w:hAnsi="Times New Roman" w:eastAsia="Times New Roman" w:cs="Times New Roman"/>
        </w:rPr>
        <w:t>Hao e tla etsa hore terompeta ea jubile e lle ka letsatsi la leshome la khoeli ea bosupa; ka letsatsi la poelano le tla etsa hore terompeta e lle naheng eohle ea lōna. Levitike 25:9.</w:t>
      </w:r>
    </w:p>
    <w:p>
      <w:pPr>
        <w:pStyle w:val="ArticleBody"/>
        <w:jc w:val="left"/>
      </w:pPr>
      <w:r>
        <w:rPr>
          <w:rFonts w:ascii="Myanmar Text" w:hAnsi="Myanmar Text" w:eastAsia="Myanmar Text" w:cs="Myanmar Text"/>
        </w:rPr>
        <w:t>စင်ကြယ်ခြင်းနေ့ဖြစ်သော</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မှုတ်ရမည့်</w:t>
      </w:r>
      <w:r>
        <w:rPr>
          <w:rFonts w:ascii="Times New Roman" w:hAnsi="Times New Roman" w:eastAsia="Times New Roman" w:cs="Times New Roman"/>
        </w:rPr>
        <w:t xml:space="preserve"> </w:t>
      </w:r>
      <w:r>
        <w:rPr>
          <w:rFonts w:ascii="Myanmar Text" w:hAnsi="Myanmar Text" w:eastAsia="Myanmar Text" w:cs="Myanmar Text"/>
        </w:rPr>
        <w:t>တံပိုးသည်</w:t>
      </w:r>
      <w:r>
        <w:rPr>
          <w:rFonts w:ascii="Times New Roman" w:hAnsi="Times New Roman" w:eastAsia="Times New Roman" w:cs="Times New Roman"/>
        </w:rPr>
        <w:t xml:space="preserve"> </w:t>
      </w:r>
      <w:r>
        <w:rPr>
          <w:rFonts w:ascii="Myanmar Text" w:hAnsi="Myanmar Text" w:eastAsia="Myanmar Text" w:cs="Myanmar Text"/>
        </w:rPr>
        <w:t>ယူဗိလတံပိုးဖြစ်ပြီး၊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ခုနစ်နှစ်စက်ဝိုင်းမြတ်ကို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ထိုစက်ဝိုင်းကို</w:t>
      </w:r>
      <w:r>
        <w:rPr>
          <w:rFonts w:ascii="Times New Roman" w:hAnsi="Times New Roman" w:eastAsia="Times New Roman" w:cs="Times New Roman"/>
        </w:rPr>
        <w:t xml:space="preserve"> </w:t>
      </w:r>
      <w:r>
        <w:rPr>
          <w:rFonts w:ascii="Myanmar Text" w:hAnsi="Myanmar Text" w:eastAsia="Myanmar Text" w:cs="Myanmar Text"/>
        </w:rPr>
        <w:t>တွက်လျှင်</w:t>
      </w:r>
      <w:r>
        <w:rPr>
          <w:rFonts w:ascii="Times New Roman" w:hAnsi="Times New Roman" w:eastAsia="Times New Roman" w:cs="Times New Roman"/>
        </w:rPr>
        <w:t xml:space="preserve"> </w:t>
      </w:r>
      <w:r>
        <w:rPr>
          <w:rFonts w:ascii="Myanmar Text" w:hAnsi="Myanmar Text" w:eastAsia="Myanmar Text" w:cs="Myanmar Text"/>
        </w:rPr>
        <w:t>ရက်ပေါင်း</w:t>
      </w:r>
      <w:r>
        <w:rPr>
          <w:rFonts w:ascii="Times New Roman" w:hAnsi="Times New Roman" w:eastAsia="Times New Roman" w:cs="Times New Roman"/>
        </w:rPr>
        <w:t xml:space="preserve"> </w:t>
      </w:r>
      <w:r>
        <w:rPr>
          <w:rFonts w:ascii="Myanmar Text" w:hAnsi="Myanmar Text" w:eastAsia="Myanmar Text" w:cs="Myanmar Text"/>
        </w:rPr>
        <w:t>နှစ်ထောင်ငါးရာနှစ်ဆယ်</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ရှေးဣသရေလအမျိုးကို</w:t>
      </w:r>
      <w:r>
        <w:rPr>
          <w:rFonts w:ascii="Times New Roman" w:hAnsi="Times New Roman" w:eastAsia="Times New Roman" w:cs="Times New Roman"/>
        </w:rPr>
        <w:t xml:space="preserve"> </w:t>
      </w:r>
      <w:r>
        <w:rPr>
          <w:rFonts w:ascii="Myanmar Text" w:hAnsi="Myanmar Text" w:eastAsia="Myanmar Text" w:cs="Myanmar Text"/>
        </w:rPr>
        <w:t>ကတိတော်ထားရာပြည်သို့</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ဆောင်သွားရန်</w:t>
      </w:r>
      <w:r>
        <w:rPr>
          <w:rFonts w:ascii="Times New Roman" w:hAnsi="Times New Roman" w:eastAsia="Times New Roman" w:cs="Times New Roman"/>
        </w:rPr>
        <w:t xml:space="preserve"> </w:t>
      </w:r>
      <w:r>
        <w:rPr>
          <w:rFonts w:ascii="Myanmar Text" w:hAnsi="Myanmar Text" w:eastAsia="Myanmar Text" w:cs="Myanmar Text"/>
        </w:rPr>
        <w:t>ရည်ရွယ်တော်မူခဲ့သော်လည်း၊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ပုန်ကန်ခြင်းကြောင့်</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မဖြစ်နိုင်ခဲ့ပေ။</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ခေတ်သစ်ဣသရေလအမျိုးကိုလည်း</w:t>
      </w:r>
      <w:r>
        <w:rPr>
          <w:rFonts w:ascii="Times New Roman" w:hAnsi="Times New Roman" w:eastAsia="Times New Roman" w:cs="Times New Roman"/>
        </w:rPr>
        <w:t xml:space="preserve"> </w:t>
      </w:r>
      <w:r>
        <w:rPr>
          <w:rFonts w:ascii="Myanmar Text" w:hAnsi="Myanmar Text" w:eastAsia="Myanmar Text" w:cs="Myanmar Text"/>
        </w:rPr>
        <w:t>ကတိတော်ထားရာပြည်သို့</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ဆောင်သွားရန်</w:t>
      </w:r>
      <w:r>
        <w:rPr>
          <w:rFonts w:ascii="Times New Roman" w:hAnsi="Times New Roman" w:eastAsia="Times New Roman" w:cs="Times New Roman"/>
        </w:rPr>
        <w:t xml:space="preserve"> </w:t>
      </w:r>
      <w:r>
        <w:rPr>
          <w:rFonts w:ascii="Myanmar Text" w:hAnsi="Myanmar Text" w:eastAsia="Myanmar Text" w:cs="Myanmar Text"/>
        </w:rPr>
        <w:t>ရည်ရွယ်တော်မူခဲ့သော်လည်း၊</w:t>
      </w:r>
      <w:r>
        <w:rPr>
          <w:rFonts w:ascii="Times New Roman" w:hAnsi="Times New Roman" w:eastAsia="Times New Roman" w:cs="Times New Roman"/>
        </w:rPr>
        <w:t xml:space="preserve"> </w:t>
      </w:r>
      <w:r>
        <w:rPr>
          <w:rFonts w:ascii="Myanmar Text" w:hAnsi="Myanmar Text" w:eastAsia="Myanmar Text" w:cs="Myanmar Text"/>
        </w:rPr>
        <w:t>ပုန်ကန်ခြင်းကြောင့်</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မဖြစ်နိုင်ခဲ့ပေ။</w:t>
      </w:r>
      <w:r>
        <w:rPr>
          <w:rFonts w:ascii="Times New Roman" w:hAnsi="Times New Roman" w:eastAsia="Times New Roman" w:cs="Times New Roman"/>
        </w:rPr>
        <w:t xml:space="preserve"> </w:t>
      </w:r>
      <w:r>
        <w:rPr>
          <w:rFonts w:ascii="Myanmar Text" w:hAnsi="Myanmar Text" w:eastAsia="Myanmar Text" w:cs="Myanmar Text"/>
        </w:rPr>
        <w:t>ခေတ်သစ်ဣသရေလအမျိုးသည်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တိုးတက်လာသော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နာခံခဲ့ကြမည်ဆိုလျှင်၊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သတိပေးကြမည်ဖြစ်ပြီး၊</w:t>
      </w:r>
      <w:r>
        <w:rPr>
          <w:rFonts w:ascii="Times New Roman" w:hAnsi="Times New Roman" w:eastAsia="Times New Roman" w:cs="Times New Roman"/>
        </w:rPr>
        <w:t xml:space="preserve"> </w:t>
      </w:r>
      <w:r>
        <w:rPr>
          <w:rFonts w:ascii="Myanmar Text" w:hAnsi="Myanmar Text" w:eastAsia="Myanmar Text" w:cs="Myanmar Text"/>
        </w:rPr>
        <w:t>ထာဝရဘုရားသည်လည်း</w:t>
      </w:r>
      <w:r>
        <w:rPr>
          <w:rFonts w:ascii="Times New Roman" w:hAnsi="Times New Roman" w:eastAsia="Times New Roman" w:cs="Times New Roman"/>
        </w:rPr>
        <w:t xml:space="preserve"> </w:t>
      </w:r>
      <w:r>
        <w:rPr>
          <w:rFonts w:ascii="Myanmar Text" w:hAnsi="Myanmar Text" w:eastAsia="Myanmar Text" w:cs="Myanmar Text"/>
        </w:rPr>
        <w:t>နှစ်တစ်ရာကျော်</w:t>
      </w:r>
      <w:r>
        <w:rPr>
          <w:rFonts w:ascii="Times New Roman" w:hAnsi="Times New Roman" w:eastAsia="Times New Roman" w:cs="Times New Roman"/>
        </w:rPr>
        <w:t xml:space="preserve"> </w:t>
      </w:r>
      <w:r>
        <w:rPr>
          <w:rFonts w:ascii="Myanmar Text" w:hAnsi="Myanmar Text" w:eastAsia="Myanmar Text" w:cs="Myanmar Text"/>
        </w:rPr>
        <w:t>မတိုင်မီကပင်</w:t>
      </w:r>
      <w:r>
        <w:rPr>
          <w:rFonts w:ascii="Times New Roman" w:hAnsi="Times New Roman" w:eastAsia="Times New Roman" w:cs="Times New Roman"/>
        </w:rPr>
        <w:t xml:space="preserve"> </w:t>
      </w:r>
      <w:r>
        <w:rPr>
          <w:rFonts w:ascii="Myanmar Text" w:hAnsi="Myanmar Text" w:eastAsia="Myanmar Text" w:cs="Myanmar Text"/>
        </w:rPr>
        <w:t>ပြန်ကြွလာတော်မူခဲ့မည်။</w:t>
      </w:r>
    </w:p>
    <w:p>
      <w:pPr>
        <w:pStyle w:val="ArticleBody"/>
        <w:jc w:val="left"/>
      </w:pPr>
      <w:r>
        <w:rPr>
          <w:rFonts w:ascii="Times New Roman" w:hAnsi="Times New Roman" w:eastAsia="Times New Roman" w:cs="Times New Roman"/>
        </w:rPr>
        <w:t>Supaya hal itu terjadi, Tuhan perlu mengerjakan suatu transformasi di antara kaum Millerit, dan transformasi itu dalam Kitab Suci dikenali sebagai rahasia Allah. Jika Adventisme telah mengikuti terang yang makin maju dari malaikat ketiga, maka sangkakala Yobel akan terus berbunyi sampai kepada akhirnya, sebab pada hari-hari ketika sangkakala ketujuh berbunyi, rahasia Allah diselesaikan. Dalam Wahyu pasal sepuluh, sangkakala itu, yaitu sangkakala Yobel, dan juga sangkakala dari celaka yang ketiga, mulai berbunyi pada 22 Oktober 1844.</w:t>
      </w:r>
    </w:p>
    <w:p>
      <w:pPr>
        <w:pStyle w:val="ArticleScripture"/>
        <w:jc w:val="left"/>
      </w:pPr>
      <w:r>
        <w:rPr>
          <w:rFonts w:ascii="Times New Roman" w:hAnsi="Times New Roman" w:eastAsia="Times New Roman" w:cs="Times New Roman"/>
        </w:rPr>
        <w:t>Malaika yang aku lihat berdiri di atas laut dan di atas bumi itu mengangkat tangannya ke langit, lalu bersumpah demi Dia yang hidup sampai selama-lamanya, yang menciptakan langit dan segala isinya, dan bumi dan segala isinya, dan laut dan segala isinya, bahwa tidak akan ada penundaan lagi; tetapi pada hari-hari terdengarnya suara malaikat yang ketujuh, ketika ia mulai meniup sangkakalanya, maka rahasia Allah akan digenapi, seperti yang telah Ia nyatakan kepada hamba-hamba-Nya, yaitu para nabi. Wahyu 10:5–7.</w:t>
      </w:r>
    </w:p>
    <w:p>
      <w:pPr>
        <w:pStyle w:val="ArticleBody"/>
        <w:jc w:val="left"/>
      </w:pPr>
      <w:r>
        <w:rPr>
          <w:rFonts w:ascii="Times New Roman" w:hAnsi="Times New Roman" w:eastAsia="Times New Roman" w:cs="Times New Roman"/>
        </w:rPr>
        <w:t>Puroser penejawan pengujian ti berengkah ba tanggal 22 Oktober 1844, ti nyadika panampak ti angay maju ari ti angel ketelu, berengkah ku panampak Daniel bab dalapan, ayat empat belas, lalu tamat ku panampak Daniel bab dalapan, ayat tiga belas. Iya berengkah ku jawaban ayat empat belas, lalu tamat ku pertanyaan ayat tiga belas.</w:t>
      </w:r>
    </w:p>
    <w:p>
      <w:pPr>
        <w:pStyle w:val="ArticleBody"/>
        <w:jc w:val="left"/>
      </w:pPr>
      <w:r>
        <w:rPr>
          <w:rFonts w:ascii="Times New Roman" w:hAnsi="Times New Roman" w:eastAsia="Times New Roman" w:cs="Times New Roman"/>
        </w:rPr>
        <w:t>Itahun le likete tse leshome le metso e robong li ne li emetsoe ka ho fihla ha molaetsa oa tlhokomeliso oa Esaia ho Akase, morena oa Juda ea sebele, nakong ea ntoa ea lehae pakeng tsa leboea le boroa. Itahun le likete tse leshome le metso e robong tseo li ile tsa fela ka morena oa leboea a isa Iseraele bokhobeng. Itahun le likete tse leshome le metso e robong tseo li ne li emela ho fihla ha lengeloi la boraro ka 1844, ho isa borabeleng ba 1863. Leseli le tsoelang pele la lengeloi la boraro le ne le emetsoe ke molaetsa oa Esaia.</w:t>
      </w:r>
    </w:p>
    <w:p>
      <w:pPr>
        <w:pStyle w:val="ArticleBody"/>
        <w:jc w:val="left"/>
      </w:pPr>
      <w:r>
        <w:rPr>
          <w:rFonts w:ascii="Times New Roman" w:hAnsi="Times New Roman" w:eastAsia="Times New Roman" w:cs="Times New Roman"/>
        </w:rPr>
        <w:t>Penolakan terhadap terang yang sedang maju itu mengakhiri gerakan Millerite, dan dalam masa pencobaan itu Gerakan Millerite Filadelfia beralih menjadi Gereja Laodikia. Sembilan belas tahun yang dimulai pada tahun 742 SM, dan sembilan belas tahun yang dimulai pada tahun 1844, keduanya melambangkan suatu proses pengujian dan pemurnian pada hari-hari terakhir, yakni masa pencobaan terakhir dari terang yang sedang maju milik malaikat ketiga.</w:t>
      </w:r>
    </w:p>
    <w:p>
      <w:pPr>
        <w:pStyle w:val="ArticleBody"/>
        <w:jc w:val="left"/>
      </w:pPr>
      <w:r>
        <w:rPr>
          <w:rFonts w:ascii="Times New Roman" w:hAnsi="Times New Roman" w:eastAsia="Times New Roman" w:cs="Times New Roman"/>
        </w:rPr>
        <w:t>Nang dkang chadgipa dake nisongi sromani nangchongmotanio Isolni ning·tugipa rahasiani matchonggen. Rangsang saljonggipa brite ming chi bri chikko so·otgipa, pil∙anga aro mohor ka∙ako man·giparang ong·a.</w:t>
      </w:r>
    </w:p>
    <w:p>
      <w:pPr>
        <w:pStyle w:val="ArticleScripture"/>
        <w:jc w:val="left"/>
      </w:pPr>
      <w:r>
        <w:rPr>
          <w:rFonts w:ascii="Times New Roman" w:hAnsi="Times New Roman" w:eastAsia="Times New Roman" w:cs="Times New Roman"/>
        </w:rPr>
        <w:t>Ikatlah kesaksian itu, meteraikanlah hukum Taurat di antara murid-murid-Ku. Dan aku akan menantikan TUHAN, yang menyembunyikan wajah-Nya terhadap kaum Yakub, dan aku akan berharap kepada-Nya. Sesungguhnya, aku dan anak-anak yang telah diberikan TUHAN kepadaku adalah untuk tanda-tanda dan untuk keajaiban-keajaiban di Israel, dari TUHAN semesta alam, yang bersemayam di gunung Sion. Yesaya 8:16–18.</w:t>
      </w:r>
    </w:p>
    <w:p>
      <w:pPr>
        <w:pStyle w:val="ArticleBody"/>
        <w:jc w:val="left"/>
      </w:pPr>
      <w:r>
        <w:rPr>
          <w:rFonts w:ascii="Times New Roman" w:hAnsi="Times New Roman" w:eastAsia="Times New Roman" w:cs="Times New Roman"/>
        </w:rPr>
        <w:t>mꞌmasiku omaliza, nyengo ya kuyesedwa ya mapeto ya kuwala kopitirira patsogolo kwa mngelo wachitatu inayambira pamene nyengo ya kuyesedwa ya chiyambi inayambira. Inayambira pamene Yesu anakweza dzanja Lake kumwamba nalengeza kuti “nthawi isakhalenso.” Chilengezo chimenecho chinachitika pa October 22, 1844, pamene lipenga lachisanu ndi chiwiri linalengeza Yubile pa mapeto a mzunguliro wopatulika wa zisanu ndi ziwiri. Mzunguliro wa zaka zisanu ndi ziwiri, wobwerezedwa kasanu ndi kawiri, unali kwenikweni zaka makumi anayi ndi zisanu ndi zinayi, kapena masiku zikwi ziwiri mazana asanu ndi awiri makumi awiri.</w:t>
      </w:r>
    </w:p>
    <w:p>
      <w:pPr>
        <w:pStyle w:val="ArticleBody"/>
        <w:jc w:val="left"/>
      </w:pPr>
      <w:r>
        <w:rPr>
          <w:rFonts w:ascii="Times New Roman" w:hAnsi="Times New Roman" w:eastAsia="Times New Roman" w:cs="Times New Roman"/>
        </w:rPr>
        <w:t>1989 menandakan “masa kesudahan” dalam pergerakan seratus empat puluh empat ribu, dan 1989 menandakan kesimpulan bagi seratus dua puluh enam tahun yang bermula pada pemberontakan tahun 1863. Pergerakan seratus empat puluh empat ribu bermula pada “masa kesudahan,” dengan suatu lambang “tujuh masa,” kerana seratus dua puluh enam ialah sepersepuluh daripada seribu dua ratus enam puluh, yang seterusnya ialah separuh daripada dua ribu lima ratus dua puluh.</w:t>
      </w:r>
    </w:p>
    <w:p>
      <w:pPr>
        <w:pStyle w:val="ArticleBody"/>
        <w:jc w:val="left"/>
      </w:pPr>
      <w:r>
        <w:rPr>
          <w:rFonts w:ascii="Times New Roman" w:hAnsi="Times New Roman" w:eastAsia="Times New Roman" w:cs="Times New Roman"/>
        </w:rPr>
        <w:t>Yesu akhala amayimira mapeto a chinthu ndi chiyambi cha chinthu, ndipo chiyambi cha kayendedwe ka anthu zana limodzi ndi makumi anayi ndi anayi sauzande chinadziwika ndi chizindikiro cha “nthawi zisanu ndi ziwiri,” monga mmene zilili pa mapeto a kayendedwe kameneko. Masiku a kulira kwa mngelo wachisanu ndi chiwiri, pamene chinsinsi cha Mulungu chikutha, anayamba pa mapeto a masiku “atatu ndi theka” a mu Chivumbulutso chaputala khumi ndi chimodzi. Lipenga Lachisanu ndi chiwiri, limene lilinso Tsoka lachitatu, linayimba noti yake yachiwiri pa October 7, 2023, ndipo chinsinsi cha Mulungu tsopano chikutha, monga “analengeza kwa atumiki ake aneneri.” Mapeto a kayendedwe kameneka akudziwika ndi chizindikiro cha “nthawi zisanu ndi ziwiri,” monga mmene zinalili pa chiyambi cha kayendedwe komweko.</w:t>
      </w:r>
    </w:p>
    <w:p>
      <w:pPr>
        <w:pStyle w:val="ArticleBody"/>
        <w:jc w:val="left"/>
      </w:pPr>
      <w:r>
        <w:rPr>
          <w:rFonts w:ascii="Times New Roman" w:hAnsi="Times New Roman" w:eastAsia="Times New Roman" w:cs="Times New Roman"/>
        </w:rPr>
        <w:t>Pada waktu akhir, pada tahun 1798, “tujuh masa” kemurkaan Allah terhadap kerajaan utara berakhir, dan pada akhir gerakan kaum Millerit, penolakan terhadap kebenaran-kebenaran yang berkaitan dengan “tujuh masa” menandai pemberontakan tahun 1863. Yesus senantiasa menggambarkan akhir suatu perkara dengan permulaannya, dan gerakan malaikat pertama (kaum Millerit) menggambarkan gerakan malaikat ketiga (seratus empat puluh empat ribu). Kedua gerakan itu dimulai dan diakhiri dengan “tujuh masa.” Hal-hal ini tidak mungkin direka-reka.</w:t>
      </w:r>
    </w:p>
    <w:p>
      <w:pPr>
        <w:pStyle w:val="ArticleBody"/>
        <w:jc w:val="left"/>
      </w:pPr>
      <w:r>
        <w:rPr>
          <w:rFonts w:ascii="Mongolian Baiti" w:hAnsi="Mongolian Baiti" w:eastAsia="Mongolian Baiti" w:cs="Mongolian Baiti"/>
        </w:rPr>
        <w:t>ᠪᠢᠳᠡ</w:t>
      </w:r>
      <w:r>
        <w:rPr>
          <w:rFonts w:ascii="Times New Roman" w:hAnsi="Times New Roman" w:eastAsia="Times New Roman" w:cs="Times New Roman"/>
        </w:rPr>
        <w:t xml:space="preserve"> </w:t>
      </w:r>
      <w:r>
        <w:rPr>
          <w:rFonts w:ascii="Mongolian Baiti" w:hAnsi="Mongolian Baiti" w:eastAsia="Mongolian Baiti" w:cs="Mongolian Baiti"/>
        </w:rPr>
        <w:t>ᠡᠨᠡ</w:t>
      </w:r>
      <w:r>
        <w:rPr>
          <w:rFonts w:ascii="Times New Roman" w:hAnsi="Times New Roman" w:eastAsia="Times New Roman" w:cs="Times New Roman"/>
        </w:rPr>
        <w:t xml:space="preserve"> </w:t>
      </w:r>
      <w:r>
        <w:rPr>
          <w:rFonts w:ascii="Mongolian Baiti" w:hAnsi="Mongolian Baiti" w:eastAsia="Mongolian Baiti" w:cs="Mongolian Baiti"/>
        </w:rPr>
        <w:t>ᠰᠤᠳᠤᠯᠤᠯ</w:t>
      </w:r>
      <w:r>
        <w:rPr>
          <w:rFonts w:ascii="Times New Roman" w:hAnsi="Times New Roman" w:eastAsia="Times New Roman" w:cs="Times New Roman"/>
        </w:rPr>
        <w:t xml:space="preserve"> </w:t>
      </w:r>
      <w:r>
        <w:rPr>
          <w:rFonts w:ascii="Mongolian Baiti" w:hAnsi="Mongolian Baiti" w:eastAsia="Mongolian Baiti" w:cs="Mongolian Baiti"/>
        </w:rPr>
        <w:t>ᠢ</w:t>
      </w:r>
      <w:r>
        <w:rPr>
          <w:rFonts w:ascii="Times New Roman" w:hAnsi="Times New Roman" w:eastAsia="Times New Roman" w:cs="Times New Roman"/>
        </w:rPr>
        <w:t xml:space="preserve"> </w:t>
      </w:r>
      <w:r>
        <w:rPr>
          <w:rFonts w:ascii="Mongolian Baiti" w:hAnsi="Mongolian Baiti" w:eastAsia="Mongolian Baiti" w:cs="Mongolian Baiti"/>
        </w:rPr>
        <w:t>ᠳᠠᠷᠠᠭᠠᠴᠢᠨ</w:t>
      </w:r>
      <w:r>
        <w:rPr>
          <w:rFonts w:ascii="Times New Roman" w:hAnsi="Times New Roman" w:eastAsia="Times New Roman" w:cs="Times New Roman"/>
        </w:rPr>
        <w:t xml:space="preserve"> </w:t>
      </w:r>
      <w:r>
        <w:rPr>
          <w:rFonts w:ascii="Mongolian Baiti" w:hAnsi="Mongolian Baiti" w:eastAsia="Mongolian Baiti" w:cs="Mongolian Baiti"/>
        </w:rPr>
        <w:t>ᠤ</w:t>
      </w:r>
      <w:r>
        <w:rPr>
          <w:rFonts w:ascii="Times New Roman" w:hAnsi="Times New Roman" w:eastAsia="Times New Roman" w:cs="Times New Roman"/>
        </w:rPr>
        <w:t xml:space="preserve"> </w:t>
      </w:r>
      <w:r>
        <w:rPr>
          <w:rFonts w:ascii="Mongolian Baiti" w:hAnsi="Mongolian Baiti" w:eastAsia="Mongolian Baiti" w:cs="Mongolian Baiti"/>
        </w:rPr>
        <w:t>ᠥᠭᠦᠯᠡᠯ</w:t>
      </w:r>
      <w:r>
        <w:rPr>
          <w:rFonts w:ascii="Times New Roman" w:hAnsi="Times New Roman" w:eastAsia="Times New Roman" w:cs="Times New Roman"/>
        </w:rPr>
        <w:t xml:space="preserve"> </w:t>
      </w:r>
      <w:r>
        <w:rPr>
          <w:rFonts w:ascii="Mongolian Baiti" w:hAnsi="Mongolian Baiti" w:eastAsia="Mongolian Baiti" w:cs="Mongolian Baiti"/>
        </w:rPr>
        <w:t>ᠳᠤ</w:t>
      </w:r>
      <w:r>
        <w:rPr>
          <w:rFonts w:ascii="Times New Roman" w:hAnsi="Times New Roman" w:eastAsia="Times New Roman" w:cs="Times New Roman"/>
        </w:rPr>
        <w:t xml:space="preserve"> </w:t>
      </w:r>
      <w:r>
        <w:rPr>
          <w:rFonts w:ascii="Mongolian Baiti" w:hAnsi="Mongolian Baiti" w:eastAsia="Mongolian Baiti" w:cs="Mongolian Baiti"/>
        </w:rPr>
        <w:t>ᠦᠷᠭᠡᠯᠵᠢᠯᠦᠯᠨᠡ᠃</w:t>
      </w:r>
    </w:p>
    <w:p>
      <w:pPr>
        <w:pStyle w:val="ArticleScripture"/>
        <w:jc w:val="left"/>
      </w:pPr>
      <w:r>
        <w:rPr>
          <w:rFonts w:ascii="Times New Roman" w:hAnsi="Times New Roman" w:eastAsia="Times New Roman" w:cs="Times New Roman"/>
        </w:rPr>
        <w:t>“Mi sualna pawl ah a umte chu, leilung mite nih anmah le mahte an lungawi theinak le a hman lo ih sum tam zet hmang duhdan danpawl cu an pawm ding a si lo; ziangahtile an ti thei lo, cun an ti thei hman ahcun Khrih bangin umdan danpawl cun a phal lo ding. Zirhnak tampi pek a tul. ‘A hnen ah cun zosaw fimnak a zirh ding? cule zosaw thurin a theithiamter ding? cawnter thei dingte chu hnute ihsin thenmi, cule rawnhnawt ihsin hruaisuakmi an si. Ziangahtile thupek cu thupek tlun ah a um hrimhrim a tul, thupek tlun ah thupek; line tlun ah line, line tlun ah line; hitawk deuh, cule khuitawk deuh.’ Cuticun Bawipa thu cu faate hnenah zianghman hriat lo in, thu a zumtu nu le pa pawl nih an hmaiah tuar zetin an thlen peh vivo ding, cule an hmaiah an ret ringring ding. ‘Ziangahtile a thei lo vekin tongkam an hmangin le tong dangin a mi pawl hnenah a biak ding. An hnen ahcun, Himi hi chawlhsan theinak, rei zetin hahamte nan chawlhsanter theinak a si; cule himi hi thazang thar peknak a si, tiah a ti. Asinan an ngai duh lo. Cuti rualin Bawipa thu cu an hnen ah thupek tlun ah thupek, thupek tlun ah thupek; line tlun ah line, line tlun ah line; hitawk deuh, cule khuitawk deuh a si, an kal ih an hnulei lamah an tluknak dingah, an kekkuai dingah, kaih in an um dingah, cule man in an um dingah.’ Ziangah?—ziangahtile an hnen ih ra Bawipa thu cu an ngaihsak lo.”</w:t>
      </w:r>
    </w:p>
    <w:p>
      <w:pPr>
        <w:pStyle w:val="ArticleScripture"/>
        <w:jc w:val="left"/>
      </w:pPr>
      <w:r>
        <w:rPr>
          <w:rFonts w:ascii="Times New Roman" w:hAnsi="Times New Roman" w:eastAsia="Times New Roman" w:cs="Times New Roman"/>
        </w:rPr>
        <w:t>“Ini berarti mereka yang belum menerima pengajaran, tetapi memelihara kebijaksanaan mereka sendiri, dan telah memilih untuk bekerja menurut gagasan mereka sendiri. Tuhan memberikan kepada mereka ujian ini, bahwa mereka harus mengambil pendirian untuk mengikuti nasihat-Nya, atau menolak dan bertindak menurut gagasan mereka sendiri, dan kemudian Tuhan akan membiarkan mereka kepada akibat yang pasti. Dalam segala jalan kita, dalam segala pelayanan kita kepada Tuhan, Ia berbicara kepada kita, ‘Berikanlah kepada-Ku hatimu.’ Roh yang tunduk dan mau diajar itulah yang dikehendaki Allah. Yang memberikan keunggulan kepada doa ialah kenyataan bahwa doa itu dihembuskan dari hati yang penuh kasih dan taat.”</w:t>
      </w:r>
    </w:p>
    <w:p>
      <w:pPr>
        <w:pStyle w:val="ArticleScripture"/>
        <w:jc w:val="left"/>
      </w:pPr>
      <w:r>
        <w:rPr>
          <w:rFonts w:ascii="Times New Roman" w:hAnsi="Times New Roman" w:eastAsia="Times New Roman" w:cs="Times New Roman"/>
        </w:rPr>
        <w:t>“Бурхан Өөрийн ард түмнээс тодорхой зүйлсийг шаарддаг; хэрэв тэд, Би энэ зүйлийг хийхийн тулд зүрх сэтгэлээ зориулахгүй гэж хэлбэл, Эзэн тэднийг тэнгэрийн мэргэн ухаангүйгээр өөрсдийнх нь мэргэн гэж санасан шүүлт дотор нь явуулсаар, энэ судар [Исаиа 28:13] биелтлээ орхидог. Та нар, Би Эзэний удирдамжийг миний шүүлттэй нийцэх тодорхой нэг цэг хүртэл дагана, түүнээс цааш өөрийн үзлээ бат барьж, Эзэний дүртэй адил хэлбэрт орохоос татгалзана гэж хэлэх ёсгүй. Асуулт нь, Энэ Эзэний хүсэл мөн үү? гэж тавигдах ёстой; харин, Энэ —–-ийн санал эсвэл шүүлт мөн үү? гэж бус.”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Tujuh Puluh Lima</dc:title>
  <dc:subject>Perumpamaan Nabi: Dari Mesej Yesaya kepada Wahyu Zaman Kini</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