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 hante Daniel — Bilong Namba Seventi-Siks</w:t>
      </w:r>
    </w:p>
    <w:p>
      <w:pPr>
        <w:pStyle w:val="ArticleSubtitle"/>
        <w:jc w:val="left"/>
      </w:pPr>
      <w:r>
        <w:rPr>
          <w:rFonts w:ascii="Ebrima" w:hAnsi="Ebrima" w:eastAsia="Ebrima" w:cs="Ebrima"/>
        </w:rPr>
        <w:t>ማኅተሙ</w:t>
      </w:r>
      <w:r>
        <w:rPr>
          <w:rFonts w:ascii="Arial" w:hAnsi="Arial" w:eastAsia="Arial" w:cs="Arial"/>
        </w:rPr>
        <w:t xml:space="preserve"> </w:t>
      </w:r>
      <w:r>
        <w:rPr>
          <w:rFonts w:ascii="Ebrima" w:hAnsi="Ebrima" w:eastAsia="Ebrima" w:cs="Ebrima"/>
        </w:rPr>
        <w:t>የተፈቱ</w:t>
      </w:r>
      <w:r>
        <w:rPr>
          <w:rFonts w:ascii="Arial" w:hAnsi="Arial" w:eastAsia="Arial" w:cs="Arial"/>
        </w:rPr>
        <w:t xml:space="preserve"> </w:t>
      </w:r>
      <w:r>
        <w:rPr>
          <w:rFonts w:ascii="Ebrima" w:hAnsi="Ebrima" w:eastAsia="Ebrima" w:cs="Ebrima"/>
        </w:rPr>
        <w:t>ትንቢቶች፦</w:t>
      </w:r>
      <w:r>
        <w:rPr>
          <w:rFonts w:ascii="Arial" w:hAnsi="Arial" w:eastAsia="Arial" w:cs="Arial"/>
        </w:rPr>
        <w:t xml:space="preserve"> </w:t>
      </w:r>
      <w:r>
        <w:rPr>
          <w:rFonts w:ascii="Ebrima" w:hAnsi="Ebrima" w:eastAsia="Ebrima" w:cs="Ebrima"/>
        </w:rPr>
        <w:t>በ</w:t>
      </w:r>
      <w:r>
        <w:rPr>
          <w:rFonts w:ascii="Arial" w:hAnsi="Arial" w:eastAsia="Arial" w:cs="Arial"/>
        </w:rPr>
        <w:t xml:space="preserve">1856 </w:t>
      </w:r>
      <w:r>
        <w:rPr>
          <w:rFonts w:ascii="Ebrima" w:hAnsi="Ebrima" w:eastAsia="Ebrima" w:cs="Ebrima"/>
        </w:rPr>
        <w:t>የብርሃን</w:t>
      </w:r>
      <w:r>
        <w:rPr>
          <w:rFonts w:ascii="Arial" w:hAnsi="Arial" w:eastAsia="Arial" w:cs="Arial"/>
        </w:rPr>
        <w:t xml:space="preserve"> </w:t>
      </w:r>
      <w:r>
        <w:rPr>
          <w:rFonts w:ascii="Ebrima" w:hAnsi="Ebrima" w:eastAsia="Ebrima" w:cs="Ebrima"/>
        </w:rPr>
        <w:t>መከልከል</w:t>
      </w:r>
      <w:r>
        <w:rPr>
          <w:rFonts w:ascii="Arial" w:hAnsi="Arial" w:eastAsia="Arial" w:cs="Arial"/>
        </w:rPr>
        <w:t xml:space="preserve"> </w:t>
      </w:r>
      <w:r>
        <w:rPr>
          <w:rFonts w:ascii="Ebrima" w:hAnsi="Ebrima" w:eastAsia="Ebrima" w:cs="Ebrima"/>
        </w:rPr>
        <w:t>እና</w:t>
      </w:r>
      <w:r>
        <w:rPr>
          <w:rFonts w:ascii="Arial" w:hAnsi="Arial" w:eastAsia="Arial" w:cs="Arial"/>
        </w:rPr>
        <w:t xml:space="preserve"> </w:t>
      </w:r>
      <w:r>
        <w:rPr>
          <w:rFonts w:ascii="Ebrima" w:hAnsi="Ebrima" w:eastAsia="Ebrima" w:cs="Ebrima"/>
        </w:rPr>
        <w:t>የዚህ</w:t>
      </w:r>
      <w:r>
        <w:rPr>
          <w:rFonts w:ascii="Arial" w:hAnsi="Arial" w:eastAsia="Arial" w:cs="Arial"/>
        </w:rPr>
        <w:t xml:space="preserve"> </w:t>
      </w:r>
      <w:r>
        <w:rPr>
          <w:rFonts w:ascii="Ebrima" w:hAnsi="Ebrima" w:eastAsia="Ebrima" w:cs="Ebrima"/>
        </w:rPr>
        <w:t>ውጤቶች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Afe 1856 mu no, wɔbuee “mmere ason” no ho hann no ano, na eduui afe 1863 no, wɔpoo saa hann no. Odiyifo a ofi Yuda no de saa hann no brɛɛ ɔhene bɔne Yeroboam, na Yeroboam poo hann no. Yesaia de saa hann koro no ara brɛɛ ɔhene bɔne Ahas, na ɔno nso poo no. Esiane sɛ wɔampene hann a ɛbata Siloa subura no ho no nti, wɔde Yeroboam ahenni no nyinaa (atifi fam no) ne Ahas ahenni no nyinaa (anafo fam no) kɔɔ nkoasom mu, denam ɔhene bi a ofi atifi fam so, wɔ afe 723 ansa na Kristo reba, ne afe 677 ansa na Kristo reba, sɛnea ɛte no.</w:t>
      </w:r>
    </w:p>
    <w:p>
      <w:pPr>
        <w:pStyle w:val="ArticleBody"/>
        <w:jc w:val="left"/>
      </w:pPr>
      <w:r>
        <w:rPr>
          <w:rFonts w:ascii="Times New Roman" w:hAnsi="Times New Roman" w:eastAsia="Times New Roman" w:cs="Times New Roman"/>
        </w:rPr>
        <w:t>Moses, dalam pemberontakan Harun; Yesaya bersama Ahaz dan Yeremia bersama raja-raja lainnya, melambangkan umat setia dalam sejarah Millerit, yang semuanya sedang melambangkan para pembawa pekabaran terang dalam pemberontakan pada akhir zaman. Krisis akhir zaman yang “pertama” pada tahun 1863, dan krisis akhir zaman yang “terakhir” berupa “gempa bumi besar” dalam Wahyu pasal sebelas (undang-undang hari Minggu yang segera datang), dilambangkan oleh semua garis nubuatan ini. Nabi dari Yehuda melambangkan seorang nabi yang murtad dari tanggung jawabnya, dan akhirnya dikuburkan dalam kubur yang sama dengan Protestanisme yang murtad. Kematian dan penguburannya terjadi sebagai akibat dari pilihannya untuk makan dan minum santapan dari nabi dusta di Betel.</w:t>
      </w:r>
    </w:p>
    <w:p>
      <w:pPr>
        <w:pStyle w:val="ArticleBody"/>
        <w:jc w:val="left"/>
      </w:pPr>
      <w:r>
        <w:rPr>
          <w:rFonts w:ascii="Times New Roman" w:hAnsi="Times New Roman" w:eastAsia="Times New Roman" w:cs="Times New Roman"/>
        </w:rPr>
        <w:t>Penghakiman berupa ditaklukkan oleh kepausan (raja Asyur) pada hukum hari Minggu, yang dilambangkan oleh penyerakan kerajaan utara dan selatan pada zaman Yerobeam dan Ahas, sejalan dengan nasib nabi Yehuda itu, sebab ia mati di antara seekor “singa” dan seekor “keledai.” “Singa” adalah lambang Babel yang pada akhir zaman adalah kepausan.</w:t>
      </w:r>
    </w:p>
    <w:p>
      <w:pPr>
        <w:pStyle w:val="ArticleScripture"/>
        <w:jc w:val="left"/>
      </w:pPr>
      <w:r>
        <w:rPr>
          <w:rFonts w:ascii="Times New Roman" w:hAnsi="Times New Roman" w:eastAsia="Times New Roman" w:cs="Times New Roman"/>
        </w:rPr>
        <w:t>Lalu terjadilah, sesudah ia makan roti dan sesudah ia minum, ia memasangkan pelana ke atas keledai baginya, yakni bagi nabi yang telah dibawanya pulang itu. Setelah orang itu pergi, seekor singa menjumpainya di jalan dan membunuhnya; mayatnya tergeletak di jalan, dan keledai itu berdiri di sampingnya, singa itu pun berdiri di dekat mayat itu. Maka lihatlah, orang-orang yang lewat melihat mayat itu tergeletak di jalan dan singa itu berdiri di dekat mayat itu; lalu mereka datang dan memberitahukannya di kota tempat nabi tua itu tinggal. Ketika nabi yang telah membawanya pulang dari jalan mendengar hal itu, berkatalah ia: “Itulah abdi Allah yang telah tidak taat kepada firman Tuhan; sebab itu Tuhan telah menyerahkannya kepada singa, yang telah mencabiknya dan membunuhnya, sesuai dengan firman Tuhan yang telah diucapkan-Nya kepadanya.” Lalu ia berkata kepada anak-anaknya: “Pasangkanlah pelana ke atas keledai bagiku.” Dan mereka memasangkannya. Kemudian ia pergi dan mendapati mayat itu tergeletak di jalan, dan keledai serta singa itu berdiri di dekat mayat itu; singa itu tidak memakan mayat itu dan tidak pula mencabik keledai itu. Lalu nabi itu mengangkat mayat abdi Allah itu dan meletakkannya ke atas keledai, kemudian membawanya kembali; maka datanglah nabi tua itu ke kota untuk meratapi dan menguburkannya. Ia membaringkan mayat itu di dalam kuburnya sendiri; dan mereka meratapinya, katanya: “Aduhai, saudaraku!” Maka terjadilah, sesudah ia menguburkannya, ia berkata kepada anak-anaknya: “Apabila aku mati, kuburkanlah aku di dalam kubur tempat abdi Allah itu dikuburkan; letakkanlah tulang-tulangku di samping tulang-tulangnya, sebab perkataan yang telah diserukannya demi firman Tuhan terhadap mezbah di Betel, dan terhadap segala rumah bukit pengorbanan yang ada di kota-kota Samaria, pasti akan terjadi.” 1 Raja-raja 13:11–32.</w:t>
      </w:r>
    </w:p>
    <w:p>
      <w:pPr>
        <w:pStyle w:val="ArticleBody"/>
        <w:jc w:val="left"/>
      </w:pPr>
      <w:r>
        <w:rPr>
          <w:rFonts w:ascii="Times New Roman" w:hAnsi="Times New Roman" w:eastAsia="Times New Roman" w:cs="Times New Roman"/>
        </w:rPr>
        <w:t>Moporofeta wa Yuda o swile gare ga maswao a mabedi. Tau ke leswao la Babilona, gomme Babilona ya sebjalebjale mehleng ya bofelo ke Kgoši ya Leboa, yo a tlago bofelong bja gagwe a se na yo a mo thušago go Daniele kgaolo ya lesome le tee, temana ya masomennehlano. Leswao la maatla a gagwe ke khunamelo ya letšatši, yeo e lego makgapa a bone, le moo moloko wa bone wa Boadiventiste bja Laodikia o laetšwago o inamela go lebana le letšatši go Hesekiele kgaolo ya seswai. Torong ya Miller o ile a bontšhwa gore ga se feela gore mabje a bohlokwa a ile a gašanywa gomme a khupetšwa, eupša le gore lebitla ka bolona, leo le bego le emela Beibele, le lona le ile la gagolwa.</w:t>
      </w:r>
    </w:p>
    <w:p>
      <w:pPr>
        <w:pStyle w:val="ArticleBody"/>
        <w:jc w:val="left"/>
      </w:pPr>
      <w:r>
        <w:rPr>
          <w:rFonts w:ascii="Times New Roman" w:hAnsi="Times New Roman" w:eastAsia="Times New Roman" w:cs="Times New Roman"/>
        </w:rPr>
        <w:t>Di dalam generasi ketiga Adventisme, usaha untuk memperkenalkan penggunaan apa yang disebut terjemahan-terjemahan modern Alkitab dipromosikan oleh kepemimpinan Adventisme. Terjemahan-terjemahan modern yang disebut demikian itu diturunkan dari suatu kumpulan naskah yang telah dirusakkan, yang dipromosikan oleh para teolog dari manusia durhaka, dan oleh Protestanisme yang murtad. Peti Miller ialah King James Version yang diterjemahkan dari naskah-naskah yang tidak dirusakkan.</w:t>
      </w:r>
    </w:p>
    <w:p>
      <w:pPr>
        <w:pStyle w:val="ArticleBody"/>
        <w:jc w:val="left"/>
      </w:pPr>
      <w:r>
        <w:rPr>
          <w:rFonts w:ascii="Times New Roman" w:hAnsi="Times New Roman" w:eastAsia="Times New Roman" w:cs="Times New Roman"/>
        </w:rPr>
        <w:t>Dilahirkan generasi keempat Adventisme Laodikia, gereja itu telah menyertai Majlis Gereja-Gereja Sedunia, suatu persekutuan gereja Roma dan anak-anak perempuannya. Adventisme selama bertahun-tahun berhujah, demi faedah kawanan mereka yang sedang tidur, bahawa mereka hanyalah “pemerhati” di Majlis Gereja-Gereja Sedunia, sehinggalah undang-undang kecil persekutuan jahat itu mendedahkan bahawa status seorang “pemerhati” sebenarnya mewakili seorang anggota penuh yang mempunyai hak mengundi!</w:t>
      </w:r>
    </w:p>
    <w:p>
      <w:pPr>
        <w:pStyle w:val="ArticleBody"/>
        <w:jc w:val="left"/>
      </w:pPr>
      <w:r>
        <w:rPr>
          <w:rFonts w:ascii="Times New Roman" w:hAnsi="Times New Roman" w:eastAsia="Times New Roman" w:cs="Times New Roman"/>
        </w:rPr>
        <w:t>Në brezin e tyre të katërt, ata dy herë i dhanë “njeriut të mëkatit” një medalje të artë. Të paktën njëra prej medaljeve ishte e stampuar me kuptimin katolik të Ardhjes së Dytë të Krishtit, duke paraqitur Jezusin duke vënë këmbën e Tij mbi tokë në kthimin e Tij; dhe ajo përfshinte një aureolë diellore katolike pas Krishtit, si edhe shkurtimin katolik të urdhërimit të katërt, i cili thjesht thoshte: “mbaje mend Sabatin.” Në një proces gjyqësor (që është një shpallje ligjore), Presidenti i Konferencës së Përgjithshme dha dëshmi, ku ai pohoi se kisha Adventiste e Ditës së Shtatë dikur besonte se papati ishte antikrishti, por se kisha e tij e kishte caktuar atë besim “prej kohësh në grumbullin historik të plehrave.”</w:t>
      </w:r>
    </w:p>
    <w:p>
      <w:pPr>
        <w:pStyle w:val="ArticleBody"/>
        <w:jc w:val="left"/>
      </w:pPr>
      <w:r>
        <w:rPr>
          <w:rFonts w:ascii="Times New Roman" w:hAnsi="Times New Roman" w:eastAsia="Times New Roman" w:cs="Times New Roman"/>
        </w:rPr>
        <w:t>Abomination ya nne (kizazi) ni pale ambapo viongozi ishirini na watano wa kanisa la Yerusalemu wanaliinamia jua. Machukizo ya maendeleo yalianza kwa sanamu ya wivu iliyowekwa mlangoni, ikiashiria mwanzo. Nabii kutoka Yuda anaishia kuzikwa pamoja na Uprotestanti ulioasi, na simba (Babeli) humwua, kwa maana alirudia mbinu ya Uprotestanti ulioasi, na kwa hiyo hawezi kutambua kwamba ni Roma inayoithibitisha njozi, na pale ambapo hakuna njozi iliyowekwa na ishara ya mtu wa dhambi, hatimaye unaishia kuwa upande wa mtu wa dhambi.</w:t>
      </w:r>
    </w:p>
    <w:p>
      <w:pPr>
        <w:pStyle w:val="ArticleScripture"/>
        <w:jc w:val="left"/>
      </w:pPr>
      <w:r>
        <w:rPr>
          <w:rFonts w:ascii="Times New Roman" w:hAnsi="Times New Roman" w:eastAsia="Times New Roman" w:cs="Times New Roman"/>
        </w:rPr>
        <w:t>“Mereka yang menjadi bingung dalam pemahaman mereka akan firman, yang gagal melihat makna antikristus, pasti akan menempatkan diri mereka di pihak antikristus.” Kress Collection, 105.</w:t>
      </w:r>
    </w:p>
    <w:p>
      <w:pPr>
        <w:pStyle w:val="ArticleBody"/>
        <w:jc w:val="left"/>
      </w:pPr>
      <w:r>
        <w:rPr>
          <w:rFonts w:ascii="Times New Roman" w:hAnsi="Times New Roman" w:eastAsia="Times New Roman" w:cs="Times New Roman"/>
        </w:rPr>
        <w:t>Mporofeta wa Yuda akapwandwa pamwe chete nemporofeta wenhema weBetheli, uyo akamuzivisa semu“hama” yake, uye akawanikwa afa ari pakati pezviratidzo zviviri. “Shumba” yaimiririra kukundikana kwake kunzwisisa antikristu, uye “dhongi” chiratidzo cheIslam. Adventizimu yeRaodhikia yakatoratidza, kubudikidza nokunyarara kwayo pamusoro paGunyana 11, 2001, kuti haizivi kuti nyaya yeIslam yeNhamo yechitatu ndiyo Mhere yoPakati pousiku, shoko remvura yokupedzisira. Kukundikana kuziva shoko remvura yokupedzisira, rufu! Mvura yokupedzisira yakatanga paGunyana 11, 2001 apo ngirozi ine simba yaZvakazarurwa gumi nesere yakaburuka, apo zvivako zvikuru zveNew York City zvakawisirwa pasi. “Mvura” ishoko, uye shoko racho rinofanira kuzivikanwa kuti rigamuchirwe.</w:t>
      </w:r>
    </w:p>
    <w:p>
      <w:pPr>
        <w:pStyle w:val="ArticleScripture"/>
        <w:jc w:val="left"/>
      </w:pPr>
      <w:r>
        <w:rPr>
          <w:rFonts w:ascii="Times New Roman" w:hAnsi="Times New Roman" w:eastAsia="Times New Roman" w:cs="Times New Roman"/>
        </w:rPr>
        <w:t>“Ndzi nga fanelanga ku rindzela mpfula ya le ndzhaku. Yi ta wela hinkwavo lava nga ta lemuka ni ku amukela mberha ni timpfula ta tintswalo leti hi welaka. Loko hi hlengeleta swiphemu swa ku vonakala, loko hi tlangela tintswalo ta ntiyiso ta Xikwembu, lexi rhandzaka leswaku hi xi tshembha, kutani xitshembiso xin’wana ni xin’wana xi ta hetiseka. [Esaya 61:11 yi tshahiwile.] Misava hinkwayo yi fanele ku tala hi ku vangama ka Xikwembu.” The Seventh-day Adventist Bible Commentary, volume 7, 984.</w:t>
      </w:r>
    </w:p>
    <w:p>
      <w:pPr>
        <w:pStyle w:val="ArticleBody"/>
        <w:jc w:val="left"/>
      </w:pPr>
      <w:r>
        <w:rPr>
          <w:rFonts w:ascii="Nirmala UI" w:hAnsi="Nirmala UI" w:eastAsia="Nirmala UI" w:cs="Nirmala UI"/>
        </w:rPr>
        <w:t>ꯑꯥꯞꯨꯟꯒꯤ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September 11, 2001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ꯊꯣꯛꯂꯤꯕꯒꯤ</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ꯈꯪꯉꯤ</w:t>
      </w:r>
      <w:r>
        <w:rPr>
          <w:rFonts w:ascii="Times New Roman" w:hAnsi="Times New Roman" w:eastAsia="Times New Roman" w:cs="Times New Roman"/>
        </w:rPr>
        <w:t xml:space="preserve">; </w:t>
      </w:r>
      <w:r>
        <w:rPr>
          <w:rFonts w:ascii="Nirmala UI" w:hAnsi="Nirmala UI" w:eastAsia="Nirmala UI" w:cs="Nirmala UI"/>
        </w:rPr>
        <w:t>ꯑꯩꯇꯤꯒꯥ</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ꯍꯧꯗꯣꯛꯄꯥꯁꯤꯡꯗꯒꯤ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ꯃꯇꯧꯗꯥ</w:t>
      </w:r>
      <w:r>
        <w:rPr>
          <w:rFonts w:ascii="Times New Roman" w:hAnsi="Times New Roman" w:eastAsia="Times New Roman" w:cs="Times New Roman"/>
        </w:rPr>
        <w:t xml:space="preserve"> </w:t>
      </w:r>
      <w:r>
        <w:rPr>
          <w:rFonts w:ascii="Nirmala UI" w:hAnsi="Nirmala UI" w:eastAsia="Nirmala UI" w:cs="Nirmala UI"/>
        </w:rPr>
        <w:t>ꯃꯥꯡꯍꯜꯂꯛꯄꯥ</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ꯐꯪꯕꯥꯒꯤꯗꯃꯛ</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ꯈꯪꯁꯤꯜꯂꯕꯥ</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“Recognize”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ꯑꯔꯊꯗꯤ</w:t>
      </w:r>
      <w:r>
        <w:rPr>
          <w:rFonts w:ascii="Times New Roman" w:hAnsi="Times New Roman" w:eastAsia="Times New Roman" w:cs="Times New Roman"/>
        </w:rPr>
        <w:t xml:space="preserve"> “</w:t>
      </w:r>
      <w:r>
        <w:rPr>
          <w:rFonts w:ascii="Nirmala UI" w:hAnsi="Nirmala UI" w:eastAsia="Nirmala UI" w:cs="Nirmala UI"/>
        </w:rPr>
        <w:t>ꯃꯃꯥꯡꯒꯤ</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ꯅꯤꯡꯁꯤꯡꯂꯛꯄꯥ</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ꯐꯪꯂꯛꯄꯥ</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ꯍꯥꯏꯖꯔꯛꯄꯒꯥ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ꯑꯣꯏꯔꯒꯁꯨ</w:t>
      </w:r>
      <w:r>
        <w:rPr>
          <w:rFonts w:ascii="Times New Roman" w:hAnsi="Times New Roman" w:eastAsia="Times New Roman" w:cs="Times New Roman"/>
        </w:rPr>
        <w:t xml:space="preserve"> </w:t>
      </w:r>
      <w:r>
        <w:rPr>
          <w:rFonts w:ascii="Nirmala UI" w:hAnsi="Nirmala UI" w:eastAsia="Nirmala UI" w:cs="Nirmala UI"/>
        </w:rPr>
        <w:t>ꯍꯣꯠꯅꯩ</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ꯑꯃꯥꯕꯨ</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ꯃꯐꯝꯗꯒꯤ</w:t>
      </w:r>
      <w:r>
        <w:rPr>
          <w:rFonts w:ascii="Times New Roman" w:hAnsi="Times New Roman" w:eastAsia="Times New Roman" w:cs="Times New Roman"/>
        </w:rPr>
        <w:t xml:space="preserve"> </w:t>
      </w:r>
      <w:r>
        <w:rPr>
          <w:rFonts w:ascii="Nirmala UI" w:hAnsi="Nirmala UI" w:eastAsia="Nirmala UI" w:cs="Nirmala UI"/>
        </w:rPr>
        <w:t>ꯈꯪꯁꯤꯜꯂꯤ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ꯎꯇ꯭ꯄꯥ</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ꯅꯤꯡꯁꯤꯡꯂꯛꯄꯥ</w:t>
      </w:r>
      <w:r>
        <w:rPr>
          <w:rFonts w:ascii="Times New Roman" w:hAnsi="Times New Roman" w:eastAsia="Times New Roman" w:cs="Times New Roman"/>
        </w:rPr>
        <w:t xml:space="preserve"> </w:t>
      </w:r>
      <w:r>
        <w:rPr>
          <w:rFonts w:ascii="Nirmala UI" w:hAnsi="Nirmala UI" w:eastAsia="Nirmala UI" w:cs="Nirmala UI"/>
        </w:rPr>
        <w:t>ꯐꯪꯂꯛꯄꯥ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ꯈꯪꯈꯤꯕ</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ꯃꯤꯃꯤꯠ</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ꯈꯣꯟꯖꯦꯜ</w:t>
      </w:r>
      <w:r>
        <w:rPr>
          <w:rFonts w:ascii="Times New Roman" w:hAnsi="Times New Roman" w:eastAsia="Times New Roman" w:cs="Times New Roman"/>
        </w:rPr>
        <w:t xml:space="preserve"> </w:t>
      </w:r>
      <w:r>
        <w:rPr>
          <w:rFonts w:ascii="Nirmala UI" w:hAnsi="Nirmala UI" w:eastAsia="Nirmala UI" w:cs="Nirmala UI"/>
        </w:rPr>
        <w:t>ꯈꯪꯁꯤꯜꯂꯤ</w:t>
      </w:r>
      <w:r>
        <w:rPr>
          <w:rFonts w:ascii="Times New Roman" w:hAnsi="Times New Roman" w:eastAsia="Times New Roman" w:cs="Times New Roman"/>
        </w:rPr>
        <w:t>.” Webster’s 1828 Dictionary.</w:t>
      </w:r>
    </w:p>
    <w:p>
      <w:pPr>
        <w:pStyle w:val="ArticleBody"/>
        <w:jc w:val="left"/>
      </w:pP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लाओदीकियाई</w:t>
      </w:r>
      <w:r>
        <w:rPr>
          <w:rFonts w:ascii="Times New Roman" w:hAnsi="Times New Roman" w:eastAsia="Times New Roman" w:cs="Times New Roman"/>
        </w:rPr>
        <w:t xml:space="preserve"> </w:t>
      </w:r>
      <w:r>
        <w:rPr>
          <w:rFonts w:ascii="Nirmala UI" w:hAnsi="Nirmala UI" w:eastAsia="Nirmala UI" w:cs="Nirmala UI"/>
        </w:rPr>
        <w:t>एडवेंटिस्टले</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11, 2001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चिन्न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उपाय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विगतमा</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चिनेको</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अगस्ट</w:t>
      </w:r>
      <w:r>
        <w:rPr>
          <w:rFonts w:ascii="Times New Roman" w:hAnsi="Times New Roman" w:eastAsia="Times New Roman" w:cs="Times New Roman"/>
        </w:rPr>
        <w:t xml:space="preserve"> 11, 1840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दसको</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ओर्लियो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दोहोरियो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11, 2001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अठारको</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ओर्लियो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इस्लामको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इस्लामलाई</w:t>
      </w:r>
      <w:r>
        <w:rPr>
          <w:rFonts w:ascii="Times New Roman" w:hAnsi="Times New Roman" w:eastAsia="Times New Roman" w:cs="Times New Roman"/>
        </w:rPr>
        <w:t xml:space="preserve"> </w:t>
      </w:r>
      <w:r>
        <w:rPr>
          <w:rFonts w:ascii="Nirmala UI" w:hAnsi="Nirmala UI" w:eastAsia="Nirmala UI" w:cs="Nirmala UI"/>
        </w:rPr>
        <w:t>नचिन्ने</w:t>
      </w:r>
      <w:r>
        <w:rPr>
          <w:rFonts w:ascii="Times New Roman" w:hAnsi="Times New Roman" w:eastAsia="Times New Roman" w:cs="Times New Roman"/>
        </w:rPr>
        <w:t xml:space="preserve"> </w:t>
      </w:r>
      <w:r>
        <w:rPr>
          <w:rFonts w:ascii="Nirmala UI" w:hAnsi="Nirmala UI" w:eastAsia="Nirmala UI" w:cs="Nirmala UI"/>
        </w:rPr>
        <w:t>असफलता</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जङ्गली</w:t>
      </w:r>
      <w:r>
        <w:rPr>
          <w:rFonts w:ascii="Times New Roman" w:hAnsi="Times New Roman" w:eastAsia="Times New Roman" w:cs="Times New Roman"/>
        </w:rPr>
        <w:t xml:space="preserve"> </w:t>
      </w:r>
      <w:r>
        <w:rPr>
          <w:rFonts w:ascii="Nirmala UI" w:hAnsi="Nirmala UI" w:eastAsia="Nirmala UI" w:cs="Nirmala UI"/>
        </w:rPr>
        <w:t>अरबी</w:t>
      </w:r>
      <w:r>
        <w:rPr>
          <w:rFonts w:ascii="Times New Roman" w:hAnsi="Times New Roman" w:eastAsia="Times New Roman" w:cs="Times New Roman"/>
        </w:rPr>
        <w:t xml:space="preserve"> </w:t>
      </w:r>
      <w:r>
        <w:rPr>
          <w:rFonts w:ascii="Nirmala UI" w:hAnsi="Nirmala UI" w:eastAsia="Nirmala UI" w:cs="Nirmala UI"/>
        </w:rPr>
        <w:t>गधाद्वारा</w:t>
      </w:r>
      <w:r>
        <w:rPr>
          <w:rFonts w:ascii="Times New Roman" w:hAnsi="Times New Roman" w:eastAsia="Times New Roman" w:cs="Times New Roman"/>
        </w:rPr>
        <w:t xml:space="preserve"> </w:t>
      </w:r>
      <w:r>
        <w:rPr>
          <w:rFonts w:ascii="Nirmala UI" w:hAnsi="Nirmala UI" w:eastAsia="Nirmala UI" w:cs="Nirmala UI"/>
        </w:rPr>
        <w:t>बोकिनु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मृत्युमा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सिंहद्वारा</w:t>
      </w:r>
      <w:r>
        <w:rPr>
          <w:rFonts w:ascii="Times New Roman" w:hAnsi="Times New Roman" w:eastAsia="Times New Roman" w:cs="Times New Roman"/>
        </w:rPr>
        <w:t xml:space="preserve"> </w:t>
      </w:r>
      <w:r>
        <w:rPr>
          <w:rFonts w:ascii="Nirmala UI" w:hAnsi="Nirmala UI" w:eastAsia="Nirmala UI" w:cs="Nirmala UI"/>
        </w:rPr>
        <w:t>ल्याइन्छ।</w:t>
      </w:r>
    </w:p>
    <w:p>
      <w:pPr>
        <w:pStyle w:val="ArticleBody"/>
        <w:jc w:val="left"/>
      </w:pPr>
      <w:r>
        <w:rPr>
          <w:rFonts w:ascii="Times New Roman" w:hAnsi="Times New Roman" w:eastAsia="Times New Roman" w:cs="Times New Roman"/>
        </w:rPr>
        <w:t>Orang-orang mabuk dari Efraim, yang tidak dapat membaca kitab yang termeterai itu, tidak dapat melihat pengulangan sejarah Millerite, karena pengenalan itu didasarkan pada metodologi hujan akhir, yaitu “baris demi baris.” Gagasan bahwa manifestasi kuasa Allah dalam sejarah Millerite diulangi pada hari-hari terakhir tidak dapat dipertahankan oleh metodologi Protestanisme yang murtad dan Katolikisme.</w:t>
      </w:r>
    </w:p>
    <w:p>
      <w:pPr>
        <w:pStyle w:val="ArticleScripture"/>
        <w:jc w:val="left"/>
      </w:pPr>
      <w:r>
        <w:rPr>
          <w:rFonts w:ascii="Times New Roman" w:hAnsi="Times New Roman" w:eastAsia="Times New Roman" w:cs="Times New Roman"/>
        </w:rPr>
        <w:t>“</w:t>
      </w:r>
      <w:r>
        <w:rPr>
          <w:rFonts w:ascii="Nirmala UI" w:hAnsi="Nirmala UI" w:eastAsia="Nirmala UI" w:cs="Nirmala UI"/>
        </w:rPr>
        <w:t>ମୂର୍ତ୍ତିମତ୍ତ</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ଦୂତଙ୍କର</w:t>
      </w:r>
      <w:r>
        <w:rPr>
          <w:rFonts w:ascii="Times New Roman" w:hAnsi="Times New Roman" w:eastAsia="Times New Roman" w:cs="Times New Roman"/>
        </w:rPr>
        <w:t xml:space="preserve"> </w:t>
      </w:r>
      <w:r>
        <w:rPr>
          <w:rFonts w:ascii="Nirmala UI" w:hAnsi="Nirmala UI" w:eastAsia="Nirmala UI" w:cs="Nirmala UI"/>
        </w:rPr>
        <w:t>ବାର୍ତ୍ତାର</w:t>
      </w:r>
      <w:r>
        <w:rPr>
          <w:rFonts w:ascii="Times New Roman" w:hAnsi="Times New Roman" w:eastAsia="Times New Roman" w:cs="Times New Roman"/>
        </w:rPr>
        <w:t xml:space="preserve"> </w:t>
      </w:r>
      <w:r>
        <w:rPr>
          <w:rFonts w:ascii="Nirmala UI" w:hAnsi="Nirmala UI" w:eastAsia="Nirmala UI" w:cs="Nirmala UI"/>
        </w:rPr>
        <w:t>ଘୋଷଣାରେ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ଦୂତ</w:t>
      </w:r>
      <w:r>
        <w:rPr>
          <w:rFonts w:ascii="Times New Roman" w:hAnsi="Times New Roman" w:eastAsia="Times New Roman" w:cs="Times New Roman"/>
        </w:rPr>
        <w:t xml:space="preserve"> </w:t>
      </w:r>
      <w:r>
        <w:rPr>
          <w:rFonts w:ascii="Nirmala UI" w:hAnsi="Nirmala UI" w:eastAsia="Nirmala UI" w:cs="Nirmala UI"/>
        </w:rPr>
        <w:t>ଏକତ୍ରିତ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ମହିମାଦ୍ୱାରା</w:t>
      </w:r>
      <w:r>
        <w:rPr>
          <w:rFonts w:ascii="Times New Roman" w:hAnsi="Times New Roman" w:eastAsia="Times New Roman" w:cs="Times New Roman"/>
        </w:rPr>
        <w:t xml:space="preserve"> </w:t>
      </w:r>
      <w:r>
        <w:rPr>
          <w:rFonts w:ascii="Nirmala UI" w:hAnsi="Nirmala UI" w:eastAsia="Nirmala UI" w:cs="Nirmala UI"/>
        </w:rPr>
        <w:t>ସମଗ୍ର</w:t>
      </w:r>
      <w:r>
        <w:rPr>
          <w:rFonts w:ascii="Times New Roman" w:hAnsi="Times New Roman" w:eastAsia="Times New Roman" w:cs="Times New Roman"/>
        </w:rPr>
        <w:t xml:space="preserve"> </w:t>
      </w:r>
      <w:r>
        <w:rPr>
          <w:rFonts w:ascii="Nirmala UI" w:hAnsi="Nirmala UI" w:eastAsia="Nirmala UI" w:cs="Nirmala UI"/>
        </w:rPr>
        <w:t>ପୃଥିବୀକୁ</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ଏଠାରେ</w:t>
      </w:r>
      <w:r>
        <w:rPr>
          <w:rFonts w:ascii="Times New Roman" w:hAnsi="Times New Roman" w:eastAsia="Times New Roman" w:cs="Times New Roman"/>
        </w:rPr>
        <w:t xml:space="preserve"> </w:t>
      </w:r>
      <w:r>
        <w:rPr>
          <w:rFonts w:ascii="Nirmala UI" w:hAnsi="Nirmala UI" w:eastAsia="Nirmala UI" w:cs="Nirmala UI"/>
        </w:rPr>
        <w:t>ସାରା</w:t>
      </w:r>
      <w:r>
        <w:rPr>
          <w:rFonts w:ascii="Times New Roman" w:hAnsi="Times New Roman" w:eastAsia="Times New Roman" w:cs="Times New Roman"/>
        </w:rPr>
        <w:t xml:space="preserve"> </w:t>
      </w:r>
      <w:r>
        <w:rPr>
          <w:rFonts w:ascii="Nirmala UI" w:hAnsi="Nirmala UI" w:eastAsia="Nirmala UI" w:cs="Nirmala UI"/>
        </w:rPr>
        <w:t>ବିଶ୍ୱବ୍ୟାପୀ</w:t>
      </w:r>
      <w:r>
        <w:rPr>
          <w:rFonts w:ascii="Times New Roman" w:hAnsi="Times New Roman" w:eastAsia="Times New Roman" w:cs="Times New Roman"/>
        </w:rPr>
        <w:t xml:space="preserve"> </w:t>
      </w:r>
      <w:r>
        <w:rPr>
          <w:rFonts w:ascii="Nirmala UI" w:hAnsi="Nirmala UI" w:eastAsia="Nirmala UI" w:cs="Nirmala UI"/>
        </w:rPr>
        <w:t>ବ୍ୟାପ୍ତି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ଅସାମାନ୍ୟ</w:t>
      </w:r>
      <w:r>
        <w:rPr>
          <w:rFonts w:ascii="Times New Roman" w:hAnsi="Times New Roman" w:eastAsia="Times New Roman" w:cs="Times New Roman"/>
        </w:rPr>
        <w:t xml:space="preserve"> </w:t>
      </w:r>
      <w:r>
        <w:rPr>
          <w:rFonts w:ascii="Nirmala UI" w:hAnsi="Nirmala UI" w:eastAsia="Nirmala UI" w:cs="Nirmala UI"/>
        </w:rPr>
        <w:t>ଶକ୍ତିର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କାର୍ଯ୍ୟ</w:t>
      </w:r>
      <w:r>
        <w:rPr>
          <w:rFonts w:ascii="Times New Roman" w:hAnsi="Times New Roman" w:eastAsia="Times New Roman" w:cs="Times New Roman"/>
        </w:rPr>
        <w:t xml:space="preserve"> </w:t>
      </w:r>
      <w:r>
        <w:rPr>
          <w:rFonts w:ascii="Nirmala UI" w:hAnsi="Nirmala UI" w:eastAsia="Nirmala UI" w:cs="Nirmala UI"/>
        </w:rPr>
        <w:t>ପୂର୍ବକଥିତ</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1840–44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ଆଗମନ</w:t>
      </w:r>
      <w:r>
        <w:rPr>
          <w:rFonts w:ascii="Times New Roman" w:hAnsi="Times New Roman" w:eastAsia="Times New Roman" w:cs="Times New Roman"/>
        </w:rPr>
        <w:t xml:space="preserve"> </w:t>
      </w:r>
      <w:r>
        <w:rPr>
          <w:rFonts w:ascii="Nirmala UI" w:hAnsi="Nirmala UI" w:eastAsia="Nirmala UI" w:cs="Nirmala UI"/>
        </w:rPr>
        <w:t>ଆନ୍ଦୋଳନ</w:t>
      </w:r>
      <w:r>
        <w:rPr>
          <w:rFonts w:ascii="Times New Roman" w:hAnsi="Times New Roman" w:eastAsia="Times New Roman" w:cs="Times New Roman"/>
        </w:rPr>
        <w:t xml:space="preserve"> </w:t>
      </w:r>
      <w:r>
        <w:rPr>
          <w:rFonts w:ascii="Nirmala UI" w:hAnsi="Nirmala UI" w:eastAsia="Nirmala UI" w:cs="Nirmala UI"/>
        </w:rPr>
        <w:t>ଦେବଶକ୍ତିର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ମହିମାମୟ</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ଦୂତଙ୍କର</w:t>
      </w:r>
      <w:r>
        <w:rPr>
          <w:rFonts w:ascii="Times New Roman" w:hAnsi="Times New Roman" w:eastAsia="Times New Roman" w:cs="Times New Roman"/>
        </w:rPr>
        <w:t xml:space="preserve"> </w:t>
      </w:r>
      <w:r>
        <w:rPr>
          <w:rFonts w:ascii="Nirmala UI" w:hAnsi="Nirmala UI" w:eastAsia="Nirmala UI" w:cs="Nirmala UI"/>
        </w:rPr>
        <w:t>ବାର୍ତ୍ତାକୁ</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ମିଶନରୀ</w:t>
      </w:r>
      <w:r>
        <w:rPr>
          <w:rFonts w:ascii="Times New Roman" w:hAnsi="Times New Roman" w:eastAsia="Times New Roman" w:cs="Times New Roman"/>
        </w:rPr>
        <w:t xml:space="preserve"> </w:t>
      </w:r>
      <w:r>
        <w:rPr>
          <w:rFonts w:ascii="Nirmala UI" w:hAnsi="Nirmala UI" w:eastAsia="Nirmala UI" w:cs="Nirmala UI"/>
        </w:rPr>
        <w:t>କେନ୍ଦ୍ରକୁ</w:t>
      </w:r>
      <w:r>
        <w:rPr>
          <w:rFonts w:ascii="Times New Roman" w:hAnsi="Times New Roman" w:eastAsia="Times New Roman" w:cs="Times New Roman"/>
        </w:rPr>
        <w:t xml:space="preserve"> </w:t>
      </w:r>
      <w:r>
        <w:rPr>
          <w:rFonts w:ascii="Nirmala UI" w:hAnsi="Nirmala UI" w:eastAsia="Nirmala UI" w:cs="Nirmala UI"/>
        </w:rPr>
        <w:t>ବହନ</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କିଛି</w:t>
      </w:r>
      <w:r>
        <w:rPr>
          <w:rFonts w:ascii="Times New Roman" w:hAnsi="Times New Roman" w:eastAsia="Times New Roman" w:cs="Times New Roman"/>
        </w:rPr>
        <w:t xml:space="preserve"> </w:t>
      </w:r>
      <w:r>
        <w:rPr>
          <w:rFonts w:ascii="Nirmala UI" w:hAnsi="Nirmala UI" w:eastAsia="Nirmala UI" w:cs="Nirmala UI"/>
        </w:rPr>
        <w:t>ଦେଶରେ</w:t>
      </w:r>
      <w:r>
        <w:rPr>
          <w:rFonts w:ascii="Times New Roman" w:hAnsi="Times New Roman" w:eastAsia="Times New Roman" w:cs="Times New Roman"/>
        </w:rPr>
        <w:t xml:space="preserve"> </w:t>
      </w:r>
      <w:r>
        <w:rPr>
          <w:rFonts w:ascii="Nirmala UI" w:hAnsi="Nirmala UI" w:eastAsia="Nirmala UI" w:cs="Nirmala UI"/>
        </w:rPr>
        <w:t>ଷୋଡ଼ଶ</w:t>
      </w:r>
      <w:r>
        <w:rPr>
          <w:rFonts w:ascii="Times New Roman" w:hAnsi="Times New Roman" w:eastAsia="Times New Roman" w:cs="Times New Roman"/>
        </w:rPr>
        <w:t xml:space="preserve"> </w:t>
      </w:r>
      <w:r>
        <w:rPr>
          <w:rFonts w:ascii="Nirmala UI" w:hAnsi="Nirmala UI" w:eastAsia="Nirmala UI" w:cs="Nirmala UI"/>
        </w:rPr>
        <w:t>ଶତାବ୍ଦୀର</w:t>
      </w:r>
      <w:r>
        <w:rPr>
          <w:rFonts w:ascii="Times New Roman" w:hAnsi="Times New Roman" w:eastAsia="Times New Roman" w:cs="Times New Roman"/>
        </w:rPr>
        <w:t xml:space="preserve"> </w:t>
      </w:r>
      <w:r>
        <w:rPr>
          <w:rFonts w:ascii="Nirmala UI" w:hAnsi="Nirmala UI" w:eastAsia="Nirmala UI" w:cs="Nirmala UI"/>
        </w:rPr>
        <w:t>ସଂଶୋଧନ</w:t>
      </w:r>
      <w:r>
        <w:rPr>
          <w:rFonts w:ascii="Times New Roman" w:hAnsi="Times New Roman" w:eastAsia="Times New Roman" w:cs="Times New Roman"/>
        </w:rPr>
        <w:t xml:space="preserve"> </w:t>
      </w:r>
      <w:r>
        <w:rPr>
          <w:rFonts w:ascii="Nirmala UI" w:hAnsi="Nirmala UI" w:eastAsia="Nirmala UI" w:cs="Nirmala UI"/>
        </w:rPr>
        <w:t>ଆନ୍ଦୋଳନଠାରୁ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ଦେଶରେ</w:t>
      </w:r>
      <w:r>
        <w:rPr>
          <w:rFonts w:ascii="Times New Roman" w:hAnsi="Times New Roman" w:eastAsia="Times New Roman" w:cs="Times New Roman"/>
        </w:rPr>
        <w:t xml:space="preserve"> </w:t>
      </w:r>
      <w:r>
        <w:rPr>
          <w:rFonts w:ascii="Nirmala UI" w:hAnsi="Nirmala UI" w:eastAsia="Nirmala UI" w:cs="Nirmala UI"/>
        </w:rPr>
        <w:t>ଦେଖାଯାଇଥିବା</w:t>
      </w:r>
      <w:r>
        <w:rPr>
          <w:rFonts w:ascii="Times New Roman" w:hAnsi="Times New Roman" w:eastAsia="Times New Roman" w:cs="Times New Roman"/>
        </w:rPr>
        <w:t xml:space="preserve"> </w:t>
      </w:r>
      <w:r>
        <w:rPr>
          <w:rFonts w:ascii="Nirmala UI" w:hAnsi="Nirmala UI" w:eastAsia="Nirmala UI" w:cs="Nirmala UI"/>
        </w:rPr>
        <w:t>ସବୁଠାରୁ</w:t>
      </w:r>
      <w:r>
        <w:rPr>
          <w:rFonts w:ascii="Times New Roman" w:hAnsi="Times New Roman" w:eastAsia="Times New Roman" w:cs="Times New Roman"/>
        </w:rPr>
        <w:t xml:space="preserve"> </w:t>
      </w:r>
      <w:r>
        <w:rPr>
          <w:rFonts w:ascii="Nirmala UI" w:hAnsi="Nirmala UI" w:eastAsia="Nirmala UI" w:cs="Nirmala UI"/>
        </w:rPr>
        <w:t>ବଡ଼</w:t>
      </w:r>
      <w:r>
        <w:rPr>
          <w:rFonts w:ascii="Times New Roman" w:hAnsi="Times New Roman" w:eastAsia="Times New Roman" w:cs="Times New Roman"/>
        </w:rPr>
        <w:t xml:space="preserve"> </w:t>
      </w:r>
      <w:r>
        <w:rPr>
          <w:rFonts w:ascii="Nirmala UI" w:hAnsi="Nirmala UI" w:eastAsia="Nirmala UI" w:cs="Nirmala UI"/>
        </w:rPr>
        <w:t>ଧାର୍ମିକ</w:t>
      </w:r>
      <w:r>
        <w:rPr>
          <w:rFonts w:ascii="Times New Roman" w:hAnsi="Times New Roman" w:eastAsia="Times New Roman" w:cs="Times New Roman"/>
        </w:rPr>
        <w:t xml:space="preserve"> </w:t>
      </w:r>
      <w:r>
        <w:rPr>
          <w:rFonts w:ascii="Nirmala UI" w:hAnsi="Nirmala UI" w:eastAsia="Nirmala UI" w:cs="Nirmala UI"/>
        </w:rPr>
        <w:t>ଆଗ୍ରହ</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ପାଇଥିଲା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ଏହାମାନଙ୍କୁ</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ଦୂତଙ୍କର</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ସତର୍କବାର୍ତ୍ତା</w:t>
      </w:r>
      <w:r>
        <w:rPr>
          <w:rFonts w:ascii="Times New Roman" w:hAnsi="Times New Roman" w:eastAsia="Times New Roman" w:cs="Times New Roman"/>
        </w:rPr>
        <w:t xml:space="preserve"> </w:t>
      </w:r>
      <w:r>
        <w:rPr>
          <w:rFonts w:ascii="Nirmala UI" w:hAnsi="Nirmala UI" w:eastAsia="Nirmala UI" w:cs="Nirmala UI"/>
        </w:rPr>
        <w:t>ଅଧୀନରେ</w:t>
      </w:r>
      <w:r>
        <w:rPr>
          <w:rFonts w:ascii="Times New Roman" w:hAnsi="Times New Roman" w:eastAsia="Times New Roman" w:cs="Times New Roman"/>
        </w:rPr>
        <w:t xml:space="preserve"> </w:t>
      </w:r>
      <w:r>
        <w:rPr>
          <w:rFonts w:ascii="Nirmala UI" w:hAnsi="Nirmala UI" w:eastAsia="Nirmala UI" w:cs="Nirmala UI"/>
        </w:rPr>
        <w:t>ଘଟିବାକୁ</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ପ୍ରବଳ</w:t>
      </w:r>
      <w:r>
        <w:rPr>
          <w:rFonts w:ascii="Times New Roman" w:hAnsi="Times New Roman" w:eastAsia="Times New Roman" w:cs="Times New Roman"/>
        </w:rPr>
        <w:t xml:space="preserve"> </w:t>
      </w:r>
      <w:r>
        <w:rPr>
          <w:rFonts w:ascii="Nirmala UI" w:hAnsi="Nirmala UI" w:eastAsia="Nirmala UI" w:cs="Nirmala UI"/>
        </w:rPr>
        <w:t>ଆନ୍ଦୋଳନ</w:t>
      </w:r>
      <w:r>
        <w:rPr>
          <w:rFonts w:ascii="Times New Roman" w:hAnsi="Times New Roman" w:eastAsia="Times New Roman" w:cs="Times New Roman"/>
        </w:rPr>
        <w:t xml:space="preserve"> </w:t>
      </w:r>
      <w:r>
        <w:rPr>
          <w:rFonts w:ascii="Nirmala UI" w:hAnsi="Nirmala UI" w:eastAsia="Nirmala UI" w:cs="Nirmala UI"/>
        </w:rPr>
        <w:t>ଅତିକ୍ରମ</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The Great Controversy, 611.</w:t>
      </w:r>
    </w:p>
    <w:p>
      <w:pPr>
        <w:pStyle w:val="ArticleBody"/>
        <w:jc w:val="left"/>
      </w:pPr>
      <w:r>
        <w:rPr>
          <w:rFonts w:ascii="Times New Roman" w:hAnsi="Times New Roman" w:eastAsia="Times New Roman" w:cs="Times New Roman"/>
        </w:rPr>
        <w:t>Baetapeleli ba foufetseng ba Iseraele ea kajeno ba qobelloa ke mokhoa oa bona ho hana ’nete ea hore ho tla ba le phetolelo ea ponahatso ea matla a Molimo matsatsing a ho qetela, joalokaha ho bile joalo mehleng ea pele.</w:t>
      </w:r>
    </w:p>
    <w:p>
      <w:pPr>
        <w:pStyle w:val="ArticleScripture"/>
        <w:jc w:val="left"/>
      </w:pPr>
      <w:r>
        <w:rPr>
          <w:rFonts w:ascii="Times New Roman" w:hAnsi="Times New Roman" w:eastAsia="Times New Roman" w:cs="Times New Roman"/>
        </w:rPr>
        <w:t>“Kitso re bona gore kereke—sehalalelo sa Morena—e bile ya ntlha go utlwa kgwetlho ya bogale jwa Modimo. Banna ba bagolo, e leng bao Modimo a neng a ba neile lesedi le legolo mme ba eme jaaka badisa ba dikgatlhego tsa semoya tsa batho, ba ne ba tsietsa boikanyo jo ba bo neilweng. Ba ne ba tsaya boemo jwa gore ga re a tshwanela go lebelela dikgakgamatso le ponatshego e e bonalang sentle ya thata ya Modimo jaaka mo malatsing a pele. Dinako di fetogile. Mafoko ano a nonotsha go sa dumele ga bone, mme ba re: Morena ga a kitla a dira molemo, le gone ga a kitla a dira bosula. O pelotlhomogi thata gore a etele batho ba gagwe ka katlholo. Ka jalo ‘Kagiso le polokesego’ ke selelo sa banna ba ba se kitlang ba tlhola ba tsholetsa lentswe la bone jaaka phalafala go bontsha batho ba Modimo ditlolo tsa bone le ntlo ya ga Jakobe maleo a yone. Dintša tse di semumu tse di neng di sa rate go bogola ke tsone tse di utlwang pusoloso e e siameng ya Modimo yo o galefileng. Banna, makgarebe, le bana ba bannye tsotlhe di nyelela mmogo.” Testimonies, volume 5, 211.</w:t>
      </w:r>
    </w:p>
    <w:p>
      <w:pPr>
        <w:pStyle w:val="ArticleBody"/>
        <w:jc w:val="left"/>
      </w:pPr>
      <w:r>
        <w:rPr>
          <w:rFonts w:ascii="Times New Roman" w:hAnsi="Times New Roman" w:eastAsia="Times New Roman" w:cs="Times New Roman"/>
        </w:rPr>
        <w:t>Kebutaan Laodikia dari orang-orang terpelajar yang memerintah orang-orang yang tidak terpelajar di Yerusalem tidak mampu mengenali hujan akhir, karena bukan saja mereka menggunakan metodologi Alkitab yang telah rusak, tetapi juga kesimpulan-kesimpulan yang dihasilkan oleh penalaran palsu mereka menempatkan mereka pada posisi di mana mereka akan menyangkal setiap manifestasi kuasa Allah pada masa yang akan datang, seperti pada zaman-zaman dahulu. Namun Maleakhi tiga menyatakan bahwa apabila Utusan Perjanjian itu menyucikan bani Lewi, maka persembahan itu akan menjadi seperti pada hari-hari dahulu.</w:t>
      </w:r>
    </w:p>
    <w:p>
      <w:pPr>
        <w:pStyle w:val="ArticleScripture"/>
        <w:jc w:val="left"/>
      </w:pPr>
      <w:r>
        <w:rPr>
          <w:rFonts w:ascii="Times New Roman" w:hAnsi="Times New Roman" w:eastAsia="Times New Roman" w:cs="Times New Roman"/>
        </w:rPr>
        <w:t>“Paksi Saksi na tapat itu menyatakan, ‘Aku mengetahui segala pekerjaanmu.’ ‘Bertobatlah, dan lakukanlah kembali pekerjaan-pekerjaanmu yang semula.’ Inilah ujian yang benar, bukti bahwa Roh Allah sedang bekerja di dalam hati untuk memenuhi engkau dengan kasih-Nya. ‘Aku akan datang kepadamu dengan segera dan Aku akan mengambil kaki dianmu dari tempatnya, jikalau engkau tidak bertobat.’ Jemaat itu seperti pohon yang tidak menghasilkan, yang setelah menerima embun dan hujan serta cahaya matahari, seharusnya menghasilkan buah yang berlimpah, tetapi yang dalam penyelidikan ilahi ternyata tidak didapati apa-apa selain daun. Suatu pemikiran yang khidmat bagi jemaat-jemaat kita! sungguh khidmat, bagi setiap individu! Ajaib kesabaran dan kemurahan Allah; tetapi ‘jikalau engkau tidak bertobat,’ itu akan berakhir; jemaat-jemaat, lembaga-lembaga kita, akan berjalan dari kelemahan kepada kelemahan, dari formalitas yang dingin kepada kematian rohani, sementara mereka berkata, ‘Aku kaya dan aku telah memperkayakan diriku dan aku tidak kekurangan apa-apa.’ Paksi Saksi yang benar itu berkata, ‘Dan engkau tidak tahu, bahwa engkau melarat, dan malang, dan miskin, dan buta, dan telanjang.’ Akankah mereka pernah melihat keadaan mereka dengan jelas?”</w:t>
      </w:r>
    </w:p>
    <w:p>
      <w:pPr>
        <w:pStyle w:val="ArticleScripture"/>
        <w:jc w:val="left"/>
      </w:pPr>
      <w:r>
        <w:rPr>
          <w:rFonts w:ascii="Times New Roman" w:hAnsi="Times New Roman" w:eastAsia="Times New Roman" w:cs="Times New Roman"/>
        </w:rPr>
        <w:t>“Đây sẽ có trong các hội thánh một sự biểu hiện kỳ diệu của quyền năng Đức Chúa Trời, nhưng điều đó sẽ không tác động trên những kẻ chưa hạ mình xuống trước mặt Chúa và chưa mở cửa lòng mình ra bằng sự xưng tội và ăn năn. Trong sự biểu hiện của quyền năng ấy, là quyền năng làm sáng cả đất bằng vinh hiển Đức Chúa Trời, họ sẽ chỉ thấy một điều gì đó mà trong sự mù lòa của mình họ cho là nguy hiểm, một điều gì đó sẽ khơi dậy nỗi sợ hãi của họ, và họ sẽ gượng mình lên để chống cự nó. Bởi vì Chúa không hành động theo những ý tưởng và sự trông đợi của họ, họ sẽ chống đối công việc ấy. ‘Tại sao,’ họ nói, ‘chúng ta lại không biết Thánh Linh của Đức Chúa Trời, khi chúng ta đã ở trong công việc này bao nhiêu năm rồi?’—Bởi vì họ đã không đáp lại những lời cảnh cáo, những lời nài khuyên trong các sứ điệp của Đức Chúa Trời, nhưng cứ khăng khăng nói rằng, ‘Ta giàu có, đã nên giàu rồi, và không cần chi nữa.’ Tài năng và kinh nghiệm lâu năm sẽ không làm cho loài người trở nên những kênh dẫn ánh sáng, trừ phi họ đặt mình dưới những tia sáng rực rỡ của Mặt Trời Công Bình, và được kêu gọi, được chọn, và được chuẩn bị bởi sự ban cho của Đức Thánh Linh. Khi những người nắm giữ các sự thánh hạ mình xuống dưới bàn tay quyền năng của Đức Chúa Trời, Chúa sẽ nhấc họ lên. Ngài sẽ làm cho họ trở nên những người có sự phân biệt—những người giàu có trong ân điển của Thánh Linh Ngài. Những nét tính cách mạnh mẽ, ích kỷ của họ, sự bướng bỉnh của họ, sẽ được thấy rõ trong ánh sáng chiếu ra từ Sự Sáng của thế gian. ‘Ta sẽ đến cùng ngươi cách kíp, và sẽ dời chân đèn ngươi khỏi chỗ nó, nếu ngươi không ăn năn.’ Nếu các ngươi hết lòng tìm kiếm Chúa, thì Ngài sẽ cho các ngươi gặp.” Review and Herald, ngày 23 tháng 12 năm 1890.</w:t>
      </w:r>
    </w:p>
    <w:p>
      <w:pPr>
        <w:pStyle w:val="ArticleBody"/>
        <w:jc w:val="left"/>
      </w:pPr>
      <w:r>
        <w:rPr>
          <w:rFonts w:ascii="Times New Roman" w:hAnsi="Times New Roman" w:eastAsia="Times New Roman" w:cs="Times New Roman"/>
        </w:rPr>
        <w:t>Kematian nabi Yudea itu dilambangkan baik oleh “singa” dari Babel moden, yang merupakan lambang kenabian yang menetapkan penglihatan sejarah kenabian, mahupun oleh “keledai.” Penyebutan pertama tentang Islam dalam Kitab Suci ialah apabila Ismael diperkenalkan sebagai seorang “lelaki liar.”</w:t>
      </w:r>
    </w:p>
    <w:p>
      <w:pPr>
        <w:pStyle w:val="ArticleScripture"/>
        <w:jc w:val="left"/>
      </w:pPr>
      <w:r>
        <w:rPr>
          <w:rFonts w:ascii="Times New Roman" w:hAnsi="Times New Roman" w:eastAsia="Times New Roman" w:cs="Times New Roman"/>
        </w:rPr>
        <w:t>Le yena u ta va munhu wa nhova; voko ra yena ri ta lwa ni munhu un’wana ni un’wana, ni voko ra munhu un’wana ni un’wana ri ta lwa na yena; kutani u ta tshama emahlweni ka vamakwavo hinkwavo. Genesa 16:12.</w:t>
      </w:r>
    </w:p>
    <w:p>
      <w:pPr>
        <w:pStyle w:val="ArticleBody"/>
        <w:jc w:val="left"/>
      </w:pPr>
      <w:r>
        <w:rPr>
          <w:rFonts w:ascii="Times New Roman" w:hAnsi="Times New Roman" w:eastAsia="Times New Roman" w:cs="Times New Roman"/>
        </w:rPr>
        <w:t>Atoran seutan pertama dalam Kitab Suci menunjukkan bahawa segala ciri lambang itu terkandung di dalamnya, kerana Firman Allah ialah benih, dan benih memiliki seluruh DNA yang diperlukan untuk menghasilkan keseluruhan tumbuhan itu. Perkataan yang diterjemahkan sebagai “manusia liar” ialah perkataan bagi “keldai liar Arab.” “Keldai” dalam Kitab Suci kebenaran merupakan salah satu lambang Islam.</w:t>
      </w:r>
    </w:p>
    <w:p>
      <w:pPr>
        <w:pStyle w:val="ArticleBody"/>
        <w:jc w:val="left"/>
      </w:pPr>
      <w:r>
        <w:rPr>
          <w:rFonts w:ascii="Times New Roman" w:hAnsi="Times New Roman" w:eastAsia="Times New Roman" w:cs="Times New Roman"/>
        </w:rPr>
        <w:t>Pesan Yehezkiel dalam pasal tiga puluh tujuh yang menghidupkan tulang-tulang mati sehingga mereka berdiri sebagai suatu tentara yang besar, adalah pesan Islam dari Celaka yang ketiga, dan pesan itu adalah pesan Seruan Tengah Malam pada akhir zaman. Saudari White secara langsung mengajarkan bahwa masuknya Kristus ke Yerusalem dengan kemenangan melambangkan pesan Seruan Tengah Malam.</w:t>
      </w:r>
    </w:p>
    <w:p>
      <w:pPr>
        <w:pStyle w:val="ArticleScripture"/>
        <w:jc w:val="left"/>
      </w:pPr>
      <w:r>
        <w:rPr>
          <w:rFonts w:ascii="Times New Roman" w:hAnsi="Times New Roman" w:eastAsia="Times New Roman" w:cs="Times New Roman"/>
        </w:rPr>
        <w:t>“Tangis tengah malam itu tidak terlalu dibawakan melalui hujah, walaupun bukti Kitab Suci itu jelas dan meyakinkan. Bersamanya menyertai suatu kuasa yang mendesak, yang menggerakkan jiwa. Tiada keraguan, tiada persoalan. Pada waktu kemasukan Kristus dengan penuh kemenangan ke Yerusalem, orang ramai yang berhimpun dari seluruh pelosok negeri untuk memelihara perayaan itu, berduyun-duyun ke Bukit Zaitun, dan apabila mereka menyertai khalayak yang mengiringi Yesus, mereka menangkap ilham saat itu, lalu turut memperbesar seruan, ‘Diberkatilah Dia yang datang dalam nama Tuhan!’ [Matthew 21:9.] Demikian jugalah orang-orang yang tidak percaya yang berkerumun ke pertemuan-pertemuan Advent—sebahagiannya kerana rasa ingin tahu, sebahagiannya semata-mata untuk mengejek—merasakan kuasa yang meyakinkan yang menyertai pekabaran itu, ‘Lihatlah, Mempelai Lelaki datang!’” Spirit of Prophecy, jilid 4, 250.</w:t>
      </w:r>
    </w:p>
    <w:p>
      <w:pPr>
        <w:pStyle w:val="ArticleBody"/>
        <w:jc w:val="left"/>
      </w:pPr>
      <w:r>
        <w:rPr>
          <w:rFonts w:ascii="Times New Roman" w:hAnsi="Times New Roman" w:eastAsia="Times New Roman" w:cs="Times New Roman"/>
        </w:rPr>
        <w:t>Penyataan Yesus Kristus ialah mesej terakhir yang dibukakan meterainya pada akhir zaman, dan ia merangkumi Islam bagi Celaka yang ketiga. Apabila Kristus, yang merupakan mesej yang dibukakan meterainya itu, memasuki Yerusalem, dan dengan demikian melambangkan Seruan Tengah Malam pada akhir zaman, Dia diangkut (mesej-Nya diangkut) oleh seekor “keledai”. Mesej terakhir tentang kebenaran Kristus diangkut oleh Islam.</w:t>
      </w:r>
    </w:p>
    <w:p>
      <w:pPr>
        <w:pStyle w:val="ArticleBody"/>
        <w:jc w:val="left"/>
      </w:pPr>
      <w:r>
        <w:rPr>
          <w:rFonts w:ascii="Times New Roman" w:hAnsi="Times New Roman" w:eastAsia="Times New Roman" w:cs="Times New Roman"/>
        </w:rPr>
        <w:t>Islam dahulu, sekarang, dan akan tetap menjadi manusia liar, sebagaimana dilambangkan oleh keledai liar Arab, dan siapa pun yang ingin melihat (dan ada banyak yang tidak ingin melihat), dapat dengan mudah “mengenali” bahwa peperangan yang kini dijalankan oleh Islam adalah kegilaan liar. Kesediaan untuk melakukan bunuh diri, dengan keyakinan bahwa akan ada semacam upah seksual yang besar di alam baka, adalah kegilaan yang satanik. Penyebutan pertama tentang Islam menunjukkan bahwa Islam akan menjadi manusia liar.</w:t>
      </w:r>
    </w:p>
    <w:p>
      <w:pPr>
        <w:pStyle w:val="ArticleBody"/>
        <w:jc w:val="left"/>
      </w:pPr>
      <w:r>
        <w:rPr>
          <w:rFonts w:ascii="Times New Roman" w:hAnsi="Times New Roman" w:eastAsia="Times New Roman" w:cs="Times New Roman"/>
        </w:rPr>
        <w:t>Peperangan Islam menyatukan seluruh umat manusia untuk memerangi peperangan yang kian meningkat dari Celaka ketiga. Islam merupakan logika kenabian bagi pelaksanaan suatu pemerintahan dunia tunggal, dan kaum globalis mengajarkan bahwa mereka dengan sengaja mengembalikan orang-orang Yahudi ke tanah Israel setelah Perang Dunia Kedua, supaya mereka dapat memanfaatkan kebencian kuno Islam terhadap orang-orang Yahudi untuk memulai Perang Dunia Ketiga. Kaum globalis percaya, dan telah mengajarkan selama beberapa dasawarsa, bahwa mereka akan memerlukan suatu Perang Dunia Ketiga untuk mewujudkan pemerintahan dunia tunggal mereka. Motivasi kaum globalis yang telah rusak, sebagaimana diungkapkan dengan kata-kata mereka sendiri, sesuai dengan peranan Islam menurut Alkitab.</w:t>
      </w:r>
    </w:p>
    <w:p>
      <w:pPr>
        <w:pStyle w:val="ArticleBody"/>
        <w:jc w:val="left"/>
      </w:pPr>
      <w:r>
        <w:rPr>
          <w:rFonts w:ascii="Times New Roman" w:hAnsi="Times New Roman" w:eastAsia="Times New Roman" w:cs="Times New Roman"/>
        </w:rPr>
        <w:t>Apa de tii kei ia bynta ba kham khia tam jong ka DNA jingïathuhlypa jong u Ishmael, ha ka dkhot kaba nyngkong eh ha kaba la kdew ïa u, ka long ka jingshisha ba ka mynsiem jong u, kaba dei ka mynsiem jong u “briew khlaw,” “ka shong ha khmat ki para jong u baroh.” Ka jingmut ba tang katto-katne ki kynhun jong ka Islam kaba jur hynrei ba radikal kin don bynta ha ka Woe kaba lai, kam ïahap bad ka Ktien U Blei. Ka jingïohi paidbah kaba ju long politically correct ba ha man la kawei-pa-kawei ka jingïngeit niam don tang khyndiat ki briew kiba sniew, bad ba kiba bun paid jong ka niam Muslim ki long ki nongshong shnong kiba ieid jingsuk, kam ïahap lymne bad ka kitab bakhuid jong ki hi, lymne bad ka Baibl.</w:t>
      </w:r>
    </w:p>
    <w:p>
      <w:pPr>
        <w:pStyle w:val="ArticleBody"/>
        <w:jc w:val="left"/>
      </w:pPr>
      <w:r>
        <w:rPr>
          <w:rFonts w:ascii="Times New Roman" w:hAnsi="Times New Roman" w:eastAsia="Times New Roman" w:cs="Times New Roman"/>
        </w:rPr>
        <w:t>Alkuran mengajarkan bahwa adalah kewajiban setiap pengikut Allah untuk membawa seluruh dunia kepada keselarasan dengan hukum Syariah, dan penyebutan pertama tentang Islam dalam kitab Kejadian mengenal pasti bahawa roh “manusia liar” Ismael akan ada dalam setiap pengikut Islam. Alkuran secara langsung mengajar para penganutnya untuk berpura-pura beradab apabila mereka hidup di kawasan-kawasan di mana mereka belum mempunyai kemampuan untuk memaksakan pemerintahan agama mereka ke atas penduduk, sama seperti Katolikisme.</w:t>
      </w:r>
    </w:p>
    <w:p>
      <w:pPr>
        <w:pStyle w:val="ArticleBody"/>
        <w:jc w:val="left"/>
      </w:pPr>
      <w:r>
        <w:rPr>
          <w:rFonts w:ascii="Times New Roman" w:hAnsi="Times New Roman" w:eastAsia="Times New Roman" w:cs="Times New Roman"/>
        </w:rPr>
        <w:t>Umprofethi waseJuda wabhekana noJerobhowamu mhla umbuso wakhe usanda kumiswa. UbuProthestani obuhlubukayo baqala ngo-1844, futhi ngokushesha babhekana ne-Adventismu yamaMillerite eyayisingene eNdaweni eNgcwelengcwele Kakhulu futhi yathola umthetho kaNkulunkulu, kuhlanganisa neSabatha losuku lwesikhombisa. I-Adventismu yamaMillerite yatshelwa, njengoba imelwe nguJeremiya, ukuba ibuyele kuNkulunkulu, kodwa ingaphinde ibuyele “ebandleni labaklolodayo.” Umprofethi waseJuda wayetsheliwe ukuba angabuyi ngendlela efanayo afike ngayo, futhi angadli noma aphuze ukudla komprofethi wamanga waseBethele, kodwa wakwenza lokho. Ukufa komprofethi waseJuda kwabekwa ngokomfanekiso phakathi kwezimpawu ezimbili, ezazimele upapa nobuSulumane. I-Adventismu yaseLawodikeya ayikwazi ukubona lawo maqiniso amabili; ngokuba ngo-1863, bazikhipha amehlo abo omoya, baqala inqubo yokumboza amagugu nendlela yokusebenza esetshenziswa nguWilliam Miller ukuze kusungulwe izisekelo ze-Adventismu ngezinhlamvu zemali zomgunyathi namagugu omgunyathi, kanye nendlela yokusebenza yobProthestani obuhlubukayo nobuKatolika.</w:t>
      </w:r>
    </w:p>
    <w:p>
      <w:pPr>
        <w:pStyle w:val="ArticleBody"/>
        <w:jc w:val="left"/>
      </w:pPr>
      <w:r>
        <w:rPr>
          <w:rFonts w:ascii="Times New Roman" w:hAnsi="Times New Roman" w:eastAsia="Times New Roman" w:cs="Times New Roman"/>
        </w:rPr>
        <w:t>“Munida cepe” Man iikin nyengsa His floor aro jewels-rangko pil∙taia, aro uarangko Miller-na on∙enga jedakode ua an∙tangni table-o uarangko donchina; indiba Adventism ia bebera∙achi mikanduaaha je, uamangde remnant manderang ong∙a, jean 1844 bilsir-o Uni manderang ine chadrapako man∙aha.</w:t>
      </w:r>
    </w:p>
    <w:p>
      <w:pPr>
        <w:pStyle w:val="ArticleScripture"/>
        <w:jc w:val="left"/>
      </w:pPr>
      <w:r>
        <w:rPr>
          <w:rFonts w:ascii="Nirmala UI" w:hAnsi="Nirmala UI" w:eastAsia="Nirmala UI" w:cs="Nirmala UI"/>
        </w:rPr>
        <w:t>जाहरू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w:t>
      </w:r>
      <w:r>
        <w:rPr>
          <w:rFonts w:ascii="Nirmala UI" w:hAnsi="Nirmala UI" w:eastAsia="Nirmala UI" w:cs="Nirmala UI"/>
        </w:rPr>
        <w:t>फङैनि</w:t>
      </w:r>
      <w:r>
        <w:rPr>
          <w:rFonts w:ascii="Times New Roman" w:hAnsi="Times New Roman" w:eastAsia="Times New Roman" w:cs="Times New Roman"/>
        </w:rPr>
        <w:t xml:space="preserve"> </w:t>
      </w:r>
      <w:r>
        <w:rPr>
          <w:rFonts w:ascii="Nirmala UI" w:hAnsi="Nirmala UI" w:eastAsia="Nirmala UI" w:cs="Nirmala UI"/>
        </w:rPr>
        <w:t>गासैजों</w:t>
      </w:r>
      <w:r>
        <w:rPr>
          <w:rFonts w:ascii="Times New Roman" w:hAnsi="Times New Roman" w:eastAsia="Times New Roman" w:cs="Times New Roman"/>
        </w:rPr>
        <w:t>,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बिफा</w:t>
      </w:r>
      <w:r>
        <w:rPr>
          <w:rFonts w:ascii="Times New Roman" w:hAnsi="Times New Roman" w:eastAsia="Times New Roman" w:cs="Times New Roman"/>
        </w:rPr>
        <w:t xml:space="preserve"> </w:t>
      </w:r>
      <w:r>
        <w:rPr>
          <w:rFonts w:ascii="Nirmala UI" w:hAnsi="Nirmala UI" w:eastAsia="Nirmala UI" w:cs="Nirmala UI"/>
        </w:rPr>
        <w:t>अब्राहाम</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बुब्लानो</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बुङो</w:t>
      </w:r>
      <w:r>
        <w:rPr>
          <w:rFonts w:ascii="Times New Roman" w:hAnsi="Times New Roman" w:eastAsia="Times New Roman" w:cs="Times New Roman"/>
        </w:rPr>
        <w:t xml:space="preserve">, </w:t>
      </w:r>
      <w:r>
        <w:rPr>
          <w:rFonts w:ascii="Nirmala UI" w:hAnsi="Nirmala UI" w:eastAsia="Nirmala UI" w:cs="Nirmala UI"/>
        </w:rPr>
        <w:t>इश्वरानो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दिहुननिफ्राय</w:t>
      </w:r>
      <w:r>
        <w:rPr>
          <w:rFonts w:ascii="Times New Roman" w:hAnsi="Times New Roman" w:eastAsia="Times New Roman" w:cs="Times New Roman"/>
        </w:rPr>
        <w:t xml:space="preserve"> </w:t>
      </w:r>
      <w:r>
        <w:rPr>
          <w:rFonts w:ascii="Nirmala UI" w:hAnsi="Nirmala UI" w:eastAsia="Nirmala UI" w:cs="Nirmala UI"/>
        </w:rPr>
        <w:t>अब्राहामनि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फिथाइ</w:t>
      </w:r>
      <w:r>
        <w:rPr>
          <w:rFonts w:ascii="Times New Roman" w:hAnsi="Times New Roman" w:eastAsia="Times New Roman" w:cs="Times New Roman"/>
        </w:rPr>
        <w:t xml:space="preserve"> </w:t>
      </w:r>
      <w:r>
        <w:rPr>
          <w:rFonts w:ascii="Nirmala UI" w:hAnsi="Nirmala UI" w:eastAsia="Nirmala UI" w:cs="Nirmala UI"/>
        </w:rPr>
        <w:t>होग्रा</w:t>
      </w:r>
      <w:r>
        <w:rPr>
          <w:rFonts w:ascii="Times New Roman" w:hAnsi="Times New Roman" w:eastAsia="Times New Roman" w:cs="Times New Roman"/>
        </w:rPr>
        <w:t>-</w:t>
      </w:r>
      <w:r>
        <w:rPr>
          <w:rFonts w:ascii="Nirmala UI" w:hAnsi="Nirmala UI" w:eastAsia="Nirmala UI" w:cs="Nirmala UI"/>
        </w:rPr>
        <w:t>फोरखौ</w:t>
      </w:r>
      <w:r>
        <w:rPr>
          <w:rFonts w:ascii="Times New Roman" w:hAnsi="Times New Roman" w:eastAsia="Times New Roman" w:cs="Times New Roman"/>
        </w:rPr>
        <w:t xml:space="preserve"> </w:t>
      </w:r>
      <w:r>
        <w:rPr>
          <w:rFonts w:ascii="Nirmala UI" w:hAnsi="Nirmala UI" w:eastAsia="Nirmala UI" w:cs="Nirmala UI"/>
        </w:rPr>
        <w:t>जागायनो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दाथाइ</w:t>
      </w:r>
      <w:r>
        <w:rPr>
          <w:rFonts w:ascii="Times New Roman" w:hAnsi="Times New Roman" w:eastAsia="Times New Roman" w:cs="Times New Roman"/>
        </w:rPr>
        <w:t xml:space="preserve"> </w:t>
      </w:r>
      <w:r>
        <w:rPr>
          <w:rFonts w:ascii="Nirmala UI" w:hAnsi="Nirmala UI" w:eastAsia="Nirmala UI" w:cs="Nirmala UI"/>
        </w:rPr>
        <w:t>गामारनि</w:t>
      </w:r>
      <w:r>
        <w:rPr>
          <w:rFonts w:ascii="Times New Roman" w:hAnsi="Times New Roman" w:eastAsia="Times New Roman" w:cs="Times New Roman"/>
        </w:rPr>
        <w:t xml:space="preserve"> </w:t>
      </w:r>
      <w:r>
        <w:rPr>
          <w:rFonts w:ascii="Nirmala UI" w:hAnsi="Nirmala UI" w:eastAsia="Nirmala UI" w:cs="Nirmala UI"/>
        </w:rPr>
        <w:t>गोजौआव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सान्था</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फोरबायनो</w:t>
      </w:r>
      <w:r>
        <w:rPr>
          <w:rFonts w:ascii="Times New Roman" w:hAnsi="Times New Roman" w:eastAsia="Times New Roman" w:cs="Times New Roman"/>
        </w:rPr>
        <w:t xml:space="preserve"> </w:t>
      </w:r>
      <w:r>
        <w:rPr>
          <w:rFonts w:ascii="Nirmala UI" w:hAnsi="Nirmala UI" w:eastAsia="Nirmala UI" w:cs="Nirmala UI"/>
        </w:rPr>
        <w:t>अनग्रा</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गामारखौ</w:t>
      </w:r>
      <w:r>
        <w:rPr>
          <w:rFonts w:ascii="Times New Roman" w:hAnsi="Times New Roman" w:eastAsia="Times New Roman" w:cs="Times New Roman"/>
        </w:rPr>
        <w:t xml:space="preserve"> </w:t>
      </w:r>
      <w:r>
        <w:rPr>
          <w:rFonts w:ascii="Nirmala UI" w:hAnsi="Nirmala UI" w:eastAsia="Nirmala UI" w:cs="Nirmala UI"/>
        </w:rPr>
        <w:t>दाइनानै</w:t>
      </w:r>
      <w:r>
        <w:rPr>
          <w:rFonts w:ascii="Times New Roman" w:hAnsi="Times New Roman" w:eastAsia="Times New Roman" w:cs="Times New Roman"/>
        </w:rPr>
        <w:t xml:space="preserve"> </w:t>
      </w:r>
      <w:r>
        <w:rPr>
          <w:rFonts w:ascii="Nirmala UI" w:hAnsi="Nirmala UI" w:eastAsia="Nirmala UI" w:cs="Nirmala UI"/>
        </w:rPr>
        <w:t>मेआव</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थांफोरखौ</w:t>
      </w:r>
      <w:r>
        <w:rPr>
          <w:rFonts w:ascii="Times New Roman" w:hAnsi="Times New Roman" w:eastAsia="Times New Roman" w:cs="Times New Roman"/>
        </w:rPr>
        <w:t xml:space="preserve"> </w:t>
      </w:r>
      <w:r>
        <w:rPr>
          <w:rFonts w:ascii="Nirmala UI" w:hAnsi="Nirmala UI" w:eastAsia="Nirmala UI" w:cs="Nirmala UI"/>
        </w:rPr>
        <w:t>फिनिफ्राय</w:t>
      </w:r>
      <w:r>
        <w:rPr>
          <w:rFonts w:ascii="Times New Roman" w:hAnsi="Times New Roman" w:eastAsia="Times New Roman" w:cs="Times New Roman"/>
        </w:rPr>
        <w:t xml:space="preserve"> </w:t>
      </w:r>
      <w:r>
        <w:rPr>
          <w:rFonts w:ascii="Nirmala UI" w:hAnsi="Nirmala UI" w:eastAsia="Nirmala UI" w:cs="Nirmala UI"/>
        </w:rPr>
        <w:t>सोलोंनायनि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दैजों</w:t>
      </w:r>
      <w:r>
        <w:rPr>
          <w:rFonts w:ascii="Times New Roman" w:hAnsi="Times New Roman" w:eastAsia="Times New Roman" w:cs="Times New Roman"/>
        </w:rPr>
        <w:t xml:space="preserve"> </w:t>
      </w:r>
      <w:r>
        <w:rPr>
          <w:rFonts w:ascii="Nirmala UI" w:hAnsi="Nirmala UI" w:eastAsia="Nirmala UI" w:cs="Nirmala UI"/>
        </w:rPr>
        <w:t>दिक्षा</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फैयो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आंनिख्रुं</w:t>
      </w:r>
      <w:r>
        <w:rPr>
          <w:rFonts w:ascii="Times New Roman" w:hAnsi="Times New Roman" w:eastAsia="Times New Roman" w:cs="Times New Roman"/>
        </w:rPr>
        <w:t xml:space="preserve"> </w:t>
      </w:r>
      <w:r>
        <w:rPr>
          <w:rFonts w:ascii="Nirmala UI" w:hAnsi="Nirmala UI" w:eastAsia="Nirmala UI" w:cs="Nirmala UI"/>
        </w:rPr>
        <w:t>गेदेरसिन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सान्देलखौ</w:t>
      </w:r>
      <w:r>
        <w:rPr>
          <w:rFonts w:ascii="Times New Roman" w:hAnsi="Times New Roman" w:eastAsia="Times New Roman" w:cs="Times New Roman"/>
        </w:rPr>
        <w:t xml:space="preserve"> </w:t>
      </w:r>
      <w:r>
        <w:rPr>
          <w:rFonts w:ascii="Nirmala UI" w:hAnsi="Nirmala UI" w:eastAsia="Nirmala UI" w:cs="Nirmala UI"/>
        </w:rPr>
        <w:t>बोहनायनिफ्रायबो</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नोंथांखौ</w:t>
      </w:r>
      <w:r>
        <w:rPr>
          <w:rFonts w:ascii="Times New Roman" w:hAnsi="Times New Roman" w:eastAsia="Times New Roman" w:cs="Times New Roman"/>
        </w:rPr>
        <w:t xml:space="preserve"> </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आत्माजों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दिक्षा</w:t>
      </w:r>
      <w:r>
        <w:rPr>
          <w:rFonts w:ascii="Times New Roman" w:hAnsi="Times New Roman" w:eastAsia="Times New Roman" w:cs="Times New Roman"/>
        </w:rPr>
        <w:t xml:space="preserve"> </w:t>
      </w:r>
      <w:r>
        <w:rPr>
          <w:rFonts w:ascii="Nirmala UI" w:hAnsi="Nirmala UI" w:eastAsia="Nirmala UI" w:cs="Nirmala UI"/>
        </w:rPr>
        <w:t>होगोन।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ख्रेब्ला</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आगानाव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दानिफ्राखौ</w:t>
      </w:r>
      <w:r>
        <w:rPr>
          <w:rFonts w:ascii="Times New Roman" w:hAnsi="Times New Roman" w:eastAsia="Times New Roman" w:cs="Times New Roman"/>
        </w:rPr>
        <w:t xml:space="preserve"> </w:t>
      </w:r>
      <w:r>
        <w:rPr>
          <w:rFonts w:ascii="Nirmala UI" w:hAnsi="Nirmala UI" w:eastAsia="Nirmala UI" w:cs="Nirmala UI"/>
        </w:rPr>
        <w:t>फाराग्रोन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माइखौ</w:t>
      </w:r>
      <w:r>
        <w:rPr>
          <w:rFonts w:ascii="Times New Roman" w:hAnsi="Times New Roman" w:eastAsia="Times New Roman" w:cs="Times New Roman"/>
        </w:rPr>
        <w:t xml:space="preserve"> </w:t>
      </w:r>
      <w:r>
        <w:rPr>
          <w:rFonts w:ascii="Nirmala UI" w:hAnsi="Nirmala UI" w:eastAsia="Nirmala UI" w:cs="Nirmala UI"/>
        </w:rPr>
        <w:t>माइआगराव</w:t>
      </w:r>
      <w:r>
        <w:rPr>
          <w:rFonts w:ascii="Times New Roman" w:hAnsi="Times New Roman" w:eastAsia="Times New Roman" w:cs="Times New Roman"/>
        </w:rPr>
        <w:t xml:space="preserve"> </w:t>
      </w:r>
      <w:r>
        <w:rPr>
          <w:rFonts w:ascii="Nirmala UI" w:hAnsi="Nirmala UI" w:eastAsia="Nirmala UI" w:cs="Nirmala UI"/>
        </w:rPr>
        <w:t>गथुमगोन</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बाक्लाखौ</w:t>
      </w:r>
      <w:r>
        <w:rPr>
          <w:rFonts w:ascii="Times New Roman" w:hAnsi="Times New Roman" w:eastAsia="Times New Roman" w:cs="Times New Roman"/>
        </w:rPr>
        <w:t xml:space="preserve"> </w:t>
      </w:r>
      <w:r>
        <w:rPr>
          <w:rFonts w:ascii="Nirmala UI" w:hAnsi="Nirmala UI" w:eastAsia="Nirmala UI" w:cs="Nirmala UI"/>
        </w:rPr>
        <w:t>निभैनाय</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फोसावगोन।</w:t>
      </w:r>
      <w:r>
        <w:rPr>
          <w:rFonts w:ascii="Times New Roman" w:hAnsi="Times New Roman" w:eastAsia="Times New Roman" w:cs="Times New Roman"/>
        </w:rPr>
        <w:t xml:space="preserve"> </w:t>
      </w:r>
      <w:r>
        <w:rPr>
          <w:rFonts w:ascii="Nirmala UI" w:hAnsi="Nirmala UI" w:eastAsia="Nirmala UI" w:cs="Nirmala UI"/>
        </w:rPr>
        <w:t>मथिउ</w:t>
      </w:r>
      <w:r>
        <w:rPr>
          <w:rFonts w:ascii="Times New Roman" w:hAnsi="Times New Roman" w:eastAsia="Times New Roman" w:cs="Times New Roman"/>
        </w:rPr>
        <w:t xml:space="preserve"> 3:9–12</w:t>
      </w:r>
      <w:r>
        <w:rPr>
          <w:rFonts w:ascii="Nirmala UI" w:hAnsi="Nirmala UI" w:eastAsia="Nirmala UI" w:cs="Nirmala UI"/>
        </w:rPr>
        <w:t>।</w:t>
      </w:r>
    </w:p>
    <w:p>
      <w:pPr>
        <w:pStyle w:val="ArticleBody"/>
        <w:jc w:val="left"/>
      </w:pPr>
      <w:r>
        <w:rPr>
          <w:rFonts w:ascii="Nirmala UI" w:hAnsi="Nirmala UI" w:eastAsia="Nirmala UI" w:cs="Nirmala UI"/>
        </w:rPr>
        <w:t>వివరణ</w:t>
      </w:r>
      <w:r>
        <w:rPr>
          <w:rFonts w:ascii="Times New Roman" w:hAnsi="Times New Roman" w:eastAsia="Times New Roman" w:cs="Times New Roman"/>
        </w:rPr>
        <w:t xml:space="preserve"> </w:t>
      </w:r>
      <w:r>
        <w:rPr>
          <w:rFonts w:ascii="Nirmala UI" w:hAnsi="Nirmala UI" w:eastAsia="Nirmala UI" w:cs="Nirmala UI"/>
        </w:rPr>
        <w:t>పుస్తకమునందలి</w:t>
      </w:r>
      <w:r>
        <w:rPr>
          <w:rFonts w:ascii="Times New Roman" w:hAnsi="Times New Roman" w:eastAsia="Times New Roman" w:cs="Times New Roman"/>
        </w:rPr>
        <w:t xml:space="preserve"> </w:t>
      </w:r>
      <w:r>
        <w:rPr>
          <w:rFonts w:ascii="Nirmala UI" w:hAnsi="Nirmala UI" w:eastAsia="Nirmala UI" w:cs="Nirmala UI"/>
        </w:rPr>
        <w:t>లావోదికేయ</w:t>
      </w:r>
      <w:r>
        <w:rPr>
          <w:rFonts w:ascii="Times New Roman" w:hAnsi="Times New Roman" w:eastAsia="Times New Roman" w:cs="Times New Roman"/>
        </w:rPr>
        <w:t xml:space="preserve"> </w:t>
      </w:r>
      <w:r>
        <w:rPr>
          <w:rFonts w:ascii="Nirmala UI" w:hAnsi="Nirmala UI" w:eastAsia="Nirmala UI" w:cs="Nirmala UI"/>
        </w:rPr>
        <w:t>ఆద్వెంటిజము</w:t>
      </w:r>
      <w:r>
        <w:rPr>
          <w:rFonts w:ascii="Times New Roman" w:hAnsi="Times New Roman" w:eastAsia="Times New Roman" w:cs="Times New Roman"/>
        </w:rPr>
        <w:t xml:space="preserve">, </w:t>
      </w:r>
      <w:r>
        <w:rPr>
          <w:rFonts w:ascii="Nirmala UI" w:hAnsi="Nirmala UI" w:eastAsia="Nirmala UI" w:cs="Nirmala UI"/>
        </w:rPr>
        <w:t>పశ్చాత్తాపపడగల</w:t>
      </w:r>
      <w:r>
        <w:rPr>
          <w:rFonts w:ascii="Times New Roman" w:hAnsi="Times New Roman" w:eastAsia="Times New Roman" w:cs="Times New Roman"/>
        </w:rPr>
        <w:t xml:space="preserve"> </w:t>
      </w:r>
      <w:r>
        <w:rPr>
          <w:rFonts w:ascii="Nirmala UI" w:hAnsi="Nirmala UI" w:eastAsia="Nirmala UI" w:cs="Nirmala UI"/>
        </w:rPr>
        <w:t>వ్యక్తులను</w:t>
      </w:r>
      <w:r>
        <w:rPr>
          <w:rFonts w:ascii="Times New Roman" w:hAnsi="Times New Roman" w:eastAsia="Times New Roman" w:cs="Times New Roman"/>
        </w:rPr>
        <w:t xml:space="preserve"> </w:t>
      </w:r>
      <w:r>
        <w:rPr>
          <w:rFonts w:ascii="Nirmala UI" w:hAnsi="Nirmala UI" w:eastAsia="Nirmala UI" w:cs="Nirmala UI"/>
        </w:rPr>
        <w:t>తప్పించి</w:t>
      </w:r>
      <w:r>
        <w:rPr>
          <w:rFonts w:ascii="Times New Roman" w:hAnsi="Times New Roman" w:eastAsia="Times New Roman" w:cs="Times New Roman"/>
        </w:rPr>
        <w:t xml:space="preserve">, </w:t>
      </w:r>
      <w:r>
        <w:rPr>
          <w:rFonts w:ascii="Nirmala UI" w:hAnsi="Nirmala UI" w:eastAsia="Nirmala UI" w:cs="Nirmala UI"/>
        </w:rPr>
        <w:t>ప్రభువుయొక్క</w:t>
      </w:r>
      <w:r>
        <w:rPr>
          <w:rFonts w:ascii="Times New Roman" w:hAnsi="Times New Roman" w:eastAsia="Times New Roman" w:cs="Times New Roman"/>
        </w:rPr>
        <w:t xml:space="preserve"> </w:t>
      </w:r>
      <w:r>
        <w:rPr>
          <w:rFonts w:ascii="Nirmala UI" w:hAnsi="Nirmala UI" w:eastAsia="Nirmala UI" w:cs="Nirmala UI"/>
        </w:rPr>
        <w:t>నోటి</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ఉమ్మివేయబడును</w:t>
      </w:r>
      <w:r>
        <w:rPr>
          <w:rFonts w:ascii="Times New Roman" w:hAnsi="Times New Roman" w:eastAsia="Times New Roman" w:cs="Times New Roman"/>
        </w:rPr>
        <w:t xml:space="preserve">. </w:t>
      </w:r>
      <w:r>
        <w:rPr>
          <w:rFonts w:ascii="Nirmala UI" w:hAnsi="Nirmala UI" w:eastAsia="Nirmala UI" w:cs="Nirmala UI"/>
        </w:rPr>
        <w:t>లావోదికేయ</w:t>
      </w:r>
      <w:r>
        <w:rPr>
          <w:rFonts w:ascii="Times New Roman" w:hAnsi="Times New Roman" w:eastAsia="Times New Roman" w:cs="Times New Roman"/>
        </w:rPr>
        <w:t xml:space="preserve"> </w:t>
      </w:r>
      <w:r>
        <w:rPr>
          <w:rFonts w:ascii="Nirmala UI" w:hAnsi="Nirmala UI" w:eastAsia="Nirmala UI" w:cs="Nirmala UI"/>
        </w:rPr>
        <w:t>ఆద్వెంటిజము</w:t>
      </w:r>
      <w:r>
        <w:rPr>
          <w:rFonts w:ascii="Times New Roman" w:hAnsi="Times New Roman" w:eastAsia="Times New Roman" w:cs="Times New Roman"/>
        </w:rPr>
        <w:t xml:space="preserve">, </w:t>
      </w:r>
      <w:r>
        <w:rPr>
          <w:rFonts w:ascii="Nirmala UI" w:hAnsi="Nirmala UI" w:eastAsia="Nirmala UI" w:cs="Nirmala UI"/>
        </w:rPr>
        <w:t>మిల్లరు</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తిరస్కరించిన</w:t>
      </w:r>
      <w:r>
        <w:rPr>
          <w:rFonts w:ascii="Times New Roman" w:hAnsi="Times New Roman" w:eastAsia="Times New Roman" w:cs="Times New Roman"/>
        </w:rPr>
        <w:t xml:space="preserve"> </w:t>
      </w:r>
      <w:r>
        <w:rPr>
          <w:rFonts w:ascii="Nirmala UI" w:hAnsi="Nirmala UI" w:eastAsia="Nirmala UI" w:cs="Nirmala UI"/>
        </w:rPr>
        <w:t>పూర్వ</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సమాధి</w:t>
      </w:r>
      <w:r>
        <w:rPr>
          <w:rFonts w:ascii="Times New Roman" w:hAnsi="Times New Roman" w:eastAsia="Times New Roman" w:cs="Times New Roman"/>
        </w:rPr>
        <w:t xml:space="preserve"> </w:t>
      </w:r>
      <w:r>
        <w:rPr>
          <w:rFonts w:ascii="Nirmala UI" w:hAnsi="Nirmala UI" w:eastAsia="Nirmala UI" w:cs="Nirmala UI"/>
        </w:rPr>
        <w:t>చేయబడియున్న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సమాధిలో</w:t>
      </w:r>
      <w:r>
        <w:rPr>
          <w:rFonts w:ascii="Times New Roman" w:hAnsi="Times New Roman" w:eastAsia="Times New Roman" w:cs="Times New Roman"/>
        </w:rPr>
        <w:t xml:space="preserve"> </w:t>
      </w:r>
      <w:r>
        <w:rPr>
          <w:rFonts w:ascii="Nirmala UI" w:hAnsi="Nirmala UI" w:eastAsia="Nirmala UI" w:cs="Nirmala UI"/>
        </w:rPr>
        <w:t>సమాధి</w:t>
      </w:r>
      <w:r>
        <w:rPr>
          <w:rFonts w:ascii="Times New Roman" w:hAnsi="Times New Roman" w:eastAsia="Times New Roman" w:cs="Times New Roman"/>
        </w:rPr>
        <w:t xml:space="preserve"> </w:t>
      </w:r>
      <w:r>
        <w:rPr>
          <w:rFonts w:ascii="Nirmala UI" w:hAnsi="Nirmala UI" w:eastAsia="Nirmala UI" w:cs="Nirmala UI"/>
        </w:rPr>
        <w:t>చేయబడవలెను</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నూరునలభై</w:t>
      </w:r>
      <w:r>
        <w:rPr>
          <w:rFonts w:ascii="Times New Roman" w:hAnsi="Times New Roman" w:eastAsia="Times New Roman" w:cs="Times New Roman"/>
        </w:rPr>
        <w:t xml:space="preserve"> </w:t>
      </w:r>
      <w:r>
        <w:rPr>
          <w:rFonts w:ascii="Nirmala UI" w:hAnsi="Nirmala UI" w:eastAsia="Nirmala UI" w:cs="Nirmala UI"/>
        </w:rPr>
        <w:t>నాలుగు</w:t>
      </w:r>
      <w:r>
        <w:rPr>
          <w:rFonts w:ascii="Times New Roman" w:hAnsi="Times New Roman" w:eastAsia="Times New Roman" w:cs="Times New Roman"/>
        </w:rPr>
        <w:t xml:space="preserve"> </w:t>
      </w:r>
      <w:r>
        <w:rPr>
          <w:rFonts w:ascii="Nirmala UI" w:hAnsi="Nirmala UI" w:eastAsia="Nirmala UI" w:cs="Nirmala UI"/>
        </w:rPr>
        <w:t>వేల</w:t>
      </w:r>
      <w:r>
        <w:rPr>
          <w:rFonts w:ascii="Times New Roman" w:hAnsi="Times New Roman" w:eastAsia="Times New Roman" w:cs="Times New Roman"/>
        </w:rPr>
        <w:t xml:space="preserve"> </w:t>
      </w:r>
      <w:r>
        <w:rPr>
          <w:rFonts w:ascii="Nirmala UI" w:hAnsi="Nirmala UI" w:eastAsia="Nirmala UI" w:cs="Nirmala UI"/>
        </w:rPr>
        <w:t>మందితో</w:t>
      </w:r>
      <w:r>
        <w:rPr>
          <w:rFonts w:ascii="Times New Roman" w:hAnsi="Times New Roman" w:eastAsia="Times New Roman" w:cs="Times New Roman"/>
        </w:rPr>
        <w:t xml:space="preserve"> </w:t>
      </w:r>
      <w:r>
        <w:rPr>
          <w:rFonts w:ascii="Nirmala UI" w:hAnsi="Nirmala UI" w:eastAsia="Nirmala UI" w:cs="Nirmala UI"/>
        </w:rPr>
        <w:t>సంబంధములో</w:t>
      </w:r>
      <w:r>
        <w:rPr>
          <w:rFonts w:ascii="Times New Roman" w:hAnsi="Times New Roman" w:eastAsia="Times New Roman" w:cs="Times New Roman"/>
        </w:rPr>
        <w:t xml:space="preserve"> </w:t>
      </w:r>
      <w:r>
        <w:rPr>
          <w:rFonts w:ascii="Nirmala UI" w:hAnsi="Nirmala UI" w:eastAsia="Nirmala UI" w:cs="Nirmala UI"/>
        </w:rPr>
        <w:t>తాముకూడ</w:t>
      </w:r>
      <w:r>
        <w:rPr>
          <w:rFonts w:ascii="Times New Roman" w:hAnsi="Times New Roman" w:eastAsia="Times New Roman" w:cs="Times New Roman"/>
        </w:rPr>
        <w:t xml:space="preserve"> </w:t>
      </w:r>
      <w:r>
        <w:rPr>
          <w:rFonts w:ascii="Nirmala UI" w:hAnsi="Nirmala UI" w:eastAsia="Nirmala UI" w:cs="Nirmala UI"/>
        </w:rPr>
        <w:t>పూర్వ</w:t>
      </w:r>
      <w:r>
        <w:rPr>
          <w:rFonts w:ascii="Times New Roman" w:hAnsi="Times New Roman" w:eastAsia="Times New Roman" w:cs="Times New Roman"/>
        </w:rPr>
        <w:t xml:space="preserve"> </w:t>
      </w:r>
      <w:r>
        <w:rPr>
          <w:rFonts w:ascii="Nirmala UI" w:hAnsi="Nirmala UI" w:eastAsia="Nirmala UI" w:cs="Nirmala UI"/>
        </w:rPr>
        <w:t>నిబంధన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యున్నారు</w:t>
      </w:r>
      <w:r>
        <w:rPr>
          <w:rFonts w:ascii="Times New Roman" w:hAnsi="Times New Roman" w:eastAsia="Times New Roman" w:cs="Times New Roman"/>
        </w:rPr>
        <w:t xml:space="preserve">. 1863 </w:t>
      </w:r>
      <w:r>
        <w:rPr>
          <w:rFonts w:ascii="Nirmala UI" w:hAnsi="Nirmala UI" w:eastAsia="Nirmala UI" w:cs="Nirmala UI"/>
        </w:rPr>
        <w:t>తిరుగుబాటు</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దేశమునుండి</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ప్రవక్తచేత</w:t>
      </w:r>
      <w:r>
        <w:rPr>
          <w:rFonts w:ascii="Times New Roman" w:hAnsi="Times New Roman" w:eastAsia="Times New Roman" w:cs="Times New Roman"/>
        </w:rPr>
        <w:t xml:space="preserve"> </w:t>
      </w:r>
      <w:r>
        <w:rPr>
          <w:rFonts w:ascii="Nirmala UI" w:hAnsi="Nirmala UI" w:eastAsia="Nirmala UI" w:cs="Nirmala UI"/>
        </w:rPr>
        <w:t>చిత్రీకరించబడెను</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రాజైన</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w:t>
      </w:r>
      <w:r>
        <w:rPr>
          <w:rFonts w:ascii="Nirmala UI" w:hAnsi="Nirmala UI" w:eastAsia="Nirmala UI" w:cs="Nirmala UI"/>
        </w:rPr>
        <w:t>గురించిన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ప్రవచనమును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విడిచిపెట్టెను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Kita akan melanjutkan kajian ini dalam artikel berikutnya.</w:t>
      </w:r>
    </w:p>
    <w:p>
      <w:pPr>
        <w:pStyle w:val="ArticleScripture"/>
        <w:jc w:val="left"/>
      </w:pPr>
      <w:r>
        <w:rPr>
          <w:rFonts w:ascii="Times New Roman" w:hAnsi="Times New Roman" w:eastAsia="Times New Roman" w:cs="Times New Roman"/>
        </w:rPr>
        <w:t>“Duma ka tlang hi misava, hi fanele hi ya hi hambana swinene ni misava. Sathana u hlanganile naswona u ta ya emahlweni a hlangana ni tikereke eku endlaka matshalatshala lamakulu swinene ya ku lwa ni ntiyiso wa Xikwembu. Hinkwaswo leswi endliwaka hi vanhu va Xikwembu leswaku va nghena emisaveni swi ta vanga ku kaneta loku tiyeke ku huma eka matimba ya munyama. Ntlhontlho lowukulu wo hetelela wa nala wu ta va lowu tiyeke swinene. Wu ta va nyimpi yo hetelela exikarhi ka matimba ya munyama ni matimba ya ku vonakala. N’wana un’wana ni un’wana wa ntiyiso wa Xikwembu u ta lwa hi vurhena etlhelo ra Kreste. Lava eka nkarhi lowu lowukulu wa mangava va pfumelaka leswaku va va swinene etlhelo ra misava ku tlula ra Xikwembu, eku heteleleni va ta ti veka hi ku helela etlhelo ra misava. Lava va pfilunganyekaka eku twisiseni ka vona Rito, lava va tsandzekaka ku vona nhlamuselo ya antikreste, hakunene va ta ti veka etlhelo ra antikreste. Sweswi a ka ha ri nkarhi wa leswaku hi tipfanganisa ni misava. Daniyele u yime exivandleni xa yena ni le ndhawini ya yena. Vuprofeta bya Daniyele ni bya Yohane byi fanele ku twisisiwa. Bya hlamuselana. Byi nyika misava ntiyiso lowu un’wana ni un’wana a faneleke ku wu twisisa. Vuprofeta lebyi byi fanele ku va vumbhoni emisaveni. Hi ku hetiseka ka byona emasikwini lawa yo hetelela, byi ta tihlamusela hi byabyo.”</w:t>
      </w:r>
    </w:p>
    <w:p>
      <w:pPr>
        <w:pStyle w:val="ArticleScripture"/>
        <w:jc w:val="left"/>
      </w:pPr>
      <w:r>
        <w:rPr>
          <w:rFonts w:ascii="Times New Roman" w:hAnsi="Times New Roman" w:eastAsia="Times New Roman" w:cs="Times New Roman"/>
        </w:rPr>
        <w:t>“Bwana yu karibu kuuadhibu ulimwengu kwa uovu wake. Yu karibu kuziadhibu jumuiya za kidini kwa kuukataa kwao nuru na kweli waliyopewa. Ujumbe mkuu, unaounganisha ujumbe wa malaika wa kwanza, wa pili, na wa tatu, unapaswa kutolewa kwa ulimwengu. Huu ndio unaopaswa kuwa mzigo wa kazi yetu. Wale wanaomwamini Kristo kwa kweli wataifuata waziwazi sheria ya Yehova. Sabato ndiyo ishara kati ya Mungu na watu Wake, nasi tunapaswa kuufanya ulinganifu wetu na sheria ya Mungu uonekane kwa kuishika Sabato. Inapaswa kuwa alama ya utofauti kati ya watu wateule wa Mungu na ulimwengu. Kuna maana kubwa kuwa mwaminifu kwa Mungu. Hili linajumuisha matengenezo ya afya. Hii ina maana kwamba mlo wetu lazima uwe rahisi, kwamba ni lazima tuwe na kiasi katika mambo yote. Aina nyingi za vyakula zinazoonekana mara nyingi mezani si za lazima, bali zina madhara makubwa sana. Akili na mwili vinapaswa kuhifadhiwa katika hali bora kabisa ya afya. Ni wale tu waliofunzwa katika maarifa na hofu ya Mungu wanaopaswa kuchaguliwa kubeba wajibu. Wale ambao wamekuwa katika kweli kwa muda mrefu, lakini hawawezi kutofautisha kati ya kanuni safi za haki na kanuni za uovu, ambao ufahamu wao kuhusu haki, rehema, na upendo wa Mungu umetiwa giza, wanapaswa kuondolewa katika wajibu.”</w:t>
      </w:r>
    </w:p>
    <w:p>
      <w:pPr>
        <w:pStyle w:val="ArticleScripture"/>
        <w:jc w:val="left"/>
      </w:pPr>
      <w:r>
        <w:rPr>
          <w:rFonts w:ascii="Times New Roman" w:hAnsi="Times New Roman" w:eastAsia="Times New Roman" w:cs="Times New Roman"/>
        </w:rPr>
        <w:t>“Thung Mangpa adingchinggipa skie ra∙anirangko An∙tangni manderangna skie ra∙na nanggen. Ia skie ra∙anirangko skangon skie ra∙ahaode, Uni kam da∙alo ong∙enggipa bewalo ong∙genchim ong∙jawa. Saoba ka∙gipa kam donga. Bebeko skianirangko ba daito donggipa manderangko uamangni ka∙namgijani ong∙gen ine kenani gimin rimchakna nangjawa. An∙chingni skanggiparang baksa bang∙a manderang baksa songgri ong∙na nanggen, jean namdapanio aro gisik on∙gimin ning∙o Isolni pilak ku∙rachakaniko aganprakgen. Isolni ka∙onangani uamangni kosako wa∙alenga, jerangan be∙enni rakkiani aro gamchatani ning∙o Uni dilaniko ra∙chakgijagipa ong∙e mesokaha. Uamang kamni namgijani ong∙baaniko neng∙nikatenga.”</w:t>
      </w:r>
    </w:p>
    <w:p>
      <w:pPr>
        <w:pStyle w:val="ArticleScripture"/>
        <w:jc w:val="left"/>
      </w:pPr>
      <w:r>
        <w:rPr>
          <w:rFonts w:ascii="Times New Roman" w:hAnsi="Times New Roman" w:eastAsia="Times New Roman" w:cs="Times New Roman"/>
        </w:rPr>
        <w:t>“</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পথই</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প্রতারণা</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পরিণামে</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ডেকে</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পরিকল্পনা</w:t>
      </w:r>
      <w:r>
        <w:rPr>
          <w:rFonts w:ascii="Times New Roman" w:hAnsi="Times New Roman" w:eastAsia="Times New Roman" w:cs="Times New Roman"/>
        </w:rPr>
        <w:t xml:space="preserve"> </w:t>
      </w:r>
      <w:r>
        <w:rPr>
          <w:rFonts w:ascii="Nirmala UI" w:hAnsi="Nirmala UI" w:eastAsia="Nirmala UI" w:cs="Nirmala UI"/>
        </w:rPr>
        <w:t>আঁকড়ে</w:t>
      </w:r>
      <w:r>
        <w:rPr>
          <w:rFonts w:ascii="Times New Roman" w:hAnsi="Times New Roman" w:eastAsia="Times New Roman" w:cs="Times New Roman"/>
        </w:rPr>
        <w:t xml:space="preserve"> </w:t>
      </w:r>
      <w:r>
        <w:rPr>
          <w:rFonts w:ascii="Nirmala UI" w:hAnsi="Nirmala UI" w:eastAsia="Nirmala UI" w:cs="Nirmala UI"/>
        </w:rPr>
        <w:t>ধরে</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বিনষ্ট</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প্রশংসা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চাটুকারিতার</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তখনই</w:t>
      </w:r>
      <w:r>
        <w:rPr>
          <w:rFonts w:ascii="Times New Roman" w:hAnsi="Times New Roman" w:eastAsia="Times New Roman" w:cs="Times New Roman"/>
        </w:rPr>
        <w:t xml:space="preserve"> </w:t>
      </w:r>
      <w:r>
        <w:rPr>
          <w:rFonts w:ascii="Nirmala UI" w:hAnsi="Nirmala UI" w:eastAsia="Nirmala UI" w:cs="Nirmala UI"/>
        </w:rPr>
        <w:t>আকস্মিক</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পড়ে।</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অনেকে</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অবিশ্বস্ততার</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অন্যেরা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তিরস্কার</w:t>
      </w:r>
      <w:r>
        <w:rPr>
          <w:rFonts w:ascii="Times New Roman" w:hAnsi="Times New Roman" w:eastAsia="Times New Roman" w:cs="Times New Roman"/>
        </w:rPr>
        <w:t xml:space="preserve"> </w:t>
      </w:r>
      <w:r>
        <w:rPr>
          <w:rFonts w:ascii="Nirmala UI" w:hAnsi="Nirmala UI" w:eastAsia="Nirmala UI" w:cs="Nirmala UI"/>
        </w:rPr>
        <w:t>পেয়েছে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সত্ত্বেও</w:t>
      </w:r>
      <w:r>
        <w:rPr>
          <w:rFonts w:ascii="Times New Roman" w:hAnsi="Times New Roman" w:eastAsia="Times New Roman" w:cs="Times New Roman"/>
        </w:rPr>
        <w:t xml:space="preserve">, </w:t>
      </w:r>
      <w:r>
        <w:rPr>
          <w:rFonts w:ascii="Nirmala UI" w:hAnsi="Nirmala UI" w:eastAsia="Nirmala UI" w:cs="Nirmala UI"/>
        </w:rPr>
        <w:t>সতর্কবাণী</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ফিরিয়ে</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দ্বিগুণ</w:t>
      </w:r>
      <w:r>
        <w:rPr>
          <w:rFonts w:ascii="Times New Roman" w:hAnsi="Times New Roman" w:eastAsia="Times New Roman" w:cs="Times New Roman"/>
        </w:rPr>
        <w:t xml:space="preserve"> </w:t>
      </w:r>
      <w:r>
        <w:rPr>
          <w:rFonts w:ascii="Nirmala UI" w:hAnsi="Nirmala UI" w:eastAsia="Nirmala UI" w:cs="Nirmala UI"/>
        </w:rPr>
        <w:t>অপরাধী।</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ইচ্ছা</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পালন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শাস্তি</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অপরাধের</w:t>
      </w:r>
      <w:r>
        <w:rPr>
          <w:rFonts w:ascii="Times New Roman" w:hAnsi="Times New Roman" w:eastAsia="Times New Roman" w:cs="Times New Roman"/>
        </w:rPr>
        <w:t xml:space="preserve"> </w:t>
      </w:r>
      <w:r>
        <w:rPr>
          <w:rFonts w:ascii="Nirmala UI" w:hAnsi="Nirmala UI" w:eastAsia="Nirmala UI" w:cs="Nirmala UI"/>
        </w:rPr>
        <w:t>অনুপাতে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বাক্যের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মনোযোগ</w:t>
      </w:r>
      <w:r>
        <w:rPr>
          <w:rFonts w:ascii="Times New Roman" w:hAnsi="Times New Roman" w:eastAsia="Times New Roman" w:cs="Times New Roman"/>
        </w:rPr>
        <w:t xml:space="preserve"> </w:t>
      </w:r>
      <w:r>
        <w:rPr>
          <w:rFonts w:ascii="Nirmala UI" w:hAnsi="Nirmala UI" w:eastAsia="Nirmala UI" w:cs="Nirmala UI"/>
        </w:rPr>
        <w:t>দেয়নি।</w:t>
      </w:r>
      <w:r>
        <w:rPr>
          <w:rFonts w:ascii="Times New Roman" w:hAnsi="Times New Roman" w:eastAsia="Times New Roman" w:cs="Times New Roman"/>
        </w:rPr>
        <w:t>”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 hante Daniel — Bilong Namba Seventi-Siks</dc:title>
  <dc:subject>ማኅተሙ የተፈቱ ትንቢቶች፦ በ1856 የብርሃን መከልከል እና የዚህ ውጤቶች</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